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FD4F18" w14:textId="4A03C422" w:rsidR="007C38C8" w:rsidRPr="009342F9" w:rsidRDefault="007C38C8" w:rsidP="007C38C8">
      <w:pPr>
        <w:spacing w:after="0" w:line="240" w:lineRule="auto"/>
        <w:ind w:left="1701" w:right="1581"/>
        <w:jc w:val="both"/>
        <w:rPr>
          <w:rFonts w:ascii="Arial" w:eastAsia="Times New Roman" w:hAnsi="Arial" w:cs="Arial"/>
          <w:b/>
          <w:bCs/>
          <w:color w:val="000000"/>
          <w:sz w:val="20"/>
          <w:szCs w:val="20"/>
          <w:lang w:eastAsia="es-CO"/>
        </w:rPr>
      </w:pPr>
      <w:bookmarkStart w:id="0" w:name="_Hlk48988720"/>
      <w:r w:rsidRPr="00CD3860">
        <w:rPr>
          <w:rFonts w:ascii="Arial" w:eastAsia="Arial" w:hAnsi="Arial" w:cs="Arial"/>
          <w:b/>
          <w:bCs/>
          <w:color w:val="FF0000"/>
          <w:sz w:val="20"/>
          <w:szCs w:val="20"/>
        </w:rPr>
        <w:t>Nota:</w:t>
      </w:r>
      <w:r w:rsidRPr="000B24CB">
        <w:rPr>
          <w:rFonts w:ascii="Arial" w:eastAsia="Arial" w:hAnsi="Arial" w:cs="Arial"/>
          <w:color w:val="FF0000"/>
          <w:sz w:val="20"/>
          <w:szCs w:val="20"/>
        </w:rPr>
        <w:t xml:space="preserve"> </w:t>
      </w:r>
      <w:r>
        <w:rPr>
          <w:rFonts w:ascii="Arial" w:eastAsia="Arial" w:hAnsi="Arial" w:cs="Arial"/>
          <w:color w:val="FF0000"/>
          <w:sz w:val="20"/>
          <w:szCs w:val="20"/>
        </w:rPr>
        <w:t xml:space="preserve">la siguiente norma se trascribe completa, pero de ella </w:t>
      </w:r>
      <w:r w:rsidRPr="00CD3860">
        <w:rPr>
          <w:rFonts w:ascii="Arial" w:eastAsia="Arial" w:hAnsi="Arial" w:cs="Arial"/>
          <w:color w:val="FF0000"/>
          <w:sz w:val="20"/>
          <w:szCs w:val="20"/>
        </w:rPr>
        <w:t>la Agencia Nacional</w:t>
      </w:r>
      <w:r>
        <w:rPr>
          <w:rFonts w:ascii="Arial" w:eastAsia="Arial" w:hAnsi="Arial" w:cs="Arial"/>
          <w:color w:val="FF0000"/>
          <w:sz w:val="20"/>
          <w:szCs w:val="20"/>
        </w:rPr>
        <w:t xml:space="preserve"> </w:t>
      </w:r>
      <w:r w:rsidRPr="00CD3860">
        <w:rPr>
          <w:rFonts w:ascii="Arial" w:eastAsia="Arial" w:hAnsi="Arial" w:cs="Arial"/>
          <w:color w:val="FF0000"/>
          <w:sz w:val="20"/>
          <w:szCs w:val="20"/>
        </w:rPr>
        <w:t>de Contratación Pública </w:t>
      </w:r>
      <w:r>
        <w:rPr>
          <w:rFonts w:ascii="Arial" w:eastAsia="Arial" w:hAnsi="Arial" w:cs="Arial"/>
          <w:color w:val="FF0000"/>
          <w:sz w:val="20"/>
          <w:szCs w:val="20"/>
        </w:rPr>
        <w:t>–</w:t>
      </w:r>
      <w:r w:rsidRPr="00CD3860">
        <w:rPr>
          <w:rFonts w:ascii="Arial" w:eastAsia="Arial" w:hAnsi="Arial" w:cs="Arial"/>
          <w:color w:val="FF0000"/>
          <w:sz w:val="20"/>
          <w:szCs w:val="20"/>
        </w:rPr>
        <w:t xml:space="preserve">Colombia Compra </w:t>
      </w:r>
      <w:r w:rsidRPr="007C38C8">
        <w:rPr>
          <w:rFonts w:ascii="Arial" w:eastAsia="Arial" w:hAnsi="Arial" w:cs="Arial"/>
          <w:color w:val="FF0000"/>
          <w:sz w:val="20"/>
          <w:szCs w:val="20"/>
        </w:rPr>
        <w:t>Eficiente– solo ha emitido conceptos que interpretan las siguientes disposiciones relacionadas con la contratación estatal</w:t>
      </w:r>
      <w:r w:rsidRPr="007111A1">
        <w:rPr>
          <w:rFonts w:ascii="Arial" w:eastAsia="Arial" w:hAnsi="Arial" w:cs="Arial"/>
          <w:color w:val="FF0000"/>
          <w:sz w:val="20"/>
          <w:szCs w:val="20"/>
        </w:rPr>
        <w:t xml:space="preserve">: </w:t>
      </w:r>
      <w:r w:rsidRPr="007111A1">
        <w:rPr>
          <w:rFonts w:ascii="Arial" w:eastAsia="Times New Roman" w:hAnsi="Arial" w:cs="Arial"/>
          <w:color w:val="FF0000"/>
          <w:sz w:val="20"/>
          <w:szCs w:val="20"/>
          <w:lang w:eastAsia="es-CO"/>
        </w:rPr>
        <w:t>2.2.3.1.2,</w:t>
      </w:r>
      <w:r w:rsidR="00653BB0">
        <w:rPr>
          <w:rFonts w:ascii="Arial" w:eastAsia="Times New Roman" w:hAnsi="Arial" w:cs="Arial"/>
          <w:color w:val="FF0000"/>
          <w:sz w:val="20"/>
          <w:szCs w:val="20"/>
          <w:lang w:eastAsia="es-CO"/>
        </w:rPr>
        <w:t xml:space="preserve"> 2.2.3.1</w:t>
      </w:r>
      <w:r w:rsidR="003662D3">
        <w:rPr>
          <w:rFonts w:ascii="Arial" w:eastAsia="Times New Roman" w:hAnsi="Arial" w:cs="Arial"/>
          <w:color w:val="FF0000"/>
          <w:sz w:val="20"/>
          <w:szCs w:val="20"/>
          <w:lang w:eastAsia="es-CO"/>
        </w:rPr>
        <w:t xml:space="preserve">.5, </w:t>
      </w:r>
      <w:r w:rsidRPr="007C38C8">
        <w:rPr>
          <w:rFonts w:ascii="Arial" w:eastAsia="Times New Roman" w:hAnsi="Arial" w:cs="Arial"/>
          <w:color w:val="FF0000"/>
          <w:sz w:val="20"/>
          <w:szCs w:val="20"/>
          <w:lang w:eastAsia="es-CO"/>
        </w:rPr>
        <w:t xml:space="preserve"> 2.3.3.1.1.2,  2.3.3.1.2.2,  </w:t>
      </w:r>
      <w:r w:rsidR="00EE4153">
        <w:rPr>
          <w:rFonts w:ascii="Arial" w:eastAsia="Times New Roman" w:hAnsi="Arial" w:cs="Arial"/>
          <w:color w:val="FF0000"/>
          <w:sz w:val="20"/>
          <w:szCs w:val="20"/>
          <w:lang w:eastAsia="es-CO"/>
        </w:rPr>
        <w:t xml:space="preserve">2.3.3.1.2.3, </w:t>
      </w:r>
      <w:r w:rsidRPr="007C38C8">
        <w:rPr>
          <w:rFonts w:ascii="Arial" w:hAnsi="Arial" w:cs="Arial"/>
          <w:color w:val="FF0000"/>
          <w:w w:val="105"/>
          <w:sz w:val="20"/>
          <w:szCs w:val="20"/>
        </w:rPr>
        <w:t xml:space="preserve">2.3.3.1.5.2, </w:t>
      </w:r>
      <w:r w:rsidRPr="007C38C8">
        <w:rPr>
          <w:rFonts w:ascii="Arial" w:eastAsia="Times New Roman" w:hAnsi="Arial" w:cs="Arial"/>
          <w:color w:val="FF0000"/>
          <w:sz w:val="20"/>
          <w:szCs w:val="20"/>
          <w:lang w:eastAsia="es-CO"/>
        </w:rPr>
        <w:t>2.3.3.1.7.1,  2.3.3.1.8.1 y  2.3.3.1.8.2.</w:t>
      </w:r>
      <w:r w:rsidRPr="007C38C8">
        <w:rPr>
          <w:rFonts w:ascii="Arial" w:eastAsia="Times New Roman" w:hAnsi="Arial" w:cs="Arial"/>
          <w:b/>
          <w:bCs/>
          <w:color w:val="FF0000"/>
          <w:sz w:val="20"/>
          <w:szCs w:val="20"/>
          <w:lang w:eastAsia="es-CO"/>
        </w:rPr>
        <w:t> </w:t>
      </w:r>
    </w:p>
    <w:p w14:paraId="27201FA0" w14:textId="66D03CEF" w:rsidR="007C38C8" w:rsidRDefault="007C38C8" w:rsidP="007C38C8">
      <w:pPr>
        <w:spacing w:after="0" w:line="240" w:lineRule="auto"/>
        <w:ind w:left="1701" w:right="1581"/>
        <w:jc w:val="both"/>
        <w:rPr>
          <w:rFonts w:ascii="Arial" w:eastAsia="Arial" w:hAnsi="Arial" w:cs="Arial"/>
          <w:color w:val="FF0000"/>
          <w:sz w:val="20"/>
          <w:szCs w:val="20"/>
        </w:rPr>
      </w:pPr>
    </w:p>
    <w:p w14:paraId="166A056F" w14:textId="77777777" w:rsidR="007C38C8" w:rsidRPr="00987585" w:rsidRDefault="007C38C8" w:rsidP="007C38C8">
      <w:pPr>
        <w:spacing w:after="0" w:line="240" w:lineRule="auto"/>
        <w:ind w:left="1701" w:right="1581"/>
        <w:jc w:val="both"/>
        <w:rPr>
          <w:rFonts w:ascii="Arial" w:eastAsia="Arial" w:hAnsi="Arial" w:cs="Arial"/>
          <w:color w:val="FF0000"/>
          <w:sz w:val="20"/>
          <w:szCs w:val="20"/>
        </w:rPr>
      </w:pPr>
      <w:r>
        <w:rPr>
          <w:rFonts w:ascii="Arial" w:eastAsia="Arial" w:hAnsi="Arial" w:cs="Arial"/>
          <w:color w:val="FF0000"/>
          <w:sz w:val="20"/>
          <w:szCs w:val="20"/>
        </w:rPr>
        <w:t>Los conceptos se relacionan al pie de cada disposición, y abren dando “clic” en el hipervínculo.</w:t>
      </w:r>
    </w:p>
    <w:bookmarkEnd w:id="0"/>
    <w:p w14:paraId="4F5533F4" w14:textId="77777777" w:rsidR="007C38C8" w:rsidRPr="009342F9" w:rsidRDefault="007C38C8" w:rsidP="00B91BA0">
      <w:pPr>
        <w:spacing w:before="9" w:line="242" w:lineRule="auto"/>
        <w:ind w:right="13"/>
        <w:jc w:val="both"/>
        <w:rPr>
          <w:rFonts w:ascii="Arial" w:eastAsia="Times New Roman" w:hAnsi="Arial" w:cs="Arial"/>
          <w:b/>
          <w:bCs/>
          <w:color w:val="000000"/>
          <w:lang w:eastAsia="es-CO"/>
        </w:rPr>
      </w:pPr>
    </w:p>
    <w:p w14:paraId="3FDBD622" w14:textId="215A36D1"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DECRETO 1077 DE 2015</w:t>
      </w:r>
    </w:p>
    <w:p w14:paraId="3B0BAE0F" w14:textId="77777777" w:rsidR="00B63A3F" w:rsidRPr="009342F9" w:rsidRDefault="00B63A3F" w:rsidP="00FC79C1">
      <w:pPr>
        <w:spacing w:after="0" w:line="240" w:lineRule="auto"/>
        <w:jc w:val="center"/>
        <w:rPr>
          <w:rFonts w:ascii="Arial" w:eastAsia="Times New Roman" w:hAnsi="Arial" w:cs="Arial"/>
          <w:b/>
          <w:bCs/>
          <w:color w:val="000000"/>
          <w:lang w:eastAsia="es-CO"/>
        </w:rPr>
      </w:pPr>
    </w:p>
    <w:p w14:paraId="5CAA8930" w14:textId="2EF06443" w:rsidR="00FC79C1" w:rsidRPr="009342F9" w:rsidRDefault="00B63A3F"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w:t>
      </w:r>
      <w:r w:rsidR="00FC79C1" w:rsidRPr="009342F9">
        <w:rPr>
          <w:rFonts w:ascii="Arial" w:eastAsia="Times New Roman" w:hAnsi="Arial" w:cs="Arial"/>
          <w:b/>
          <w:bCs/>
          <w:color w:val="000000"/>
          <w:lang w:eastAsia="es-CO"/>
        </w:rPr>
        <w:t>or medio del cual se expide el Decreto Único Reglamentario del Sector Vivienda, Ciudad y</w:t>
      </w:r>
    </w:p>
    <w:p w14:paraId="155DF0B9" w14:textId="66C8A568" w:rsidR="00FC79C1" w:rsidRPr="009342F9" w:rsidRDefault="001E1D91" w:rsidP="00FC79C1">
      <w:pPr>
        <w:spacing w:after="0" w:line="240" w:lineRule="auto"/>
        <w:jc w:val="center"/>
        <w:rPr>
          <w:rFonts w:ascii="Arial" w:eastAsia="Times New Roman" w:hAnsi="Arial" w:cs="Arial"/>
          <w:b/>
          <w:bCs/>
          <w:color w:val="000000"/>
          <w:lang w:eastAsia="es-CO"/>
        </w:rPr>
      </w:pPr>
      <w:bookmarkStart w:id="1" w:name="ver_30069007"/>
      <w:bookmarkEnd w:id="1"/>
      <w:r w:rsidRPr="009342F9">
        <w:rPr>
          <w:rFonts w:ascii="Arial" w:eastAsia="Times New Roman" w:hAnsi="Arial" w:cs="Arial"/>
          <w:b/>
          <w:bCs/>
          <w:color w:val="000000"/>
          <w:lang w:eastAsia="es-CO"/>
        </w:rPr>
        <w:t>EL PRESIDENTE DE LA REPÚBLICA DE COLOMBIA</w:t>
      </w:r>
      <w:r w:rsidR="00FC79C1" w:rsidRPr="009342F9">
        <w:rPr>
          <w:rFonts w:ascii="Arial" w:eastAsia="Times New Roman" w:hAnsi="Arial" w:cs="Arial"/>
          <w:b/>
          <w:bCs/>
          <w:color w:val="000000"/>
          <w:lang w:eastAsia="es-CO"/>
        </w:rPr>
        <w:t>, en ejercicio de las facultades que le confiere el numeral 11 del artículo 189 de la Constitución Política, y</w:t>
      </w:r>
    </w:p>
    <w:p w14:paraId="4FE8AD77" w14:textId="000ED1D4" w:rsidR="00FC79C1" w:rsidRPr="009342F9" w:rsidRDefault="00FC79C1" w:rsidP="00FC79C1">
      <w:pPr>
        <w:spacing w:after="0" w:line="240" w:lineRule="auto"/>
        <w:jc w:val="center"/>
        <w:rPr>
          <w:rFonts w:ascii="Arial" w:eastAsia="Times New Roman" w:hAnsi="Arial" w:cs="Arial"/>
          <w:b/>
          <w:bCs/>
          <w:color w:val="000000"/>
          <w:lang w:eastAsia="es-CO"/>
        </w:rPr>
      </w:pPr>
    </w:p>
    <w:p w14:paraId="2C539A47" w14:textId="5394734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CONSIDERANDO:</w:t>
      </w:r>
    </w:p>
    <w:p w14:paraId="1E526CC9" w14:textId="77777777" w:rsidR="00FC79C1" w:rsidRPr="009342F9" w:rsidRDefault="00FC79C1" w:rsidP="00FC79C1">
      <w:pPr>
        <w:spacing w:after="0" w:line="240" w:lineRule="auto"/>
        <w:jc w:val="both"/>
        <w:rPr>
          <w:rFonts w:ascii="Arial" w:eastAsia="Times New Roman" w:hAnsi="Arial" w:cs="Arial"/>
          <w:b/>
          <w:bCs/>
          <w:color w:val="000000"/>
          <w:lang w:eastAsia="es-CO"/>
        </w:rPr>
      </w:pPr>
      <w:r w:rsidRPr="009342F9">
        <w:rPr>
          <w:rFonts w:ascii="Arial" w:eastAsia="Times New Roman" w:hAnsi="Arial" w:cs="Arial"/>
          <w:b/>
          <w:bCs/>
          <w:color w:val="000000"/>
          <w:lang w:eastAsia="es-CO"/>
        </w:rPr>
        <w:t>  </w:t>
      </w:r>
    </w:p>
    <w:p w14:paraId="5B2430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la producción normativa ocupa un espacio central en la implementación de políticas públicas, siendo el medio a través del cual se estructuran los instrumentos jurídicos que materializan en gran parte las decisiones del Estado. </w:t>
      </w:r>
    </w:p>
    <w:p w14:paraId="166315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3212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la racionalización y simplificación del ordenamiento jurídico es una de las principales herramientas para asegurar la eficiencia económica y social del sistema legal y para afianzar la seguridad jurídica. </w:t>
      </w:r>
    </w:p>
    <w:p w14:paraId="05EBA7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9657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constituye una política pública gubernamental la simplificación y compilación orgánica del sistema nacional regulatorio. </w:t>
      </w:r>
    </w:p>
    <w:p w14:paraId="6EABE9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1912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la facultad reglamentaria incluye la posibilidad de compilar normas de la misma naturaleza. </w:t>
      </w:r>
    </w:p>
    <w:p w14:paraId="60E7DD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2063F4"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por tratarse de un decreto compilatorio de normas reglamentarias preexistentes, las mismas no requieren de consulta previa alguna, dado que las normas fuente cumplieron al momento de su expedición con las regulaciones vigentes sobre la materia. </w:t>
      </w:r>
    </w:p>
    <w:p w14:paraId="07A750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D55A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la tarea de compilar y racionalizar las normas de carácter reglamentario implica, en algunos casos, la simple actualización de la normativa compilada, para que se ajuste a la realidad institucional y a la normativa vigente, lo cual conlleva, en aspectos puntuales, el ejercicio formal de la facultad reglamentaria. </w:t>
      </w:r>
    </w:p>
    <w:p w14:paraId="6BED11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CDADFE"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virtud de sus características propias, el contenido material de este decreto guarda correspondencia con el de los decretos compilados; en consecuencia, no puede predicarse el decaimiento de las resoluciones, las circulares y demás actos administrativos expedidos por distintas autoridades administrativas con fundamento en las facultades derivadas de los decretos compilados. </w:t>
      </w:r>
    </w:p>
    <w:p w14:paraId="6D989D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D942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Que la compilación de que trata el presente decreto se contrae a la normatividad vigente al momento de su expedición, sin perjuicio de los efectos </w:t>
      </w:r>
      <w:proofErr w:type="spellStart"/>
      <w:r w:rsidRPr="009342F9">
        <w:rPr>
          <w:rFonts w:ascii="Arial" w:eastAsia="Times New Roman" w:hAnsi="Arial" w:cs="Arial"/>
          <w:color w:val="000000"/>
          <w:lang w:eastAsia="es-CO"/>
        </w:rPr>
        <w:t>ultractivos</w:t>
      </w:r>
      <w:proofErr w:type="spellEnd"/>
      <w:r w:rsidRPr="009342F9">
        <w:rPr>
          <w:rFonts w:ascii="Arial" w:eastAsia="Times New Roman" w:hAnsi="Arial" w:cs="Arial"/>
          <w:color w:val="000000"/>
          <w:lang w:eastAsia="es-CO"/>
        </w:rPr>
        <w:t xml:space="preserve"> de disposiciones derogadas a la fecha, de conformidad con el artículo 38 de la Ley 153 de 1887. </w:t>
      </w:r>
    </w:p>
    <w:p w14:paraId="33D4BA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FB79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Que por cuanto este decreto constituye un ejercicio de compilación de reglamentaciones preexistentes, los considerandos de los decretos fuente se entienden incorporados a su texto, aunque no se transcriban, para lo cual en cada artículo se indica el origen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045FF5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5C69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las normas que integran el Libro 1 de este Decreto no tienen naturaleza reglamentaria, como quiera que se limitan a describir la estructura general administrativa del sector. </w:t>
      </w:r>
    </w:p>
    <w:p w14:paraId="243DFE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480C90"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durante el trabajo compilatorio recogido en este Decreto, el Gobierno verificó que ninguna norma compilada hubiera sido objeto de declaración de nulidad o de suspensión provisional, acudiendo para ello a la información suministrada por la Relatoría y la Secretaría General del Consejo de Estado. </w:t>
      </w:r>
    </w:p>
    <w:p w14:paraId="5C16FA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8E58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con el objetivo de compilar y racionalizar las normas de carácter reglamentario que rigen en el sector y contar con un instrumento jurídico único para el mismo, se hace necesario expedir el presente Decreto Reglamentario Único Sectorial. </w:t>
      </w:r>
    </w:p>
    <w:p w14:paraId="07F2C7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ECEC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Por lo anteriormente expuesto, </w:t>
      </w:r>
    </w:p>
    <w:p w14:paraId="27405BF3" w14:textId="77777777" w:rsidR="00FC79C1" w:rsidRPr="009342F9" w:rsidRDefault="00FC79C1" w:rsidP="00FC79C1">
      <w:pPr>
        <w:spacing w:after="0" w:line="240" w:lineRule="auto"/>
        <w:jc w:val="both"/>
        <w:rPr>
          <w:rFonts w:ascii="Arial" w:eastAsia="Times New Roman" w:hAnsi="Arial" w:cs="Arial"/>
          <w:b/>
          <w:bCs/>
          <w:color w:val="000000"/>
          <w:lang w:eastAsia="es-CO"/>
        </w:rPr>
      </w:pPr>
      <w:r w:rsidRPr="009342F9">
        <w:rPr>
          <w:rFonts w:ascii="Arial" w:eastAsia="Times New Roman" w:hAnsi="Arial" w:cs="Arial"/>
          <w:b/>
          <w:bCs/>
          <w:color w:val="000000"/>
          <w:lang w:eastAsia="es-CO"/>
        </w:rPr>
        <w:t>  </w:t>
      </w:r>
    </w:p>
    <w:p w14:paraId="6B144E78" w14:textId="01174CA8"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DECRETA:</w:t>
      </w:r>
    </w:p>
    <w:p w14:paraId="05133F98"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2" w:name="ver_30069008"/>
      <w:bookmarkEnd w:id="2"/>
      <w:r w:rsidRPr="009342F9">
        <w:rPr>
          <w:rFonts w:ascii="Arial" w:eastAsia="Times New Roman" w:hAnsi="Arial" w:cs="Arial"/>
          <w:b/>
          <w:bCs/>
          <w:color w:val="000000"/>
          <w:lang w:eastAsia="es-CO"/>
        </w:rPr>
        <w:t>LIBRO 1</w:t>
      </w:r>
    </w:p>
    <w:p w14:paraId="4E7B5035" w14:textId="77777777" w:rsidR="00FC79C1" w:rsidRDefault="00FC79C1" w:rsidP="00FC79C1">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ESTRUCTURA</w:t>
      </w:r>
    </w:p>
    <w:p w14:paraId="3DA12EB8" w14:textId="77777777" w:rsidR="007C7D44" w:rsidRPr="009342F9" w:rsidRDefault="007C7D44" w:rsidP="00FC79C1">
      <w:pPr>
        <w:spacing w:after="0" w:line="240" w:lineRule="auto"/>
        <w:jc w:val="center"/>
        <w:rPr>
          <w:rFonts w:ascii="Arial" w:eastAsia="Times New Roman" w:hAnsi="Arial" w:cs="Arial"/>
          <w:b/>
          <w:bCs/>
          <w:color w:val="000000"/>
          <w:lang w:eastAsia="es-CO"/>
        </w:rPr>
      </w:pPr>
    </w:p>
    <w:p w14:paraId="6BC0DE9D"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PARTE 1</w:t>
      </w:r>
    </w:p>
    <w:p w14:paraId="61291350" w14:textId="77777777" w:rsidR="00FC79C1" w:rsidRDefault="00FC79C1" w:rsidP="00FC79C1">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SECTOR CENTRAL</w:t>
      </w:r>
    </w:p>
    <w:p w14:paraId="2E9AB727" w14:textId="77777777" w:rsidR="007C7D44" w:rsidRPr="009342F9" w:rsidRDefault="007C7D44" w:rsidP="00FC79C1">
      <w:pPr>
        <w:spacing w:after="0" w:line="240" w:lineRule="auto"/>
        <w:jc w:val="center"/>
        <w:rPr>
          <w:rFonts w:ascii="Arial" w:eastAsia="Times New Roman" w:hAnsi="Arial" w:cs="Arial"/>
          <w:b/>
          <w:bCs/>
          <w:color w:val="000000"/>
          <w:lang w:eastAsia="es-CO"/>
        </w:rPr>
      </w:pPr>
    </w:p>
    <w:p w14:paraId="7FD6BBA6"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1</w:t>
      </w:r>
    </w:p>
    <w:p w14:paraId="6BE9DC78"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CABEZA DE SECTOR</w:t>
      </w:r>
    </w:p>
    <w:p w14:paraId="05BBC98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 w:name="ver_30069009"/>
      <w:bookmarkEnd w:id="3"/>
    </w:p>
    <w:p w14:paraId="102F03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1.1.1.1 Ministerio de Vivienda. Ciudad y Territorio  </w:t>
      </w:r>
    </w:p>
    <w:p w14:paraId="7696EC1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 w:name="ver_30076507"/>
      <w:bookmarkEnd w:id="4"/>
    </w:p>
    <w:p w14:paraId="16EBFA8F" w14:textId="03954D5B" w:rsidR="00FC79C1" w:rsidRPr="009342F9" w:rsidRDefault="00FC79C1" w:rsidP="00FC79C1">
      <w:pPr>
        <w:spacing w:after="0" w:line="240" w:lineRule="auto"/>
        <w:jc w:val="both"/>
        <w:rPr>
          <w:rFonts w:ascii="Arial" w:eastAsia="Times New Roman" w:hAnsi="Arial" w:cs="Arial"/>
          <w:color w:val="000000"/>
          <w:lang w:eastAsia="es-CO"/>
        </w:rPr>
      </w:pPr>
      <w:r w:rsidRPr="3DD719FF">
        <w:rPr>
          <w:rFonts w:ascii="Arial" w:eastAsia="Times New Roman" w:hAnsi="Arial" w:cs="Arial"/>
          <w:color w:val="000000" w:themeColor="text1"/>
          <w:lang w:eastAsia="es-CO"/>
        </w:rPr>
        <w:t>Artículo 1.1.1.1.1 Objetivo. El Ministerio de Vivienda, Ciudad y Territorio tendrá como objetivo primordial lograr, en el marco de la ley y sus competencias, formular, adoptar, dirigir, coordinar y ejecutar la política pública, planes y proyectos en materia del desarrollo territorial y urbano planificado del país, la consolidación del sistema de ciudades, con patrones de uso eficiente y sostenible del suelo, teniendo en cuenta las condiciones de acceso y financiación de vivienda, y de prestación de los servicios públicos de agua potable y saneamiento básico.  </w:t>
      </w:r>
    </w:p>
    <w:p w14:paraId="571C74D5" w14:textId="1E622ED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6BD990"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5" w:name="ver_30069010"/>
      <w:bookmarkEnd w:id="5"/>
      <w:r w:rsidRPr="009342F9">
        <w:rPr>
          <w:rFonts w:ascii="Arial" w:eastAsia="Times New Roman" w:hAnsi="Arial" w:cs="Arial"/>
          <w:b/>
          <w:bCs/>
          <w:color w:val="000000"/>
          <w:lang w:eastAsia="es-CO"/>
        </w:rPr>
        <w:t>PARTE 2</w:t>
      </w:r>
    </w:p>
    <w:p w14:paraId="6A865090"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SECTOR DESCENTRALIZADO</w:t>
      </w:r>
    </w:p>
    <w:p w14:paraId="2606E7C0"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3DCD89B1"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1</w:t>
      </w:r>
    </w:p>
    <w:p w14:paraId="11281BED"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ENTIDADES ADSCRITAS</w:t>
      </w:r>
    </w:p>
    <w:p w14:paraId="4AC417A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 w:name="ver_30069011"/>
      <w:bookmarkEnd w:id="6"/>
    </w:p>
    <w:p w14:paraId="5FCC69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1.2.1.1. Comisión de Regulación de Agua Potable y Saneamiento Básico  </w:t>
      </w:r>
    </w:p>
    <w:p w14:paraId="3FFB8C5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 w:name="ver_30069012"/>
      <w:bookmarkEnd w:id="7"/>
    </w:p>
    <w:p w14:paraId="3044A2B4" w14:textId="03954D5B" w:rsidR="00FC79C1" w:rsidRPr="009342F9" w:rsidRDefault="00FC79C1" w:rsidP="00FC79C1">
      <w:pPr>
        <w:spacing w:after="0" w:line="240" w:lineRule="auto"/>
        <w:jc w:val="both"/>
        <w:rPr>
          <w:rFonts w:ascii="Arial" w:eastAsia="Times New Roman" w:hAnsi="Arial" w:cs="Arial"/>
          <w:color w:val="000000"/>
          <w:lang w:eastAsia="es-CO"/>
        </w:rPr>
      </w:pPr>
      <w:r w:rsidRPr="3DD719FF">
        <w:rPr>
          <w:rFonts w:ascii="Arial" w:eastAsia="Times New Roman" w:hAnsi="Arial" w:cs="Arial"/>
          <w:color w:val="000000" w:themeColor="text1"/>
          <w:lang w:eastAsia="es-CO"/>
        </w:rPr>
        <w:t>Artículo 1.2.1.1.1. Objetivos Generales. Las comisiones de regulación tienen la función de regular los monopolios en la prestación de los servicios públicos, cuando la competencia no sea, de hecho, posible; y, en los demás casos, la de promover la competencia entre quienes presten servicios públicos, para que las operaciones de los monopolistas o de los competidores sean económicamente eficientes, no impliquen abusos de la posición dominante, y produzcan servicios de calidad. </w:t>
      </w:r>
    </w:p>
    <w:p w14:paraId="6B293FD1" w14:textId="5662A6E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 w:name="ver_30069013"/>
      <w:bookmarkEnd w:id="8"/>
    </w:p>
    <w:p w14:paraId="288216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1.2.1.1.2. Fondo Nacional de Vivienda -FONVIVIENDA- </w:t>
      </w:r>
    </w:p>
    <w:p w14:paraId="21B698C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 w:name="ver_30069014"/>
      <w:bookmarkEnd w:id="9"/>
    </w:p>
    <w:p w14:paraId="750FEE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1.2.1.1.2.1. Objetivo. El Fondo Nacional de Vivienda “FONVIVIENDA” tendrá como objetivos consolidar el Sistema Nacional de Información de Vivienda y ejecutar las políticas del Gobierno Nacional en materia de vivienda de interés social urbana, en particular aquellas orientadas a la descentralización territorial de la inversión de los recursos destinados a vivienda de interés social, </w:t>
      </w:r>
    </w:p>
    <w:p w14:paraId="274A4CE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 w:name="ver_30069015"/>
      <w:bookmarkEnd w:id="10"/>
    </w:p>
    <w:p w14:paraId="0160ED36" w14:textId="3194749C"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3</w:t>
      </w:r>
    </w:p>
    <w:p w14:paraId="7E78D40E"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ENTIDADES VINCULADAS</w:t>
      </w:r>
    </w:p>
    <w:p w14:paraId="7C6C1A10" w14:textId="77777777" w:rsidR="00FC79C1" w:rsidRPr="009342F9" w:rsidRDefault="00FC79C1" w:rsidP="00FC79C1">
      <w:pPr>
        <w:spacing w:after="0" w:line="240" w:lineRule="auto"/>
        <w:jc w:val="center"/>
        <w:rPr>
          <w:rFonts w:ascii="Arial" w:eastAsia="Times New Roman" w:hAnsi="Arial" w:cs="Arial"/>
          <w:color w:val="000000"/>
          <w:lang w:eastAsia="es-CO"/>
        </w:rPr>
      </w:pPr>
      <w:bookmarkStart w:id="11" w:name="ver_30069016"/>
      <w:bookmarkEnd w:id="11"/>
    </w:p>
    <w:p w14:paraId="5A30E2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1.2.3.1. Fondo Nacional del Ahorro  </w:t>
      </w:r>
    </w:p>
    <w:p w14:paraId="1FB6B85D" w14:textId="687517A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 w:name="ver_30069017"/>
      <w:bookmarkEnd w:id="12"/>
    </w:p>
    <w:p w14:paraId="3FCB7A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1.2.3.1.1. Objeto. El Fondo Nacional de Ahorro administrará de manera eficiente las cesantías y contribuirá a la solución del problema de vivienda y de educación de los afiliados, con el fin de mejorar su calidad de vida, convirtiéndose en una alternativa de capitalización social. </w:t>
      </w:r>
    </w:p>
    <w:p w14:paraId="3762CC82" w14:textId="77777777" w:rsidR="00FC79C1" w:rsidRPr="009342F9" w:rsidRDefault="00FC79C1" w:rsidP="00FC79C1">
      <w:pPr>
        <w:spacing w:after="0" w:line="240" w:lineRule="auto"/>
        <w:jc w:val="center"/>
        <w:rPr>
          <w:rFonts w:ascii="Arial" w:eastAsia="Times New Roman" w:hAnsi="Arial" w:cs="Arial"/>
          <w:color w:val="000000"/>
          <w:lang w:eastAsia="es-CO"/>
        </w:rPr>
      </w:pPr>
    </w:p>
    <w:p w14:paraId="2218398D"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3" w:name="ver_30069018"/>
      <w:bookmarkEnd w:id="13"/>
      <w:r w:rsidRPr="009342F9">
        <w:rPr>
          <w:rFonts w:ascii="Arial" w:eastAsia="Times New Roman" w:hAnsi="Arial" w:cs="Arial"/>
          <w:b/>
          <w:bCs/>
          <w:color w:val="000000"/>
          <w:lang w:eastAsia="es-CO"/>
        </w:rPr>
        <w:t>TÍTULO 4</w:t>
      </w:r>
    </w:p>
    <w:p w14:paraId="1664ACD8"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ÓRGANOS DE ASESORÍA Y COORDINACIÓN.</w:t>
      </w:r>
    </w:p>
    <w:p w14:paraId="2F478D0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 w:name="ver_30069019"/>
      <w:bookmarkEnd w:id="14"/>
    </w:p>
    <w:p w14:paraId="66FAD0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1.2.4.1. Órganos Internos de Asesoría y Coordinación. Son órganos internos de asesoría y coordinación del Ministerio de Vivienda, Ciudad y Territorio, los siguientes: </w:t>
      </w:r>
    </w:p>
    <w:p w14:paraId="3F0FB3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5A4E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Comité Sectorial de Desarrollo Administrativo. </w:t>
      </w:r>
    </w:p>
    <w:p w14:paraId="1B9176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88F3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Comité de Coordinación del Sistema de Control Interno. </w:t>
      </w:r>
    </w:p>
    <w:p w14:paraId="3EE583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E065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Comité de Gerencia. </w:t>
      </w:r>
    </w:p>
    <w:p w14:paraId="0C9674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EEBE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Comisión de Personal. </w:t>
      </w:r>
    </w:p>
    <w:p w14:paraId="64CB1D23" w14:textId="77777777" w:rsidR="00FC79C1" w:rsidRPr="009342F9" w:rsidRDefault="00FC79C1" w:rsidP="00FC79C1">
      <w:pPr>
        <w:spacing w:after="0" w:line="240" w:lineRule="auto"/>
        <w:jc w:val="center"/>
        <w:rPr>
          <w:rFonts w:ascii="Arial" w:eastAsia="Times New Roman" w:hAnsi="Arial" w:cs="Arial"/>
          <w:color w:val="000000"/>
          <w:lang w:eastAsia="es-CO"/>
        </w:rPr>
      </w:pPr>
    </w:p>
    <w:p w14:paraId="6BD9ACF4" w14:textId="71F56652" w:rsidR="00FC79C1" w:rsidRPr="009342F9" w:rsidRDefault="00FC79C1" w:rsidP="00FC79C1">
      <w:pPr>
        <w:spacing w:after="0" w:line="240" w:lineRule="auto"/>
        <w:jc w:val="center"/>
        <w:rPr>
          <w:rFonts w:ascii="Arial" w:eastAsia="Times New Roman" w:hAnsi="Arial" w:cs="Arial"/>
          <w:b/>
          <w:bCs/>
          <w:color w:val="000000"/>
          <w:lang w:eastAsia="es-CO"/>
        </w:rPr>
      </w:pPr>
      <w:bookmarkStart w:id="15" w:name="ver_30069020"/>
      <w:bookmarkEnd w:id="15"/>
      <w:r w:rsidRPr="009342F9">
        <w:rPr>
          <w:rFonts w:ascii="Arial" w:eastAsia="Times New Roman" w:hAnsi="Arial" w:cs="Arial"/>
          <w:b/>
          <w:bCs/>
          <w:color w:val="000000"/>
          <w:lang w:eastAsia="es-CO"/>
        </w:rPr>
        <w:t>LIBRO 2</w:t>
      </w:r>
    </w:p>
    <w:p w14:paraId="18CCED60"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RÉGIMEN REGLAMENTARIO DEL SECTOR VIVIENDA, CIUDAD Y TERRITORIO</w:t>
      </w:r>
    </w:p>
    <w:p w14:paraId="7378A580"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08BB4289"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PARTE 1</w:t>
      </w:r>
    </w:p>
    <w:p w14:paraId="12F44043"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ESTRUCTURA DEL SECTOR VIVIENDA</w:t>
      </w:r>
    </w:p>
    <w:p w14:paraId="0F65BA1D"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3F52108C"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1</w:t>
      </w:r>
    </w:p>
    <w:p w14:paraId="4A51AC44"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SUBSIDIO FAMILIAR DE VIVIENDA DE INTERÉS SOCIAL PARA ÁREAS URBANAS</w:t>
      </w:r>
    </w:p>
    <w:p w14:paraId="6D773EEF"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3A4A8BA3" w14:textId="03954D5B" w:rsidR="00FC79C1" w:rsidRPr="009342F9"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CAPÍTULO 1</w:t>
      </w:r>
    </w:p>
    <w:p w14:paraId="76BFCA19" w14:textId="03954D5B" w:rsidR="00D04AB5"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 xml:space="preserve">SUBSIDIO FAMILIAR DE VIVIENDA DE INTERÉS SOCIAL EN DINERO PARA ÁREAS </w:t>
      </w:r>
    </w:p>
    <w:p w14:paraId="58DBCB5F"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URBANAS</w:t>
      </w:r>
    </w:p>
    <w:p w14:paraId="78051644"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0315EF94"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7B94C21A"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SUBSIDIO FAMILIAR DE VIVIENDA</w:t>
      </w:r>
    </w:p>
    <w:p w14:paraId="4888882B"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14E74846"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07CC7455"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GENERALIDADES DEL SUBSIDIO FAMILIAR DE VIVIENDA</w:t>
      </w:r>
    </w:p>
    <w:p w14:paraId="49979E9F" w14:textId="77777777" w:rsidR="00FC79C1" w:rsidRPr="009342F9" w:rsidRDefault="00FC79C1" w:rsidP="00FC79C1">
      <w:pPr>
        <w:spacing w:after="0" w:line="240" w:lineRule="auto"/>
        <w:jc w:val="both"/>
        <w:rPr>
          <w:rFonts w:ascii="Arial" w:eastAsia="Times New Roman" w:hAnsi="Arial" w:cs="Arial"/>
          <w:b/>
          <w:bCs/>
          <w:color w:val="000000"/>
          <w:lang w:eastAsia="es-CO"/>
        </w:rPr>
      </w:pPr>
      <w:bookmarkStart w:id="16" w:name="ver_30069021"/>
      <w:bookmarkEnd w:id="16"/>
    </w:p>
    <w:p w14:paraId="58AD07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2.1.1.1.1.1.1. Objeto. </w:t>
      </w:r>
      <w:proofErr w:type="gramStart"/>
      <w:r w:rsidRPr="009342F9">
        <w:rPr>
          <w:rFonts w:ascii="Arial" w:eastAsia="Times New Roman" w:hAnsi="Arial" w:cs="Arial"/>
          <w:color w:val="000000"/>
          <w:lang w:eastAsia="es-CO"/>
        </w:rPr>
        <w:t>El presente sección</w:t>
      </w:r>
      <w:proofErr w:type="gramEnd"/>
      <w:r w:rsidRPr="009342F9">
        <w:rPr>
          <w:rFonts w:ascii="Arial" w:eastAsia="Times New Roman" w:hAnsi="Arial" w:cs="Arial"/>
          <w:color w:val="000000"/>
          <w:lang w:eastAsia="es-CO"/>
        </w:rPr>
        <w:t xml:space="preserve"> tiene por objeto reglamentar el Subsidio Familiar de Vivienda de Interés Social en dinero para áreas urbanas, conforme a lo dispuesto en las Leyes 49 de 1990, 3ª de 1991, 388 de 1997, 546 de 1999, 789 de 2002, 1114 de 2006 y 1151 de 2007. Se aplica a entidades que administren recursos del Presupuesto Nacional o recursos parafiscales con destino al subsidio anteriormente mencionado. </w:t>
      </w:r>
    </w:p>
    <w:p w14:paraId="7EB84B8A" w14:textId="2631E9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 w:name="ver_30200369"/>
      <w:bookmarkStart w:id="18" w:name="ver_30069022"/>
      <w:bookmarkStart w:id="19" w:name="ver_30167097"/>
      <w:bookmarkEnd w:id="17"/>
    </w:p>
    <w:p w14:paraId="7F36FA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w:t>
      </w:r>
      <w:proofErr w:type="gramStart"/>
      <w:r w:rsidRPr="009342F9">
        <w:rPr>
          <w:rFonts w:ascii="Arial" w:eastAsia="Times New Roman" w:hAnsi="Arial" w:cs="Arial"/>
          <w:color w:val="000000"/>
          <w:lang w:eastAsia="es-CO"/>
        </w:rPr>
        <w:t>2.Definiciones</w:t>
      </w:r>
      <w:proofErr w:type="gramEnd"/>
      <w:r w:rsidRPr="009342F9">
        <w:rPr>
          <w:rFonts w:ascii="Arial" w:eastAsia="Times New Roman" w:hAnsi="Arial" w:cs="Arial"/>
          <w:color w:val="000000"/>
          <w:lang w:eastAsia="es-CO"/>
        </w:rPr>
        <w:t xml:space="preserve"> y alcances. Para los efectos de la presente sección se determinan las siguientes definiciones y alcances:  </w:t>
      </w:r>
    </w:p>
    <w:p w14:paraId="31D26E44" w14:textId="5F29B8A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DD03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Vivienda de Interés Social (VIS). Es aquella que reúne los elementos que aseguran su habitabilidad, estándares de calidad en diseño urbanístico, arquitectónico y de construcción cuyo valor máximo es el que se establezca en las normas que regulan la materia para este tipo de viviendas.  </w:t>
      </w:r>
    </w:p>
    <w:p w14:paraId="69DDA0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7624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Vivienda de Interés Social Prioritaria (VIP). Es aquella vivienda de interés social cuyo valor máximo es el que se establezca en las normas que regulan la materia para este tipo de viviendas.  </w:t>
      </w:r>
    </w:p>
    <w:p w14:paraId="2D6E1E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8827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Subsidio Familiar de Vivienda. El Subsidio Familiar de Vivienda de que trata esta sección es un aporte estatal en dinero entregado por la entidad otorgante del mismo, que se otorga por una sola vez al beneficiario, sin cargo de restitución, que constituye un complemento del ahorro y/o los recursos que le permitan acceder a una solución de vivienda de interés social y que puede ser cofinanciado con recursos provenientes de entidades territoriales.  </w:t>
      </w:r>
    </w:p>
    <w:p w14:paraId="266E5E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1C8E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Hogar objeto del Subsidio Familiar de Vivienda. Se entiende por hogar el conformado por una o más personas que integren el mismo núcleo familiar, los cónyuges, las uniones maritales de hecho, incluyendo las parejas del mismo sexo, y/o el grupo de personas unidas por vínculos de parentesco hasta tercer grado de consanguinidad, segundo de afinidad y primero civil, que compartan un mismo espacio habitacional. Lo anterior, sin perjuicio de lo establecido en el parágrafo del presente artículo.  </w:t>
      </w:r>
    </w:p>
    <w:p w14:paraId="299A08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4C4E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Soluciones de vivienda. Se entiende por solución de vivienda el conjunto de operaciones que permite a un hogar disponer de habitación en condiciones sanitarias satisfactorias de espacio, servicios públicos y calidad de estructura, o iniciar el proceso para obtenerlas en el futuro. El Subsidio Familiar de Vivienda de Interés Social de que trata esta sección se podrá aplicar en las siguientes soluciones de vivienda:  </w:t>
      </w:r>
    </w:p>
    <w:p w14:paraId="2B7553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0C2B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2.5.1. Adquisición de vivienda nueva. Es la modalidad que permite al hogar adquirir una vivienda nueva entendiéndose por esta a aquella que se encuentre en proyecto, en etapa de preventa, en construcción, y la que estando terminada no haya sido habitada.  </w:t>
      </w:r>
    </w:p>
    <w:p w14:paraId="20EE56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6BB8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modalidad de subsidio también podrá ser aplicada para la adquisición de unidades de vivienda que hayan sido objeto de programas de arrendamiento y arrendamiento con opción de compra o sobre las que se haya aplicado el subsidio en dicha modalidad y que hayan sido nuevas al momento de su ingreso o aplicación al respectivo programa o subsidio de arrendamiento.  </w:t>
      </w:r>
    </w:p>
    <w:p w14:paraId="29942E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También se considerará como adquisición de vivienda nueva:  </w:t>
      </w:r>
    </w:p>
    <w:p w14:paraId="34B961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DE65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El proceso por el cual se construye una vivienda con recursos del Subsidio Familiar, mediante la </w:t>
      </w:r>
      <w:proofErr w:type="gramStart"/>
      <w:r w:rsidRPr="009342F9">
        <w:rPr>
          <w:rFonts w:ascii="Arial" w:eastAsia="Times New Roman" w:hAnsi="Arial" w:cs="Arial"/>
          <w:color w:val="000000"/>
          <w:lang w:eastAsia="es-CO"/>
        </w:rPr>
        <w:t>participación activa</w:t>
      </w:r>
      <w:proofErr w:type="gramEnd"/>
      <w:r w:rsidRPr="009342F9">
        <w:rPr>
          <w:rFonts w:ascii="Arial" w:eastAsia="Times New Roman" w:hAnsi="Arial" w:cs="Arial"/>
          <w:color w:val="000000"/>
          <w:lang w:eastAsia="es-CO"/>
        </w:rPr>
        <w:t xml:space="preserve"> de la comunidad representada en sistemas de autoconstrucción o autogestión que determinarán la adquisición final de la propiedad de la vivienda por parte de los hogares beneficiarios del subsidio.  </w:t>
      </w:r>
    </w:p>
    <w:p w14:paraId="5CE255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E5D8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proceso para el otorgamiento del Subsidio Familiar de Vivienda de Interés Social, para hogares que se postulen a proyectos de vivienda de interés social prioritario, desarrollados en lotes de propiedad de entidades territoriales o de privados, con convenio de asociación o patrimonio autónomo legalmente constituido con el municipio para la ejecución de este tipo de proyectos, ubicados en municipios de categoría 1, 2 y especial, en aquellos que hagan parte del área metropolitana, o en los de propiedad de la nación ubicados en cualquier municipio. Estos proyectos de vivienda deben tener asegurada la financiación de la totalidad de las obras de urbanismo.  </w:t>
      </w:r>
    </w:p>
    <w:p w14:paraId="19AF54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5826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2.5.2. Adquisición de vivienda usada. Es la modalidad que permite al hogar adquirir una vivienda usada, entendiéndose por esta aquella que estando terminada ya ha sido habitada y cuya licencia de construcción ha sido expedida en vigencia del reglamento colombiano de construcción sismorresistente vigente al momento de expedición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2EC483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F469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2.5.3. Construcción en sitio propio. Modalidad en la cual el beneficiario del subsidio accede a una vivienda de interés social, mediante la edificación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en un lote de su propiedad que puede ser un lote de terreno, una terraza o una cubierta de losa. En todo caso, el título de propiedad debe estar inscrito en la Oficina de Registro de Instrumentos Públicos a nombre de cualquiera de los miembros del hogar postulante.  </w:t>
      </w:r>
    </w:p>
    <w:p w14:paraId="128934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B5BE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acceder a los recursos del subsidio familiar de vivienda, los esquemas de construcción en sitio propio deben resultar en una vivienda cuyo valor sea inferior o igual al precio máximo de la vivienda de interés social.  </w:t>
      </w:r>
    </w:p>
    <w:p w14:paraId="3B6BCA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4335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modalidad de subsidio también podrá otorgarse a hogares que se postulen a proyectos de vivienda de interés social, desarrollados en lotes urbanizados de propiedad de las entidades territoriales, siempre que tales lotes hayan sido previamente otorgados a título de subsidio en especie por la entidad territorial o la entidad facultada para otorgar el subsidio en especie dentro del respectivo territorio. En este caso, el proyecto debe tener asegurada la financiación de la totalidad de la construcción de las viviendas.  </w:t>
      </w:r>
    </w:p>
    <w:p w14:paraId="7A5673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8BC9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modalidad de subsidio podrá aplicarse en barrios susceptibles de ser legalizados para lo cual deberá verificarse que las viviendas no se encuentren ubicadas en zonas de alto riesgo no mitigable, zonas de protección de recursos naturales, zonas de reserva de obra pública o de infraestructuras básicas del nivel nacional, regional o municipal o áreas no aptas para la localización de vivienda, de acuerdo con los planes de ordenamiento territorial.  </w:t>
      </w:r>
    </w:p>
    <w:p w14:paraId="4ABF02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A2D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2.5.4. Mejoramiento de vivienda. Proceso por el cual el beneficiario del subsidio supera una o varias de las carencias básicas de una vivienda y tiene por objeto mejorar las condiciones sanitarias satisfactorias de espacio, servicios públicos y calidad de estructura de las viviendas de los hogares beneficiarios que cumplan con los requisitos para su asignación, a través de intervenciones de tipo estructural que pueden incluir obras de mitigación de vulnerabilidad o mejoras locativas que requieren o no la obtención de permisos o licencias por parte de las autoridades competentes. Estas intervenciones o mejoras locativas están asociadas, prioritariamente, a la habilitación o instalación de baños; lavaderos; cocinas; redes hidráulicas, sanitarias y eléctricas; cubiertas; pisos; reforzamiento estructural y otras condiciones relacionadas con el saneamiento y mejoramiento de la solución habitacional, con el objeto de alcanzar progresivamente las condiciones de habitabilidad de la vivienda.  </w:t>
      </w:r>
    </w:p>
    <w:p w14:paraId="133BD7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CCED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intervenciones podrán realizarse en barrios susceptibles de ser legalizados, de acuerdo con las disposiciones del Plan de Ordenamiento Territorial respectivo, siempre y cuando se hubiese iniciado el proceso de legalización, ya sea de oficio o por solicitud de los interesados, en los términos del presente decreto. Cada programa establecerá las condiciones para certificar su correspondencia con los planes de ordenamiento territorial, los esquemas de cofinanciación y los certificados que sean necesarios por parte de las autoridades correspondientes. En todo caso, los barrios deben contar con disponibilidad de servicios públicos domiciliarios y las viviendas no pueden encontrarse ubicadas en zonas de alto riesgo no mitigable, zonas de protección de recursos naturales, zonas de reserva de obra pública o de infraestructuras básicas del nivel nacional, regional o municipal o áreas no aptas para la localización de vivienda, de acuerdo con los planes de ordenamiento territorial.  </w:t>
      </w:r>
    </w:p>
    <w:p w14:paraId="45BA34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76D2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aquellos casos en que la vivienda se encuentre construida totalmente en materiales provisionales, se considerará objeto de un programa de construcción en sitio propio, previa validación técnica de la entidad otorgante del subsidio. Cuando la utilización de materiales provisionales sea parcial, podrá aplicarse la modalidad de mejoramiento previo concepto técnico favorable de la entidad otorgante.  </w:t>
      </w:r>
    </w:p>
    <w:p w14:paraId="507D5E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A65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modalidad de subsidio podrá beneficiar a propietarios, ocupantes de bienes fiscales que puedan ser objeto de titulación en los términos del artículo 14 de la Ley 708 de 2001 modificado por el artículo 2° de la Ley 1001 de 2005, o a quienes demuestren posesión de un inmueble con al menos cinco (5) años de anterioridad a la postulación del subsidio.  </w:t>
      </w:r>
    </w:p>
    <w:p w14:paraId="2CFD2F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0A32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valor del subsidio de mejoramiento de vivienda podrá estar representado, en todo o en parte, en materiales de construcción.  </w:t>
      </w:r>
    </w:p>
    <w:p w14:paraId="0A3745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688D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2.5.5. Arrendamiento y arrendamiento con opción de compra. Es la modalidad que permite al beneficiario cubrir un porcentaje del canon mensual de arrendamiento en el marco de un contrato de arrendamiento o arrendamiento con opción de compra sobre una vivienda de Interés Social o Prioritario nueva o usada. Cuando esta modalidad de subsidio sea aplicada sobre una vivienda nueva, el hogar podrá ser beneficiario del subsidio de adquisición para vivienda nueva destinado a la compra de la misma unidad, una vez terminada la etapa de arrendamiento. En cualquier caso, la valorización de la vivienda no podrá superar el quince por ciento (15%) nominal con respecto al avalúo inicial para efecto del otorgamiento del subsidio de adquisición.  </w:t>
      </w:r>
    </w:p>
    <w:p w14:paraId="1702AA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58B7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esta modalidad de subsidio sea aplicada sobre viviendas nuevas y se haya pactado la opción de compra sobre las mismas y el hogar decida no hacer uso de dicha opción, este no podrá aplicar al subsidio familiar de vivienda en la modalidad de adquisición dentro del año siguiente a la terminación de la etapa de arrendamiento.  </w:t>
      </w:r>
    </w:p>
    <w:p w14:paraId="5285BC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9BF5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modalidad de subsidio se puede aplicar de manera concurrente con el subsidio otorgado por distintas entidades otorgantes, que se encuentren dirigidos a financiar la tenencia de la vivienda en alquiler.  </w:t>
      </w:r>
    </w:p>
    <w:p w14:paraId="4D327C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D603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2.6. Concurrencia del subsidio familiar de vivienda. Es el mecanismo mediante el cual el hogar beneficiario puede acceder al subsidio familiar de vivienda otorgado por distintas entidades partícipes del Sistema Nacional de Vivienda de Interés Social para facilitar el acceso a una solución de vivienda y que es procedente cuando la naturaleza de las modalidades que se asignen de manera concurrente, </w:t>
      </w:r>
      <w:proofErr w:type="gramStart"/>
      <w:r w:rsidRPr="009342F9">
        <w:rPr>
          <w:rFonts w:ascii="Arial" w:eastAsia="Times New Roman" w:hAnsi="Arial" w:cs="Arial"/>
          <w:color w:val="000000"/>
          <w:lang w:eastAsia="es-CO"/>
        </w:rPr>
        <w:t>permitan</w:t>
      </w:r>
      <w:proofErr w:type="gramEnd"/>
      <w:r w:rsidRPr="009342F9">
        <w:rPr>
          <w:rFonts w:ascii="Arial" w:eastAsia="Times New Roman" w:hAnsi="Arial" w:cs="Arial"/>
          <w:color w:val="000000"/>
          <w:lang w:eastAsia="es-CO"/>
        </w:rPr>
        <w:t xml:space="preserve"> su aplicación sobre una misma solución de vivienda.  </w:t>
      </w:r>
    </w:p>
    <w:p w14:paraId="415744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F5A2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2.7. Oferentes de soluciones de vivienda. Es la persona natural o jurídica, patrimonio autónomo cuyo vocero es una sociedad fiduciaria o la entidad territorial, que puede construir o no directamente la solución de vivienda, dispone de la misma en el mercado y está legalmente habilitado para establecer el vínculo jurídico directo con los hogares beneficiarios del subsidio familiar, que se concreta en las soluciones para adquisición, construcción en sitio propio, mejoramiento de vivienda y arrendamiento o arrendamiento con opción de compra.  </w:t>
      </w:r>
    </w:p>
    <w:p w14:paraId="296A51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BAA2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2.8. Elegibilidad. La elegibilidad es la manifestación formal mediante la cual, y según la documentación aportada por el oferente, la entidad evaluadora emite concepto favorable de viabilidad a las modalidades de aplicación del subsidio familiar de vivienda cuyo desarrollo no requiera la expedición de licencias. La elegibilidad se emitirá previa verificación del cumplimiento de los requisitos exigidos en las normas urbanísticas, arquitectónicas y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w:t>
      </w:r>
    </w:p>
    <w:p w14:paraId="08ED0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D605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las modalidades que impliquen desarrollos que requieran licencias, la elegibilidad se entenderá dada por la expedición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xml:space="preserve"> y la radicación de los permisos de ventas para unidades nuevas.  </w:t>
      </w:r>
    </w:p>
    <w:p w14:paraId="158C72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21D8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2.9. Lote urbanizado. Se entiende por lote o terreno urbanizado, para cualquier modalidad de solución de vivienda, aquel que cuenta con las acometidas domiciliarias de servicios públicos de acueducto, alcantarillado y energía, vías de acceso y espacios públicos conforme a la normatividad urbanística de cada municipio.  </w:t>
      </w:r>
    </w:p>
    <w:p w14:paraId="557E37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168C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2.10. Postulación. Es la solicitud individual por parte de un hogar, suscrita por todos los miembros mayores de edad, con el objeto de acceder a un subsidio familiar de vivienda en cualquiera de las modalidades definidas en la ley o en la presente sección.  </w:t>
      </w:r>
    </w:p>
    <w:p w14:paraId="0A0730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D4DD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2.11. Recursos complementarios al subsidio para la adquisición de vivienda. Son los recursos con que cuenta el hogar postulante, que sumados al subsidio permiten al hogar el cierre financiero para acceder a una solución de vivienda en cualquiera de sus modalidades. Estos recursos pueden estar representados en ahorro, en crédito aprobado por los otorgantes de crédito o por los aportes económicos solidarios de los hogares representados en dinero y/o en trabajo comunitario, cuando a ello hubiere lugar; también podrán estar representados en aportes efectuados por entidades del orden departamental o municipal, o en donaciones efectuadas por Organizaciones No Gubernamentales y por entidades nacionales o internacionales y cualquier otro mecanismo que le permita complementar los recursos necesarios para acceder a la vivienda.  </w:t>
      </w:r>
    </w:p>
    <w:p w14:paraId="114453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4130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2.12. Otorgantes de crédito. Para efectos de la asignación del subsidio entre los postulantes seleccionados según el procedimiento que se establece en esta sección, se considerarán aceptables las cartas de aprobación de crédito complementario expedidas por los establecimientos de crédito, las cooperativas de ahorro y crédito, las cooperativas multiactivas e integrales con sección de ahorro y crédito, las Cajas de Compensación Familiar, los Fondos Mutuos de Inversión, los Fondos de Empleados y el Fondo Nacional de Ahorro y las cartas de aprobación de operaciones de leasing habitacional expedidas por las entidades autorizadas para realizar dicha actividad.  </w:t>
      </w:r>
    </w:p>
    <w:p w14:paraId="310099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FB49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También podrán determinarse como aceptables por parte de las entidades otorgantes del subsidio, las cartas de aprobación de crédito complementario emitidas por entidades distintas a las señaladas en el inciso anterior, o las relacionadas con distintos esquemas de financiación para que los hogares postulantes preseleccionados acrediten la existencia del crédito complementario requerido para la asignación del Subsidio Familiar de Vivienda de Interés Social. En todo caso, sólo podrán otorgar crédito para vivienda de interés social, las instituciones sometidas al control, vigilancia e intervención del Estado.  </w:t>
      </w:r>
    </w:p>
    <w:p w14:paraId="093EC6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4E4B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2.13. Carta de aprobación. Se entiende por carta de aprobación de crédito complementario, para los efectos de esta sección, la comunicación formal emitida por los otorgantes de crédito en la que se refleja el resultado favorable del análisis de riesgo crediticio del solicitante o solicitantes, como mínimo, en aquellos aspectos atinentes a su capacidad de endeudamiento, nivel de endeudamiento actual, comportamiento crediticio, hábitos de pago y confirmación de referencias. Dicho documento adicionalmente deberá contener la información de los solicitantes y las características y condiciones de la operación considerada y sólo podrá ser emitido por instituciones sometidas al control, vigilancia e intervención del Estado. También serán válidas las cartas de aprobación de operaciones de leasing habitacional expedidas por las entidades autorizadas para realizar dicha actividad.  </w:t>
      </w:r>
    </w:p>
    <w:p w14:paraId="7EB88D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182B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2.14. Organizaciones Populares de Vivienda. Son aquellas que han sido constituidas y reconocidas como entidades sin ánimo de lucro y tengan por objeto el desarrollo de programas de vivienda para sus afiliados, por sistemas de autogestión o participación comunitaria. Sus afiliados o asociados participan directamente, mediante aportes en dinero y trabajo comunitario, o en cualquiera de estas dos modalidades.  </w:t>
      </w:r>
    </w:p>
    <w:p w14:paraId="7F5B17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92AD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Se entiende por sistemas de autogestión o participación comunitaria, aquellos en los cuales el plan de construcción, adecuación o </w:t>
      </w:r>
      <w:proofErr w:type="gramStart"/>
      <w:r w:rsidRPr="009342F9">
        <w:rPr>
          <w:rFonts w:ascii="Arial" w:eastAsia="Times New Roman" w:hAnsi="Arial" w:cs="Arial"/>
          <w:color w:val="000000"/>
          <w:lang w:eastAsia="es-CO"/>
        </w:rPr>
        <w:t>mejoramiento,</w:t>
      </w:r>
      <w:proofErr w:type="gramEnd"/>
      <w:r w:rsidRPr="009342F9">
        <w:rPr>
          <w:rFonts w:ascii="Arial" w:eastAsia="Times New Roman" w:hAnsi="Arial" w:cs="Arial"/>
          <w:color w:val="000000"/>
          <w:lang w:eastAsia="es-CO"/>
        </w:rPr>
        <w:t xml:space="preserve"> se desarrolla con la participación de todos los afiliados, administrativa, técnica y financieramente. Estos sistemas pueden configurarse bajo las modalidades de autoconstrucción o construcción delegada.  </w:t>
      </w:r>
    </w:p>
    <w:p w14:paraId="6A2315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FE87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2.15. Procesos de Acompañamiento Social. Es el conjunto de mecanismos que promueven la inclusión social y la vinculación efectiva de los beneficiarios del Subsidio Familiar de Vivienda con los procesos necesarios para la provisión de soluciones de vivienda. Este componente permite la generación de sentido de pertenencia, participación ciudadana y contribuye a la consolidación de la cohesión social. En la etapa de postulación los procesos de acompañamiento social pueden estar asociados al conocimiento de las necesidades de los potenciales beneficiarios, y la realización de acciones de educación e inclusión financiera y la promoción de mecanismos para facilitar el cierre financiero por parte de los hogares.  </w:t>
      </w:r>
    </w:p>
    <w:p w14:paraId="65B0A6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E7A0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efectos del Programa de Vivienda de Interés Prioritario para Ahorradores, al que hace referencia la sección 2.1.1.3.1 del presente decreto, o las normas que lo modifiquen, adicionen o sustituyan, también será hogar objeto del Subsidio Familiar de Vivienda el que se encuentre conformado por una persona, o por menores de edad cuando ambos padres hayan fallecido, estén desaparecidos, privados de la libertad o hayan sido privados de la patria potestad; en estos últimos eventos, la postulación se realizará a través del tutor y/o curador en acompañamiento del defensor de familia, cuando sea del caso”.  </w:t>
      </w:r>
    </w:p>
    <w:p w14:paraId="31F9D980" w14:textId="7A5C512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D42CC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 w:name="ver_30069024"/>
      <w:bookmarkEnd w:id="18"/>
      <w:bookmarkEnd w:id="19"/>
      <w:bookmarkEnd w:id="20"/>
      <w:r w:rsidRPr="009342F9">
        <w:rPr>
          <w:rFonts w:ascii="Arial" w:eastAsia="Times New Roman" w:hAnsi="Arial" w:cs="Arial"/>
          <w:color w:val="000000"/>
          <w:lang w:eastAsia="es-CO"/>
        </w:rPr>
        <w:t>Artículo 2.1.1.1.1.1.3. Cobertura. El Subsidio Familiar de Vivienda de Interés Social de que trata esta sección tiene cobertura nacional y se aplica en todas las zonas definidas como suelo urbano en los Planes de Ordenamiento Territorial. </w:t>
      </w:r>
    </w:p>
    <w:p w14:paraId="7341B02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 w:name="ver_30200370"/>
      <w:bookmarkStart w:id="22" w:name="ver_30069025"/>
      <w:bookmarkEnd w:id="21"/>
    </w:p>
    <w:p w14:paraId="3A10B6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2.1.1.1.1.1.4. Postulantes. Son los hogares que carecen de recursos suficientes para adquirir, construir o mejorar una única solución de vivienda de interés social, cuyos ingresos totales mensuales no sean superiores al equivalente a cuatro (4) salarios mínimos legales mensuales vigentes, que cumplan con los requisitos que señalan las leyes vigentes y la presente sección. Para los beneficiarios del subsidio en la modalidad de arrendamiento o arrendamiento con opción de compra los ingresos totales mensuales no pueden ser superiores al equivalente a dos (2) salarios mínimos legales mensuales vigentes.  </w:t>
      </w:r>
    </w:p>
    <w:p w14:paraId="2E301B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9C9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personas que formen parte de hogares beneficiarios del subsidio podrán postular nuevamente a este, cuando en el futuro conformen un nuevo hogar, siempre y cuando cumplan con las condiciones exigidas para ello. Para el efecto, el Ministerio de Vivienda, Ciudad y Territorio establecerá las condiciones y requisitos para acreditar tal situación.  </w:t>
      </w:r>
    </w:p>
    <w:p w14:paraId="405CCB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F159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Cuando se produzca la disolución de la sociedad conyugal o de la unión marital de hecho, podrá ser parte de un nuevo hogar postulante el cónyuge que no viva en la solución habitacional en donde se aplicó el subsidio, siempre y cuando a este no se le hayan adjudicado los derechos de propiedad sobre la solución habitacional subsidiada.  </w:t>
      </w:r>
    </w:p>
    <w:p w14:paraId="3FFF1F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5BF6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personas que soliciten el Subsidio Familiar de Vivienda de Interés Social y que una vez verificada la información presentada no cumplan con los requisitos establecidos en la presente sección, no se considerarán como postulantes.  </w:t>
      </w:r>
    </w:p>
    <w:p w14:paraId="181F02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A18A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hogares deberán mantener las condiciones y requisitos para el acceso al subsidio familiar de vivienda desde la postulación hasta su asignación y desembolso. Surtida la postulación y hasta la asignación del subsidio no podrá modificarse la conformación del hogar.  </w:t>
      </w:r>
    </w:p>
    <w:p w14:paraId="685E3E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9AAE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Cuando el hogar esté conformado por miembros mayores y menores de edad y los primeros fallezcan antes del giro o de la legalización del subsidio familiar de vivienda otorgado, podrán suscribirse los actos jurídicos de aplicación del subsidio por el defensor de familia en representación de los menores beneficiarios del subsidio, quien deberá velar por los intereses de estos mientras el juez determina en cabeza de quien estará la curaduría y guarda de los mismos”.  </w:t>
      </w:r>
    </w:p>
    <w:p w14:paraId="4EB640B3" w14:textId="633BFC3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3" w:name="ver_30069026"/>
      <w:bookmarkEnd w:id="22"/>
      <w:bookmarkEnd w:id="23"/>
    </w:p>
    <w:p w14:paraId="40DCFD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2.1.1.1.1.1.5. Entidades otorgantes del subsidio familiar de vivienda de interés social y recursos. Las entidades otorgantes del subsidio familiar de vivienda de que trata esta sección serán el Fondo Nacional de Vivienda con cargo a los recursos definidos en el Decreto-ley 555 de 2003, o la entidad que haga sus veces y las Cajas de Compensación Familiar con las contribuciones parafiscales administradas por estas, todo ello de conformidad con lo establecido en las normas vigentes aplicables a la materia. </w:t>
      </w:r>
    </w:p>
    <w:p w14:paraId="78FE95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AF7E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conformidad con lo dispuesto por el inciso 2° del artículo 91 de la Ley 388 de 1997, los recursos que destine el Gobierno Nacional para la asignación de los subsidios de vivienda de interés social que se canalizan por conducto del Fondo Nacional de Vivienda se dirigirán prioritariamente a atender las postulaciones de la población con menos recursos, dentro de la cual se encuentran las personas no vinculadas al sistema formal de trabajo. </w:t>
      </w:r>
    </w:p>
    <w:p w14:paraId="3C97C9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220B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personas afiliadas al sistema formal de trabajo serán atendidas en forma prioritaria por las Cajas de Compensación Familiar, de conformidad con lo establecido en el artículo 68 de la Ley 49 de 1990, los artículos 63 y 67 de la Ley 633 de 2000 y el artículo 4° de la Ley 1114 de 2006. </w:t>
      </w:r>
    </w:p>
    <w:p w14:paraId="0327E8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060D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las ciudades y/o departamentos en donde las Cajas de Compensación Familiar no tengan la obligación de constituir Fondos para Vivienda de Interés Social,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o cuando el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de recaudo sea menor o igual al ochenta por ciento (80%), el Fondo Nacional de Vivienda deberá aceptar y tramitar las solicitudes de Subsidio Familiar de Vivienda, para los afiliados a tales Cajas de Compensación Familiar con ingresos familiares hasta de dos (2) salarios mínimos mensuales legales. Los solicitantes de subsidio familiar de vivienda ante el Fondo Nacional de Vivienda deberán acreditar en la respectiva postulación que la condición anteriormente mencionada es predicable de la Caja de Compensación Familiar del caso, mediante certificación emitida por la misma. </w:t>
      </w:r>
    </w:p>
    <w:p w14:paraId="5C30C8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77A1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sujeción a las condiciones establecidas en la presente sección, las Cajas de Compensación Familiar operarán de manera autónoma con respecto a sus beneficiarios y serán los responsables del montaje y operación de los procesos de postulación, calificación, asignación y pago de los subsidios. Así mismo, serán responsables de suministrar la información relativa a sus postulantes al Sistema de Información de Subsidios. </w:t>
      </w:r>
    </w:p>
    <w:p w14:paraId="1D777EE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4" w:name="ver_30069027"/>
      <w:bookmarkEnd w:id="24"/>
      <w:r w:rsidRPr="009342F9">
        <w:rPr>
          <w:rFonts w:ascii="Arial" w:eastAsia="Times New Roman" w:hAnsi="Arial" w:cs="Arial"/>
          <w:color w:val="000000"/>
          <w:lang w:eastAsia="es-CO"/>
        </w:rPr>
        <w:t>  </w:t>
      </w:r>
    </w:p>
    <w:p w14:paraId="0C4CE8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2.1.1.1.1.1.6. Clasificación de los municipios y distritos. Para efectos de lo establecido en la presente sección, los distritos y municipios se clasifican conforme a lo dispuesto en el artículo 2° de la Ley 617 de 2000 que contempla criterios de distribución poblacional e ingresos corrientes de libre destinación. Dicha clasificación comprende una categorización de los municipios bajo las siguientes denominaciones: </w:t>
      </w:r>
    </w:p>
    <w:p w14:paraId="7D7B46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531D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Categoría Especial; </w:t>
      </w:r>
    </w:p>
    <w:p w14:paraId="78955E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4D23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Categoría Uno; </w:t>
      </w:r>
    </w:p>
    <w:p w14:paraId="4B4867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AFBA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Categoría Dos; </w:t>
      </w:r>
    </w:p>
    <w:p w14:paraId="77819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8CEA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Categoría Tres; </w:t>
      </w:r>
    </w:p>
    <w:p w14:paraId="560BFD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08CD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Categoría Cuatro; </w:t>
      </w:r>
    </w:p>
    <w:p w14:paraId="5DB8C6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A34F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Categoría Cinco; </w:t>
      </w:r>
    </w:p>
    <w:p w14:paraId="583838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E6AF3C" w14:textId="03954D5B" w:rsidR="00FC79C1" w:rsidRPr="009342F9" w:rsidRDefault="00FC79C1" w:rsidP="00FC79C1">
      <w:pPr>
        <w:spacing w:after="0" w:line="240" w:lineRule="auto"/>
        <w:jc w:val="both"/>
        <w:rPr>
          <w:rFonts w:ascii="Arial" w:eastAsia="Times New Roman" w:hAnsi="Arial" w:cs="Arial"/>
          <w:color w:val="000000"/>
          <w:lang w:eastAsia="es-CO"/>
        </w:rPr>
      </w:pPr>
      <w:r w:rsidRPr="3DD719FF">
        <w:rPr>
          <w:rFonts w:ascii="Arial" w:eastAsia="Times New Roman" w:hAnsi="Arial" w:cs="Arial"/>
          <w:color w:val="000000" w:themeColor="text1"/>
          <w:lang w:eastAsia="es-CO"/>
        </w:rPr>
        <w:t>g) Categoría Seis. </w:t>
      </w:r>
    </w:p>
    <w:p w14:paraId="3834CA67" w14:textId="07566D5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5" w:name="ver_30200371"/>
      <w:bookmarkStart w:id="26" w:name="ver_30069028"/>
      <w:bookmarkEnd w:id="25"/>
    </w:p>
    <w:p w14:paraId="5C4599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w:t>
      </w:r>
      <w:proofErr w:type="gramStart"/>
      <w:r w:rsidRPr="009342F9">
        <w:rPr>
          <w:rFonts w:ascii="Arial" w:eastAsia="Times New Roman" w:hAnsi="Arial" w:cs="Arial"/>
          <w:color w:val="000000"/>
          <w:lang w:eastAsia="es-CO"/>
        </w:rPr>
        <w:t>7.Destinación</w:t>
      </w:r>
      <w:proofErr w:type="gramEnd"/>
      <w:r w:rsidRPr="009342F9">
        <w:rPr>
          <w:rFonts w:ascii="Arial" w:eastAsia="Times New Roman" w:hAnsi="Arial" w:cs="Arial"/>
          <w:color w:val="000000"/>
          <w:lang w:eastAsia="es-CO"/>
        </w:rPr>
        <w:t xml:space="preserve"> del subsidio familiar de vivienda y valor de las viviendas a las cuales puede aplicarse. El Subsidio Familiar de Vivienda que se otorgue con cargo a los recursos del Presupuesto Nacional, aplicará para la adquisición de una vivienda nueva o usada, o para la construcción en sitio propio, mejoramiento de vivienda, o arrendamiento y arrendamiento con opción de compra, de viviendas de Interés Social y de Interés Prioritario conforme a su definición en la presente sección.  </w:t>
      </w:r>
    </w:p>
    <w:p w14:paraId="75160A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A4F0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subsidio familiar de vivienda otorgado por las Cajas de Compensación Familiar con cargo a los recursos por estas administrados, aplicará para la adquisición de una vivienda nueva, la construcción en sitio propio, el mejoramiento de vivienda, el arrendamiento y arrendamiento con opción de compra, de viviendas de Interés Social y de Interés Prioritario, y excepcionalmente para adquisición de vivienda usada de acuerdo con lo estipulado en los artículos 2.1.1.1.2.1.9; 2.1.1.1.4.3; 2.1.1.1.5.4; 2.1.1.1.7.3 y 2.1.1.1.8.2.2 del presente decreto.  </w:t>
      </w:r>
    </w:p>
    <w:p w14:paraId="77A0EF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16F3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valor de la vivienda nueva será el estipulado en el avalúo comercial que se realice conforme a la normatividad vigente, el cual debe ser aportado por el hogar o realizarse durante el proceso de aprobación del mecanismo de financiación adicional escogido por el hogar, y se presumirá que el mismo incluye tanto el valor de los bienes muebles e inmuebles que presten usos y servicios complementarios o conexos a los mismos tales como parqueaderos, depósitos, buhardillas, terrazas, antejardines o patios, como el correspondiente a contratos de mejoras o acabados suscritos con el oferente o con terceros.  </w:t>
      </w:r>
    </w:p>
    <w:p w14:paraId="2F7F85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4438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los casos de mejoramiento de vivienda y construcción en sitio propio, se tendrá como valor de la vivienda el que arroje el presupuesto de obra con el correspondiente costo financiero, adicionado, en el caso de construcción en sitio propio, con el valor del terreno o lote, valorado de acuerdo con el respectivo avalúo catastral, para arrendamiento y arrendamiento con opción de compra se tendrá como valor de la vivienda el que se determine en el avalúo comercial que aporte el arrendador del inmueble.  </w:t>
      </w:r>
    </w:p>
    <w:p w14:paraId="36409D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E123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subsidios familiares de vivienda otorgados por el Fondo Nacional de Vivienda en la modalidad de adquisición de vivienda nueva, con cargo a los recursos de la Bolsa Ordinaria, que al 12 de junio de 2009 se encuentren vigentes y no cobrados y no estén vinculados a procesos de compraventa de inmuebles a través de la correspondiente promesa de compraventa, podrán ser aplicados dentro de su vigencia para la adquisición de vivienda usada, en el tipo de vivienda al cual se postuló en el respectivo departamento” </w:t>
      </w:r>
    </w:p>
    <w:p w14:paraId="51515C3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7" w:name="ver_30200372"/>
      <w:bookmarkStart w:id="28" w:name="ver_30109513"/>
      <w:bookmarkStart w:id="29" w:name="ver_30109515"/>
      <w:bookmarkStart w:id="30" w:name="ver_30189945"/>
      <w:bookmarkStart w:id="31" w:name="ver_30167151"/>
      <w:bookmarkEnd w:id="26"/>
      <w:bookmarkEnd w:id="27"/>
    </w:p>
    <w:p w14:paraId="394CB0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w:t>
      </w:r>
      <w:proofErr w:type="gramStart"/>
      <w:r w:rsidRPr="009342F9">
        <w:rPr>
          <w:rFonts w:ascii="Arial" w:eastAsia="Times New Roman" w:hAnsi="Arial" w:cs="Arial"/>
          <w:color w:val="000000"/>
          <w:lang w:eastAsia="es-CO"/>
        </w:rPr>
        <w:t>8.Valor</w:t>
      </w:r>
      <w:proofErr w:type="gramEnd"/>
      <w:r w:rsidRPr="009342F9">
        <w:rPr>
          <w:rFonts w:ascii="Arial" w:eastAsia="Times New Roman" w:hAnsi="Arial" w:cs="Arial"/>
          <w:color w:val="000000"/>
          <w:lang w:eastAsia="es-CO"/>
        </w:rPr>
        <w:t xml:space="preserve"> del Subsidio Familiar de Vivienda Urbano. El monto del Subsidio Familiar de Vivienda Urbana se determinará de la siguiente manera:  </w:t>
      </w:r>
    </w:p>
    <w:p w14:paraId="4E0DDA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88F0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monto del Subsidio Familiar de Vivienda que otorgue el Fondo Nacional de Vivienda (Fonvivienda), con cargo a los recursos del Presupuesto Nacional, se determinará teniendo en cuenta el puntaje Sisbén vigente del respectivo jefe del hogar postulante, y la modalidad de asignación del subsidio familiar de vivienda, así:  </w:t>
      </w:r>
    </w:p>
    <w:p w14:paraId="14808B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704A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Adquisición de vivienda nueva o usada: El valor corresponderá, como máximo, al que se indica en salarios mínimos mensuales legales vigentes en la siguiente tabla:  </w:t>
      </w:r>
    </w:p>
    <w:p w14:paraId="7047F2D1" w14:textId="61E9E6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30"/>
        <w:gridCol w:w="1290"/>
        <w:gridCol w:w="1275"/>
        <w:gridCol w:w="1275"/>
        <w:gridCol w:w="4110"/>
      </w:tblGrid>
      <w:tr w:rsidR="00FC79C1" w:rsidRPr="009342F9" w14:paraId="29563296" w14:textId="77777777" w:rsidTr="00FC79C1">
        <w:trPr>
          <w:trHeight w:val="105"/>
          <w:tblCellSpacing w:w="0" w:type="dxa"/>
        </w:trPr>
        <w:tc>
          <w:tcPr>
            <w:tcW w:w="2520" w:type="dxa"/>
            <w:gridSpan w:val="2"/>
            <w:tcBorders>
              <w:top w:val="outset" w:sz="6" w:space="0" w:color="auto"/>
              <w:left w:val="outset" w:sz="6" w:space="0" w:color="auto"/>
              <w:bottom w:val="outset" w:sz="6" w:space="0" w:color="auto"/>
              <w:right w:val="outset" w:sz="6" w:space="0" w:color="auto"/>
            </w:tcBorders>
            <w:vAlign w:val="center"/>
            <w:hideMark/>
          </w:tcPr>
          <w:p w14:paraId="133B1F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Puntaje Sisbén Urbano </w:t>
            </w:r>
          </w:p>
        </w:tc>
        <w:tc>
          <w:tcPr>
            <w:tcW w:w="2550" w:type="dxa"/>
            <w:gridSpan w:val="2"/>
            <w:tcBorders>
              <w:top w:val="outset" w:sz="6" w:space="0" w:color="auto"/>
              <w:left w:val="outset" w:sz="6" w:space="0" w:color="auto"/>
              <w:bottom w:val="outset" w:sz="6" w:space="0" w:color="auto"/>
              <w:right w:val="outset" w:sz="6" w:space="0" w:color="auto"/>
            </w:tcBorders>
            <w:vAlign w:val="center"/>
            <w:hideMark/>
          </w:tcPr>
          <w:p w14:paraId="5E31A1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Puntaje Sisbén Rural </w:t>
            </w:r>
          </w:p>
        </w:tc>
        <w:tc>
          <w:tcPr>
            <w:tcW w:w="4110" w:type="dxa"/>
            <w:vMerge w:val="restart"/>
            <w:tcBorders>
              <w:top w:val="outset" w:sz="6" w:space="0" w:color="auto"/>
              <w:left w:val="outset" w:sz="6" w:space="0" w:color="auto"/>
              <w:bottom w:val="outset" w:sz="6" w:space="0" w:color="auto"/>
              <w:right w:val="outset" w:sz="6" w:space="0" w:color="auto"/>
            </w:tcBorders>
            <w:vAlign w:val="center"/>
            <w:hideMark/>
          </w:tcPr>
          <w:p w14:paraId="3101B3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Valor del subsidio en salarios mínimos legales mensuales vigentes </w:t>
            </w:r>
          </w:p>
        </w:tc>
      </w:tr>
      <w:tr w:rsidR="00FC79C1" w:rsidRPr="009342F9" w14:paraId="225EAEE9"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6ADF76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Desde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9CAC2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2903C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Desde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26975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62CB0A80" w14:textId="77777777" w:rsidR="00FC79C1" w:rsidRPr="009342F9" w:rsidRDefault="00FC79C1" w:rsidP="00FC79C1">
            <w:pPr>
              <w:spacing w:after="0" w:line="240" w:lineRule="auto"/>
              <w:jc w:val="both"/>
              <w:rPr>
                <w:rFonts w:ascii="Arial" w:eastAsia="Times New Roman" w:hAnsi="Arial" w:cs="Arial"/>
                <w:color w:val="000000"/>
                <w:lang w:eastAsia="es-CO"/>
              </w:rPr>
            </w:pPr>
          </w:p>
        </w:tc>
      </w:tr>
      <w:tr w:rsidR="00FC79C1" w:rsidRPr="009342F9" w14:paraId="189D243E"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2568F5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0  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69AC1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10,88  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9FEA3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0  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8D9B2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17,9  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52977C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w:t>
            </w:r>
          </w:p>
        </w:tc>
      </w:tr>
      <w:tr w:rsidR="00FC79C1" w:rsidRPr="009342F9" w14:paraId="0508A1DB"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5F8413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10,88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68F578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14,81  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C2432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17,9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3ACCA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25,4  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16D85A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21,5  </w:t>
            </w:r>
          </w:p>
        </w:tc>
      </w:tr>
      <w:tr w:rsidR="00FC79C1" w:rsidRPr="009342F9" w14:paraId="35AF7BA6"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37360D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14,81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FBC30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18,75  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61A2BB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&gt;25,4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B0A7D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30,6  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1C81AB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w:t>
            </w:r>
          </w:p>
        </w:tc>
      </w:tr>
      <w:tr w:rsidR="00FC79C1" w:rsidRPr="009342F9" w14:paraId="10763856"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282763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18,75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A1C2C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20,72  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5D392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30,6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0A21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35,4  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748E41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19  </w:t>
            </w:r>
          </w:p>
        </w:tc>
      </w:tr>
      <w:tr w:rsidR="00FC79C1" w:rsidRPr="009342F9" w14:paraId="0A59F202"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225BFB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20,72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DB945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22,69  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07A4A9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35,4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30406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40,4  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5C7833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w:t>
            </w:r>
          </w:p>
        </w:tc>
      </w:tr>
      <w:tr w:rsidR="00FC79C1" w:rsidRPr="009342F9" w14:paraId="42BADDBD"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37A5F1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22,69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43051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24,66  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CC25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&gt;40,4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77622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41,4  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1A18C1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w:t>
            </w:r>
          </w:p>
        </w:tc>
      </w:tr>
      <w:tr w:rsidR="00FC79C1" w:rsidRPr="009342F9" w14:paraId="7C9A7CAD"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15D97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24,66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1BFC9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26,63  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45AA01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&gt;41,4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60BD9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42,5  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2FAC35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w:t>
            </w:r>
          </w:p>
        </w:tc>
      </w:tr>
      <w:tr w:rsidR="00FC79C1" w:rsidRPr="009342F9" w14:paraId="7CCAAF47"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4DADF7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26,63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5FEBC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30,56  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38814B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42,5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532C66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49,4  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696C5A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w:t>
            </w:r>
          </w:p>
        </w:tc>
      </w:tr>
      <w:tr w:rsidR="00FC79C1" w:rsidRPr="009342F9" w14:paraId="0FBAA6A2" w14:textId="77777777" w:rsidTr="00FC79C1">
        <w:trPr>
          <w:trHeight w:val="105"/>
          <w:tblCellSpacing w:w="0" w:type="dxa"/>
        </w:trPr>
        <w:tc>
          <w:tcPr>
            <w:tcW w:w="1230" w:type="dxa"/>
            <w:tcBorders>
              <w:top w:val="outset" w:sz="6" w:space="0" w:color="auto"/>
              <w:left w:val="outset" w:sz="6" w:space="0" w:color="auto"/>
              <w:bottom w:val="outset" w:sz="6" w:space="0" w:color="auto"/>
              <w:right w:val="outset" w:sz="6" w:space="0" w:color="auto"/>
            </w:tcBorders>
            <w:vAlign w:val="center"/>
            <w:hideMark/>
          </w:tcPr>
          <w:p w14:paraId="06B32A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30,56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226BDC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34,5  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1EEFD6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49,4  </w:t>
            </w:r>
          </w:p>
        </w:tc>
        <w:tc>
          <w:tcPr>
            <w:tcW w:w="1275" w:type="dxa"/>
            <w:tcBorders>
              <w:top w:val="outset" w:sz="6" w:space="0" w:color="auto"/>
              <w:left w:val="outset" w:sz="6" w:space="0" w:color="auto"/>
              <w:bottom w:val="outset" w:sz="6" w:space="0" w:color="auto"/>
              <w:right w:val="outset" w:sz="6" w:space="0" w:color="auto"/>
            </w:tcBorders>
            <w:vAlign w:val="center"/>
            <w:hideMark/>
          </w:tcPr>
          <w:p w14:paraId="71FD68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53,4  </w:t>
            </w:r>
          </w:p>
        </w:tc>
        <w:tc>
          <w:tcPr>
            <w:tcW w:w="4110" w:type="dxa"/>
            <w:tcBorders>
              <w:top w:val="outset" w:sz="6" w:space="0" w:color="auto"/>
              <w:left w:val="outset" w:sz="6" w:space="0" w:color="auto"/>
              <w:bottom w:val="outset" w:sz="6" w:space="0" w:color="auto"/>
              <w:right w:val="outset" w:sz="6" w:space="0" w:color="auto"/>
            </w:tcBorders>
            <w:vAlign w:val="center"/>
            <w:hideMark/>
          </w:tcPr>
          <w:p w14:paraId="218F40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w:t>
            </w:r>
          </w:p>
        </w:tc>
      </w:tr>
    </w:tbl>
    <w:p w14:paraId="069742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ECB9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Construcción en sitio propio: El valor corresponderá, como máximo, a dieciocho (18) Salarios Mínimos Legales Mensuales Vigentes;  </w:t>
      </w:r>
    </w:p>
    <w:p w14:paraId="5B9A28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1C66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Mejoramiento de vivienda: El valor corresponderá, como máximo, a dieciocho (18) Salarios Mínimos Legales Mensuales Vigentes;  </w:t>
      </w:r>
    </w:p>
    <w:p w14:paraId="1092BD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7686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 Arrendamiento y Arrendamiento con Opción de Compra: El valor corresponderá, como máximo, a </w:t>
      </w:r>
      <w:proofErr w:type="gramStart"/>
      <w:r w:rsidRPr="009342F9">
        <w:rPr>
          <w:rFonts w:ascii="Arial" w:eastAsia="Times New Roman" w:hAnsi="Arial" w:cs="Arial"/>
          <w:color w:val="000000"/>
          <w:lang w:eastAsia="es-CO"/>
        </w:rPr>
        <w:t>cero punto</w:t>
      </w:r>
      <w:proofErr w:type="gramEnd"/>
      <w:r w:rsidRPr="009342F9">
        <w:rPr>
          <w:rFonts w:ascii="Arial" w:eastAsia="Times New Roman" w:hAnsi="Arial" w:cs="Arial"/>
          <w:color w:val="000000"/>
          <w:lang w:eastAsia="es-CO"/>
        </w:rPr>
        <w:t xml:space="preserve"> seis (0.6) Salarios Mínimos Legales Mensuales Vigentes por cada canon mensual de arrendamiento hasta por veinticuatro (24) meses.  </w:t>
      </w:r>
    </w:p>
    <w:p w14:paraId="26168D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32B8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todo caso, la asignación del subsidio en el marco de lo dispuesto en esta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estará sujeta a la disponibilidad de recursos en el Presupuesto General de la Nación a través del Fondo Nacional de Vivienda (Fonvivienda) o quien haga sus veces. La apropiación de estos recursos deberá guardar concordancia con la disponibilidad fiscal establecida tanto en el Marco de Gasto de Mediano Plazo del sector, como en el Marco Fiscal de Mediano Plazo.  </w:t>
      </w:r>
    </w:p>
    <w:p w14:paraId="16EC9A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DD36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monto del Subsidio Familiar de Vivienda que otorguen las Cajas de Compensación Familiar, con cargo a recursos parafiscales, se determinará teniendo en cuenta los ingresos mensuales del hogar, en SMMLV, y la modalidad de asignación del SFV, de acuerdo con lo establecido a continuación:  </w:t>
      </w:r>
    </w:p>
    <w:p w14:paraId="7A934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6AD3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Adquisición de vivienda nueva: El valor del Subsidio Familiar de Vivienda no podrá superar el definido en la siguiente tabla:  </w:t>
      </w:r>
    </w:p>
    <w:p w14:paraId="1D3A30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5"/>
        <w:gridCol w:w="2265"/>
        <w:gridCol w:w="3690"/>
      </w:tblGrid>
      <w:tr w:rsidR="00FC79C1" w:rsidRPr="009342F9" w14:paraId="31A38981" w14:textId="77777777" w:rsidTr="00FC79C1">
        <w:trPr>
          <w:trHeight w:val="255"/>
          <w:tblCellSpacing w:w="0" w:type="dxa"/>
          <w:jc w:val="center"/>
        </w:trPr>
        <w:tc>
          <w:tcPr>
            <w:tcW w:w="4530" w:type="dxa"/>
            <w:gridSpan w:val="2"/>
            <w:tcBorders>
              <w:top w:val="outset" w:sz="6" w:space="0" w:color="auto"/>
              <w:left w:val="outset" w:sz="6" w:space="0" w:color="auto"/>
              <w:bottom w:val="outset" w:sz="6" w:space="0" w:color="auto"/>
              <w:right w:val="outset" w:sz="6" w:space="0" w:color="auto"/>
            </w:tcBorders>
            <w:vAlign w:val="center"/>
            <w:hideMark/>
          </w:tcPr>
          <w:p w14:paraId="5C7023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Ingresos del Hogar en salarios mínimos legales mensuales vigentes </w:t>
            </w:r>
          </w:p>
        </w:tc>
        <w:tc>
          <w:tcPr>
            <w:tcW w:w="3690" w:type="dxa"/>
            <w:vMerge w:val="restart"/>
            <w:tcBorders>
              <w:top w:val="outset" w:sz="6" w:space="0" w:color="auto"/>
              <w:left w:val="outset" w:sz="6" w:space="0" w:color="auto"/>
              <w:bottom w:val="outset" w:sz="6" w:space="0" w:color="auto"/>
              <w:right w:val="outset" w:sz="6" w:space="0" w:color="auto"/>
            </w:tcBorders>
            <w:vAlign w:val="center"/>
            <w:hideMark/>
          </w:tcPr>
          <w:p w14:paraId="5518C0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Valor del Subsidio en salarios mínimos legales mensuales vigentes </w:t>
            </w:r>
          </w:p>
        </w:tc>
      </w:tr>
      <w:tr w:rsidR="00FC79C1" w:rsidRPr="009342F9" w14:paraId="0ADC608D"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69DEF4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Desde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295A90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1266BFE5" w14:textId="77777777" w:rsidR="00FC79C1" w:rsidRPr="009342F9" w:rsidRDefault="00FC79C1" w:rsidP="00FC79C1">
            <w:pPr>
              <w:spacing w:after="0" w:line="240" w:lineRule="auto"/>
              <w:jc w:val="both"/>
              <w:rPr>
                <w:rFonts w:ascii="Arial" w:eastAsia="Times New Roman" w:hAnsi="Arial" w:cs="Arial"/>
                <w:color w:val="000000"/>
                <w:lang w:eastAsia="es-CO"/>
              </w:rPr>
            </w:pPr>
          </w:p>
        </w:tc>
      </w:tr>
      <w:tr w:rsidR="00FC79C1" w:rsidRPr="009342F9" w14:paraId="092AD241"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4370C9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0  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58DEE5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w:t>
            </w:r>
          </w:p>
        </w:tc>
        <w:tc>
          <w:tcPr>
            <w:tcW w:w="3690" w:type="dxa"/>
            <w:tcBorders>
              <w:top w:val="outset" w:sz="6" w:space="0" w:color="auto"/>
              <w:left w:val="outset" w:sz="6" w:space="0" w:color="auto"/>
              <w:bottom w:val="outset" w:sz="6" w:space="0" w:color="auto"/>
              <w:right w:val="outset" w:sz="6" w:space="0" w:color="auto"/>
            </w:tcBorders>
            <w:vAlign w:val="center"/>
            <w:hideMark/>
          </w:tcPr>
          <w:p w14:paraId="7A1816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30  </w:t>
            </w:r>
          </w:p>
        </w:tc>
      </w:tr>
      <w:tr w:rsidR="00FC79C1" w:rsidRPr="009342F9" w14:paraId="6F19F82C"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4AD0AE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&gt;2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42B7C9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w:t>
            </w:r>
          </w:p>
        </w:tc>
        <w:tc>
          <w:tcPr>
            <w:tcW w:w="3690" w:type="dxa"/>
            <w:tcBorders>
              <w:top w:val="outset" w:sz="6" w:space="0" w:color="auto"/>
              <w:left w:val="outset" w:sz="6" w:space="0" w:color="auto"/>
              <w:bottom w:val="outset" w:sz="6" w:space="0" w:color="auto"/>
              <w:right w:val="outset" w:sz="6" w:space="0" w:color="auto"/>
            </w:tcBorders>
            <w:vAlign w:val="center"/>
            <w:hideMark/>
          </w:tcPr>
          <w:p w14:paraId="1FB147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20  </w:t>
            </w:r>
          </w:p>
        </w:tc>
      </w:tr>
    </w:tbl>
    <w:p w14:paraId="52529A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EB1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Adquisición de vivienda usada: El valor del Subsidio Familiar de Vivienda no podrá superar el definido en la siguiente tabla:  </w:t>
      </w:r>
    </w:p>
    <w:p w14:paraId="673CC2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65"/>
        <w:gridCol w:w="2265"/>
        <w:gridCol w:w="3825"/>
      </w:tblGrid>
      <w:tr w:rsidR="00FC79C1" w:rsidRPr="009342F9" w14:paraId="0E4FCC82" w14:textId="77777777" w:rsidTr="00FC79C1">
        <w:trPr>
          <w:trHeight w:val="255"/>
          <w:tblCellSpacing w:w="0" w:type="dxa"/>
          <w:jc w:val="center"/>
        </w:trPr>
        <w:tc>
          <w:tcPr>
            <w:tcW w:w="4530" w:type="dxa"/>
            <w:gridSpan w:val="2"/>
            <w:tcBorders>
              <w:top w:val="outset" w:sz="6" w:space="0" w:color="auto"/>
              <w:left w:val="outset" w:sz="6" w:space="0" w:color="auto"/>
              <w:bottom w:val="outset" w:sz="6" w:space="0" w:color="auto"/>
              <w:right w:val="outset" w:sz="6" w:space="0" w:color="auto"/>
            </w:tcBorders>
            <w:vAlign w:val="center"/>
            <w:hideMark/>
          </w:tcPr>
          <w:p w14:paraId="2109DA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Ingresos del Hogar en salarios mínimos legales mensuales vigentes </w:t>
            </w:r>
          </w:p>
        </w:tc>
        <w:tc>
          <w:tcPr>
            <w:tcW w:w="3825" w:type="dxa"/>
            <w:vMerge w:val="restart"/>
            <w:tcBorders>
              <w:top w:val="outset" w:sz="6" w:space="0" w:color="auto"/>
              <w:left w:val="outset" w:sz="6" w:space="0" w:color="auto"/>
              <w:bottom w:val="outset" w:sz="6" w:space="0" w:color="auto"/>
              <w:right w:val="outset" w:sz="6" w:space="0" w:color="auto"/>
            </w:tcBorders>
            <w:vAlign w:val="center"/>
            <w:hideMark/>
          </w:tcPr>
          <w:p w14:paraId="120CC0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Valor del Subsidio en salarios mínimos legales mensuales vigentes </w:t>
            </w:r>
          </w:p>
        </w:tc>
      </w:tr>
      <w:tr w:rsidR="00FC79C1" w:rsidRPr="009342F9" w14:paraId="01635532"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266552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Desde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180C40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w:t>
            </w:r>
          </w:p>
        </w:tc>
        <w:tc>
          <w:tcPr>
            <w:tcW w:w="0" w:type="auto"/>
            <w:vMerge/>
            <w:tcBorders>
              <w:top w:val="outset" w:sz="6" w:space="0" w:color="auto"/>
              <w:left w:val="outset" w:sz="6" w:space="0" w:color="auto"/>
              <w:bottom w:val="outset" w:sz="6" w:space="0" w:color="auto"/>
              <w:right w:val="outset" w:sz="6" w:space="0" w:color="auto"/>
            </w:tcBorders>
            <w:vAlign w:val="center"/>
            <w:hideMark/>
          </w:tcPr>
          <w:p w14:paraId="290A0B61" w14:textId="77777777" w:rsidR="00FC79C1" w:rsidRPr="009342F9" w:rsidRDefault="00FC79C1" w:rsidP="00FC79C1">
            <w:pPr>
              <w:spacing w:after="0" w:line="240" w:lineRule="auto"/>
              <w:jc w:val="both"/>
              <w:rPr>
                <w:rFonts w:ascii="Arial" w:eastAsia="Times New Roman" w:hAnsi="Arial" w:cs="Arial"/>
                <w:color w:val="000000"/>
                <w:lang w:eastAsia="es-CO"/>
              </w:rPr>
            </w:pPr>
          </w:p>
        </w:tc>
      </w:tr>
      <w:tr w:rsidR="00FC79C1" w:rsidRPr="009342F9" w14:paraId="791485C5"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5AC801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0  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45E22D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10F3EE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w:t>
            </w:r>
          </w:p>
        </w:tc>
      </w:tr>
      <w:tr w:rsidR="00FC79C1" w:rsidRPr="009342F9" w14:paraId="023A545B"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235CC6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1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3946B0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67F6CD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21.5  </w:t>
            </w:r>
          </w:p>
        </w:tc>
      </w:tr>
      <w:tr w:rsidR="00FC79C1" w:rsidRPr="009342F9" w14:paraId="2BE09B52"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12C2DE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&gt;1.5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58DEE4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79F44A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w:t>
            </w:r>
          </w:p>
        </w:tc>
      </w:tr>
      <w:tr w:rsidR="00FC79C1" w:rsidRPr="009342F9" w14:paraId="17BD6AD9"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62B36A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2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180AEA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2.25  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75C4BE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19  </w:t>
            </w:r>
          </w:p>
        </w:tc>
      </w:tr>
      <w:tr w:rsidR="00FC79C1" w:rsidRPr="009342F9" w14:paraId="41EB4FEB"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58B8CF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2.25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44F516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095FF9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w:t>
            </w:r>
          </w:p>
        </w:tc>
      </w:tr>
      <w:tr w:rsidR="00FC79C1" w:rsidRPr="009342F9" w14:paraId="0A40B91A"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7B65C1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2.5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09BDA1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2.75  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4AFA95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w:t>
            </w:r>
          </w:p>
        </w:tc>
      </w:tr>
      <w:tr w:rsidR="00FC79C1" w:rsidRPr="009342F9" w14:paraId="246E246B"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7009C3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&gt;2.75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41957A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1E93BA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w:t>
            </w:r>
          </w:p>
        </w:tc>
      </w:tr>
      <w:tr w:rsidR="00FC79C1" w:rsidRPr="009342F9" w14:paraId="3097FAB0"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3077E9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3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0357CB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3.5  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5A314E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w:t>
            </w:r>
          </w:p>
        </w:tc>
      </w:tr>
      <w:tr w:rsidR="00FC79C1" w:rsidRPr="009342F9" w14:paraId="0180BF69" w14:textId="77777777" w:rsidTr="00FC79C1">
        <w:trPr>
          <w:trHeight w:val="105"/>
          <w:tblCellSpacing w:w="0" w:type="dxa"/>
          <w:jc w:val="center"/>
        </w:trPr>
        <w:tc>
          <w:tcPr>
            <w:tcW w:w="2265" w:type="dxa"/>
            <w:tcBorders>
              <w:top w:val="outset" w:sz="6" w:space="0" w:color="auto"/>
              <w:left w:val="outset" w:sz="6" w:space="0" w:color="auto"/>
              <w:bottom w:val="outset" w:sz="6" w:space="0" w:color="auto"/>
              <w:right w:val="outset" w:sz="6" w:space="0" w:color="auto"/>
            </w:tcBorders>
            <w:vAlign w:val="center"/>
            <w:hideMark/>
          </w:tcPr>
          <w:p w14:paraId="5178EE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&gt; 3.5  </w:t>
            </w:r>
          </w:p>
        </w:tc>
        <w:tc>
          <w:tcPr>
            <w:tcW w:w="2265" w:type="dxa"/>
            <w:tcBorders>
              <w:top w:val="outset" w:sz="6" w:space="0" w:color="auto"/>
              <w:left w:val="outset" w:sz="6" w:space="0" w:color="auto"/>
              <w:bottom w:val="outset" w:sz="6" w:space="0" w:color="auto"/>
              <w:right w:val="outset" w:sz="6" w:space="0" w:color="auto"/>
            </w:tcBorders>
            <w:vAlign w:val="center"/>
            <w:hideMark/>
          </w:tcPr>
          <w:p w14:paraId="276495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w:t>
            </w:r>
          </w:p>
        </w:tc>
        <w:tc>
          <w:tcPr>
            <w:tcW w:w="3825" w:type="dxa"/>
            <w:tcBorders>
              <w:top w:val="outset" w:sz="6" w:space="0" w:color="auto"/>
              <w:left w:val="outset" w:sz="6" w:space="0" w:color="auto"/>
              <w:bottom w:val="outset" w:sz="6" w:space="0" w:color="auto"/>
              <w:right w:val="outset" w:sz="6" w:space="0" w:color="auto"/>
            </w:tcBorders>
            <w:vAlign w:val="center"/>
            <w:hideMark/>
          </w:tcPr>
          <w:p w14:paraId="58C465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w:t>
            </w:r>
          </w:p>
        </w:tc>
      </w:tr>
    </w:tbl>
    <w:p w14:paraId="433BE3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8A12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Construcción en sitio propio: El valor corresponderá, como máximo, a dieciocho (18) Salarios Mínimos Legales Mensuales Vigentes;  </w:t>
      </w:r>
    </w:p>
    <w:p w14:paraId="2AFD2D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D6E9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Mejoramiento de vivienda: El valor corresponderá, como máximo, a dieciocho (18) Salarios Mínimos Legales Mensuales Vigentes;  </w:t>
      </w:r>
    </w:p>
    <w:p w14:paraId="48D948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C6AA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 Arrendamiento y Arrendamiento con Opción de Compra: El valor corresponderá, como máximo, a </w:t>
      </w:r>
      <w:proofErr w:type="gramStart"/>
      <w:r w:rsidRPr="009342F9">
        <w:rPr>
          <w:rFonts w:ascii="Arial" w:eastAsia="Times New Roman" w:hAnsi="Arial" w:cs="Arial"/>
          <w:color w:val="000000"/>
          <w:lang w:eastAsia="es-CO"/>
        </w:rPr>
        <w:t>cero punto</w:t>
      </w:r>
      <w:proofErr w:type="gramEnd"/>
      <w:r w:rsidRPr="009342F9">
        <w:rPr>
          <w:rFonts w:ascii="Arial" w:eastAsia="Times New Roman" w:hAnsi="Arial" w:cs="Arial"/>
          <w:color w:val="000000"/>
          <w:lang w:eastAsia="es-CO"/>
        </w:rPr>
        <w:t xml:space="preserve"> seis (0.6) Salarios Mínimos Legales Mensuales Vigentes por cada canon mensual de arrendamiento hasta por veinticuatro (24) meses.  </w:t>
      </w:r>
    </w:p>
    <w:p w14:paraId="2A8623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0D77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Puntaje Sisbén Rural, aplica para el caso de hogares que cuentan actualmente con puntaje del Sisbén Rural pero que presentan sus postulaciones para una unidad de vivienda ubicada en una zona urbana conforme a la normatividad definida en la presente sección.  </w:t>
      </w:r>
    </w:p>
    <w:p w14:paraId="5A9D81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713F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Si un hogar postulante al subsidio que otorga el Gobierno nacional, teniendo ingresos inferiores a cuatro (4) salarios mínimos legales mensuales vigentes, presenta puntaje Sisbén superior a 34.5, el valor del subsidio asignado será de cuatro (4) salarios mínimos mensuales legales vigentes, siempre y cuando el puntaje Sisbén no supere los cincuenta (50) puntos.  </w:t>
      </w:r>
    </w:p>
    <w:p w14:paraId="7E93E1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342E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el Departamento Archipiélago de San Andrés, Providencia y Santa Catalina, el SFV urbano en las modalidades de mejoramiento de vivienda y construcción en sitio propio será hasta de veintidós (22) Salarios Mínimos Legales Mensuales Vigentes, sin perjuicio del puntaje del Sisbén y de los ingresos de los hogares postulantes, que en todo caso deberán ser inferiores a cuatro (4) Salarios Mínimos Legales Mensuales Vigentes.  </w:t>
      </w:r>
    </w:p>
    <w:p w14:paraId="0EE073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C071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Los valores del subsidio familiar de vivienda a que se refiere el numeral 1 del presente artículo solo serán aplicables a los subsidios asignados en virtud de lo dispuesto en esta sección, de manera que no serán aplicables a otros procesos de asignación, como es el caso del Programa de Vivienda Gratuita (subsidio familiar de vivienda 100% en especie), Vivienda de Interés Prioritario para Ahorradores (VIPA), Promoción de Acceso a la Vivienda de Interés Social “Mi Casa Ya”, Semillero de Propietarios y Casa Digna, Vida Digna, los cuales se regirán por lo dispuesto en las secciones correspondientes de este decreto.  </w:t>
      </w:r>
    </w:p>
    <w:p w14:paraId="18BEEF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FE5A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Las Cajas de Compensación Familiar podrán aumentar el valor del subsidio familiar de vivienda urbana nueva que hayan asignado, que se encuentran vigentes y pendientes de aplicar, sin que en ningún caso se supere el valor referido en el literal a) del numeral 2 del presente artículo. Para efectos del desembolso e independientemente de la fecha de asignación del subsidio, su cuantía podrá ser calculada con base en el valor del salario mínimo mensual legal vigente del momento en que se realice el aumento señalado. El ajuste del valor adicional y actualización del valor del subsidio familiar de vivienda urbana nueva, al establecido en el literal a) del numeral 2 del presente artículo, operará siempre y cuando el hogar beneficiario del subsidio lo solicite y, al momento de la realización del ajuste, el hogar mantenga las condiciones establecidas para ser beneficiario del subsidio, de acuerdo con la verificación que realice la Caja de Compensación respectiva.”  </w:t>
      </w:r>
    </w:p>
    <w:p w14:paraId="3992B026" w14:textId="723575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 w:name="ver_30200373"/>
      <w:bookmarkStart w:id="33" w:name="ver_30109514"/>
      <w:bookmarkStart w:id="34" w:name="ver_30109516"/>
      <w:bookmarkEnd w:id="28"/>
      <w:bookmarkEnd w:id="29"/>
      <w:bookmarkEnd w:id="30"/>
      <w:bookmarkEnd w:id="31"/>
      <w:bookmarkEnd w:id="32"/>
    </w:p>
    <w:p w14:paraId="4B7C6C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2.1.1.1.1.1.9. Límite a la cuantía del subsidio. 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dispuesto en el artículo 2.1.1.1.1.1.8, en ningún caso la cuantía del subsidio de vivienda de interés social otorgado por las Cajas de Compensación Familiar, podrá ser superior al noventa por ciento (90%) del valor o precio de la vivienda a adquirir, construir o mejorar, en la fecha de asignación del subsidio. Para los casos de construcción en sitio propio y mejoramiento de vivienda el 90% será tomado con base en el valor de la construcción o la mejora, en la fecha de asignación del subsidio. Para los casos de arrendamiento y arrendamiento con opción de compra, el 90% será tomado con base en el valor del canon de arrendamiento pactado en el respectivo contrato.” </w:t>
      </w:r>
    </w:p>
    <w:p w14:paraId="0D035E8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5" w:name="ver_30069031"/>
      <w:bookmarkEnd w:id="33"/>
      <w:bookmarkEnd w:id="34"/>
      <w:bookmarkEnd w:id="35"/>
    </w:p>
    <w:p w14:paraId="554E6C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2.1.1.1.1.1.10. Participantes en el Sistema de Vivienda de Interés Social. Las alcaldías municipales o distritales, gobernaciones y áreas metropolitanas, en su carácter de instancias responsables, a nivel local y departamental, de la ejecución de la política pública en materia de vivienda y desarrollo urbano, podrán participar en la estructuración y ejecución de los programas de vivienda de interés social en los cuales hagan parte hogares beneficiarios de subsidios otorgados por el Gobierno Nacional, de conformidad con los procedimientos y requisitos establecidos en la ley y la presente sección. </w:t>
      </w:r>
    </w:p>
    <w:p w14:paraId="3CA1CC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270C0D" w14:textId="03954D5B" w:rsidR="00FC79C1" w:rsidRPr="009342F9" w:rsidRDefault="00FC79C1" w:rsidP="00FC79C1">
      <w:pPr>
        <w:spacing w:after="0" w:line="240" w:lineRule="auto"/>
        <w:jc w:val="both"/>
        <w:rPr>
          <w:rFonts w:ascii="Arial" w:eastAsia="Times New Roman" w:hAnsi="Arial" w:cs="Arial"/>
          <w:color w:val="000000"/>
          <w:lang w:eastAsia="es-CO"/>
        </w:rPr>
      </w:pPr>
      <w:r w:rsidRPr="3DD719FF">
        <w:rPr>
          <w:rFonts w:ascii="Arial" w:eastAsia="Times New Roman" w:hAnsi="Arial" w:cs="Arial"/>
          <w:color w:val="000000" w:themeColor="text1"/>
          <w:lang w:eastAsia="es-CO"/>
        </w:rPr>
        <w:t>Las Unidades Administrativas, dependencias, entidades u oficinas que cumplan con las funciones de implantar las políticas de vivienda de interés social en el municipio o distrito, los Fondos Departamentales de Vivienda, las entidades territoriales, las Cajas de Compensación Familiar, las Organizaciones Populares de Vivienda, las Organizaciones No Gubernamentales, las sociedades constructoras legalmente constituidas y, en general, las entidades o patrimonios con personería jurídica vigente que tengan incluido en su objeto social la promoción y el desarrollo de programas de vivienda, podrán participar en los diferentes programas de vivienda de interés social a los cuales los beneficiarios podrán aplicar sus subsidios, en los términos previstos en la Ley 3ª de 1991 y las normas reglamentarias. </w:t>
      </w:r>
    </w:p>
    <w:p w14:paraId="0E5F0C9B" w14:textId="60F7CD5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6" w:name="ver_30069032"/>
      <w:bookmarkEnd w:id="36"/>
    </w:p>
    <w:p w14:paraId="21AD3164" w14:textId="07E24433"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1</w:t>
      </w:r>
    </w:p>
    <w:p w14:paraId="0C4C8E6A"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VALOR DEL SUBSIDIO FAMILIAR DE VIVIENDA DE INTERÉS SOCIAL PARA ÁREAS URBANAS EN MODALIDAD DE ADQUISIÓN DE VIVIENDA NUEVA</w:t>
      </w:r>
    </w:p>
    <w:p w14:paraId="70003E1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7" w:name="ver_30210161"/>
      <w:bookmarkStart w:id="38" w:name="ver_30069033"/>
      <w:bookmarkEnd w:id="37"/>
    </w:p>
    <w:p w14:paraId="545BD4EC" w14:textId="57AC147B"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2.1.1.1.1.1.1.1. Valor del subsidio familiar de vivienda de interés social para áreas urbanas. El monto del subsidio familiar de vivienda de interés social para áreas urbanas que otorgue el Fondo Nacional de Vivienda (Fonvivienda), con cargo a los recursos del Presupuesto General de la Nación en la modalidad de adquisición de vivienda nueva a los hogares beneficiarios a través de las bolsas de recuperadores de residuos reciclables; afectados por situación de desastre, calamidad pública o emergencia; damnificados por atentados terroristas; afectados por el fenómeno de La Niña 2010-2011; hogares en situación de desplazamiento; y Macroproyectos de Interés Social Nacional, podrá ser hasta de noventa salarios mínimos legales mensuales vigentes (90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w:t>
      </w:r>
    </w:p>
    <w:p w14:paraId="7F9A98CF" w14:textId="77777777" w:rsidR="009342F9" w:rsidRPr="009342F9" w:rsidRDefault="009342F9" w:rsidP="00FC79C1">
      <w:pPr>
        <w:spacing w:after="0" w:line="240" w:lineRule="auto"/>
        <w:jc w:val="both"/>
        <w:rPr>
          <w:rFonts w:ascii="Arial" w:eastAsia="Times New Roman" w:hAnsi="Arial" w:cs="Arial"/>
          <w:color w:val="000000"/>
          <w:lang w:eastAsia="es-CO"/>
        </w:rPr>
      </w:pPr>
    </w:p>
    <w:p w14:paraId="62043B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hogar podrá solicitar un valor inferior al establecido en el presente artículo, sustentado en el cierre financiero.  </w:t>
      </w:r>
    </w:p>
    <w:p w14:paraId="13514F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9" w:name="ver_30069034"/>
      <w:bookmarkEnd w:id="38"/>
      <w:bookmarkEnd w:id="39"/>
    </w:p>
    <w:p w14:paraId="493323AA" w14:textId="676B1D5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2.1.1.1.1.1.1.2. Aplicación. Lo dispuesto en el anterior artículo aplicará para los subsidios familiares de vivienda de interés social para áreas urbanas en la modalidad de adquisición de vivienda nueva que se asignen por el Fondo Nacional de Vivienda (FONVIVIENDA), con posterioridad al 06 de febrero de 2013. </w:t>
      </w:r>
    </w:p>
    <w:p w14:paraId="34CD220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0" w:name="ver_30069035"/>
      <w:bookmarkEnd w:id="40"/>
    </w:p>
    <w:p w14:paraId="3C9EA3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2.1.1.1.1.1.1.3. Recursos Presupuesto General de la Nación. Los recursos del Presupuesto General de la Nación que se destinen para atender el subsidio familiar de vivienda de interés social de que tratan los artículos precedentes deberán estar sujetos a las disponibilidades fiscales y presupuestales que se prioricen en el Marco de Gasto de Mediano Plazo aprobado para el sector. </w:t>
      </w:r>
    </w:p>
    <w:p w14:paraId="2CF84F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1B20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aplicación de lo previsto en la presente </w:t>
      </w:r>
      <w:proofErr w:type="spellStart"/>
      <w:r w:rsidRPr="009342F9">
        <w:rPr>
          <w:rFonts w:ascii="Arial" w:eastAsia="Times New Roman" w:hAnsi="Arial" w:cs="Arial"/>
          <w:color w:val="000000"/>
          <w:lang w:eastAsia="es-CO"/>
        </w:rPr>
        <w:t>sub-subsección</w:t>
      </w:r>
      <w:proofErr w:type="spellEnd"/>
      <w:r w:rsidRPr="009342F9">
        <w:rPr>
          <w:rFonts w:ascii="Arial" w:eastAsia="Times New Roman" w:hAnsi="Arial" w:cs="Arial"/>
          <w:color w:val="000000"/>
          <w:lang w:eastAsia="es-CO"/>
        </w:rPr>
        <w:t xml:space="preserve"> no podrá dar origen a ajustes presupuestales que impliquen recursos adicionales a los ya contemplados en el Marco de Mediano Plazo vigente para el sector. </w:t>
      </w:r>
    </w:p>
    <w:p w14:paraId="650EB73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1" w:name="ver_30069036"/>
      <w:bookmarkEnd w:id="41"/>
    </w:p>
    <w:p w14:paraId="7103C774" w14:textId="315355C8"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3907AED8"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DISTRIBUCIÓN DE RECURSOS DEL SUBSIDIO FAMILIAR DE VIVIENDA</w:t>
      </w:r>
    </w:p>
    <w:p w14:paraId="76CB5820"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42" w:name="ver_30200462"/>
      <w:bookmarkEnd w:id="42"/>
      <w:r w:rsidRPr="009342F9">
        <w:rPr>
          <w:rFonts w:ascii="Arial" w:eastAsia="Times New Roman" w:hAnsi="Arial" w:cs="Arial"/>
          <w:b/>
          <w:bCs/>
          <w:color w:val="000000"/>
          <w:lang w:eastAsia="es-CO"/>
        </w:rPr>
        <w:t>SUB-SUBSECCIÓN 1 CRITERIOS DE DISTRIBUCIÓN DE RECURSOS DEL GOBIERNO NACIONAL</w:t>
      </w:r>
    </w:p>
    <w:p w14:paraId="7200C4A6" w14:textId="64426966" w:rsidR="00FC79C1" w:rsidRPr="009342F9" w:rsidRDefault="00FC79C1" w:rsidP="00FC79C1">
      <w:pPr>
        <w:spacing w:after="0" w:line="240" w:lineRule="auto"/>
        <w:jc w:val="center"/>
        <w:rPr>
          <w:rFonts w:ascii="Arial" w:eastAsia="Times New Roman" w:hAnsi="Arial" w:cs="Arial"/>
          <w:b/>
          <w:bCs/>
          <w:color w:val="000000"/>
          <w:lang w:eastAsia="es-CO"/>
        </w:rPr>
      </w:pPr>
    </w:p>
    <w:p w14:paraId="22850C6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 w:name="ver_30200415"/>
      <w:bookmarkStart w:id="44" w:name="ver_30069037"/>
      <w:bookmarkEnd w:id="43"/>
    </w:p>
    <w:p w14:paraId="653A1E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2.1.1.1.1.2.1.1. Derogado </w:t>
      </w:r>
    </w:p>
    <w:p w14:paraId="4A1CF77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5" w:name="ver_30200416"/>
      <w:bookmarkStart w:id="46" w:name="ver_30069038"/>
      <w:bookmarkEnd w:id="44"/>
      <w:bookmarkEnd w:id="45"/>
    </w:p>
    <w:p w14:paraId="544F51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2.1.1.1.1.2.1.2. Derogado </w:t>
      </w:r>
    </w:p>
    <w:p w14:paraId="01FFF65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615DE04" w14:textId="03954D5B" w:rsidR="00FC79C1" w:rsidRDefault="00FC79C1" w:rsidP="00FC79C1">
      <w:pPr>
        <w:spacing w:after="0" w:line="240" w:lineRule="auto"/>
        <w:jc w:val="both"/>
        <w:rPr>
          <w:rFonts w:ascii="Arial" w:eastAsia="Times New Roman" w:hAnsi="Arial" w:cs="Arial"/>
          <w:color w:val="000000"/>
          <w:lang w:eastAsia="es-CO"/>
        </w:rPr>
      </w:pPr>
      <w:bookmarkStart w:id="47" w:name="ver_30200417"/>
      <w:bookmarkStart w:id="48" w:name="ver_30069040"/>
      <w:bookmarkEnd w:id="46"/>
      <w:bookmarkEnd w:id="47"/>
      <w:r w:rsidRPr="3DD719FF">
        <w:rPr>
          <w:rFonts w:ascii="Arial" w:eastAsia="Times New Roman" w:hAnsi="Arial" w:cs="Arial"/>
          <w:color w:val="000000" w:themeColor="text1"/>
          <w:lang w:eastAsia="es-CO"/>
        </w:rPr>
        <w:t>Artículo 2.1.1.1.1.2.1.3. Derogado </w:t>
      </w:r>
    </w:p>
    <w:p w14:paraId="51E42150" w14:textId="03954D5B" w:rsidR="00D04AB5" w:rsidRPr="009342F9" w:rsidRDefault="00D04AB5" w:rsidP="00FC79C1">
      <w:pPr>
        <w:spacing w:after="0" w:line="240" w:lineRule="auto"/>
        <w:jc w:val="both"/>
        <w:rPr>
          <w:rFonts w:ascii="Arial" w:eastAsia="Times New Roman" w:hAnsi="Arial" w:cs="Arial"/>
          <w:color w:val="000000"/>
          <w:lang w:eastAsia="es-CO"/>
        </w:rPr>
      </w:pPr>
    </w:p>
    <w:p w14:paraId="0B0ABA46"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49" w:name="ver_30069041"/>
      <w:bookmarkEnd w:id="48"/>
      <w:bookmarkEnd w:id="49"/>
      <w:r w:rsidRPr="009342F9">
        <w:rPr>
          <w:rFonts w:ascii="Arial" w:eastAsia="Times New Roman" w:hAnsi="Arial" w:cs="Arial"/>
          <w:b/>
          <w:bCs/>
          <w:color w:val="000000"/>
          <w:lang w:eastAsia="es-CO"/>
        </w:rPr>
        <w:t>SUBSECCIÓN 3</w:t>
      </w:r>
    </w:p>
    <w:p w14:paraId="3598C707"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ACCESO AL SUBSIDIO FAMILIAR DE VIVIENDA</w:t>
      </w:r>
    </w:p>
    <w:p w14:paraId="660FFE42"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750B8548" w14:textId="7965ED1E" w:rsidR="00FC79C1" w:rsidRPr="009342F9" w:rsidRDefault="00FC79C1" w:rsidP="00FC79C1">
      <w:pPr>
        <w:spacing w:after="0" w:line="240" w:lineRule="auto"/>
        <w:jc w:val="center"/>
        <w:rPr>
          <w:rFonts w:ascii="Arial" w:eastAsia="Times New Roman" w:hAnsi="Arial" w:cs="Arial"/>
          <w:b/>
          <w:bCs/>
          <w:color w:val="000000"/>
          <w:lang w:eastAsia="es-CO"/>
        </w:rPr>
      </w:pPr>
      <w:bookmarkStart w:id="50" w:name="ver_30200418"/>
      <w:bookmarkEnd w:id="50"/>
      <w:r w:rsidRPr="009342F9">
        <w:rPr>
          <w:rFonts w:ascii="Arial" w:eastAsia="Times New Roman" w:hAnsi="Arial" w:cs="Arial"/>
          <w:b/>
          <w:bCs/>
          <w:color w:val="000000"/>
          <w:lang w:eastAsia="es-CO"/>
        </w:rPr>
        <w:t>SUB-SUBSECCIÓN 1</w:t>
      </w:r>
    </w:p>
    <w:p w14:paraId="56050B66" w14:textId="56469F38"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OFERTA DE SOLUCIONES DE VIVIENDA-PROCEDIMIENTOS DE ACCESO</w:t>
      </w:r>
    </w:p>
    <w:p w14:paraId="1A9325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1D9924" w14:textId="6E570E5E"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1</w:t>
      </w:r>
    </w:p>
    <w:p w14:paraId="7C88BCFC" w14:textId="1CCF22FD"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CONCURSOS DE ESFUERZO TERRITORIAL NACIONAL Y DEPARTAMENTA</w:t>
      </w:r>
    </w:p>
    <w:p w14:paraId="04E1DCD9"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4E26C03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1" w:name="ver_30200419"/>
      <w:bookmarkStart w:id="52" w:name="ver_30069042"/>
      <w:bookmarkEnd w:id="51"/>
      <w:r w:rsidRPr="009342F9">
        <w:rPr>
          <w:rFonts w:ascii="Arial" w:eastAsia="Times New Roman" w:hAnsi="Arial" w:cs="Arial"/>
          <w:color w:val="000000"/>
          <w:lang w:eastAsia="es-CO"/>
        </w:rPr>
        <w:t>Artículo 2.1.1.1.1.3.1.1.1. Derogado </w:t>
      </w:r>
    </w:p>
    <w:p w14:paraId="3FA7FAEE"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144B823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3" w:name="ver_30200420"/>
      <w:bookmarkStart w:id="54" w:name="ver_30069043"/>
      <w:bookmarkEnd w:id="52"/>
      <w:bookmarkEnd w:id="53"/>
      <w:r w:rsidRPr="009342F9">
        <w:rPr>
          <w:rFonts w:ascii="Arial" w:eastAsia="Times New Roman" w:hAnsi="Arial" w:cs="Arial"/>
          <w:color w:val="000000"/>
          <w:lang w:eastAsia="es-CO"/>
        </w:rPr>
        <w:t>Artículo 2.1.1.1.1.3.1.1.2. Derogado </w:t>
      </w:r>
    </w:p>
    <w:p w14:paraId="28ADB0F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5" w:name="ver_30069044"/>
      <w:bookmarkEnd w:id="54"/>
      <w:bookmarkEnd w:id="55"/>
    </w:p>
    <w:p w14:paraId="15232FDE" w14:textId="4A152809"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2</w:t>
      </w:r>
    </w:p>
    <w:p w14:paraId="01F00F79"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ELEGIBILIDAD</w:t>
      </w:r>
    </w:p>
    <w:p w14:paraId="7C57E6A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6" w:name="ver_30200421"/>
      <w:bookmarkStart w:id="57" w:name="ver_30069045"/>
      <w:bookmarkStart w:id="58" w:name="ver_30167159"/>
      <w:bookmarkEnd w:id="56"/>
    </w:p>
    <w:p w14:paraId="5338B5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2.1.1.1.1.3.1.2.1. Derogado </w:t>
      </w:r>
    </w:p>
    <w:p w14:paraId="41AA8799"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1B6988F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9" w:name="ver_30200422"/>
      <w:bookmarkStart w:id="60" w:name="ver_30069046"/>
      <w:bookmarkEnd w:id="57"/>
      <w:bookmarkEnd w:id="58"/>
      <w:bookmarkEnd w:id="59"/>
      <w:r w:rsidRPr="009342F9">
        <w:rPr>
          <w:rFonts w:ascii="Arial" w:eastAsia="Times New Roman" w:hAnsi="Arial" w:cs="Arial"/>
          <w:color w:val="000000"/>
          <w:lang w:eastAsia="es-CO"/>
        </w:rPr>
        <w:t>Artículo 2.1.1.1.1.3.1.2.2. Derogado </w:t>
      </w:r>
    </w:p>
    <w:p w14:paraId="3AB758A6"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29312F01" w14:textId="77777777" w:rsidR="00FC79C1" w:rsidRDefault="00FC79C1" w:rsidP="00FC79C1">
      <w:pPr>
        <w:spacing w:after="0" w:line="240" w:lineRule="auto"/>
        <w:jc w:val="both"/>
        <w:rPr>
          <w:rFonts w:ascii="Arial" w:eastAsia="Times New Roman" w:hAnsi="Arial" w:cs="Arial"/>
          <w:color w:val="000000"/>
          <w:lang w:eastAsia="es-CO"/>
        </w:rPr>
      </w:pPr>
      <w:bookmarkStart w:id="61" w:name="ver_30200423"/>
      <w:bookmarkStart w:id="62" w:name="ver_30069047"/>
      <w:bookmarkEnd w:id="60"/>
      <w:bookmarkEnd w:id="61"/>
      <w:r w:rsidRPr="009342F9">
        <w:rPr>
          <w:rFonts w:ascii="Arial" w:eastAsia="Times New Roman" w:hAnsi="Arial" w:cs="Arial"/>
          <w:color w:val="000000"/>
          <w:lang w:eastAsia="es-CO"/>
        </w:rPr>
        <w:t>Artículo 2.1.1.1.1.3.1.2.3. Derogado </w:t>
      </w:r>
    </w:p>
    <w:p w14:paraId="5EE50B1C"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BD6EE7A"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63" w:name="ver_30069048"/>
      <w:bookmarkEnd w:id="62"/>
      <w:bookmarkEnd w:id="63"/>
      <w:r w:rsidRPr="009342F9">
        <w:rPr>
          <w:rFonts w:ascii="Arial" w:eastAsia="Times New Roman" w:hAnsi="Arial" w:cs="Arial"/>
          <w:b/>
          <w:bCs/>
          <w:color w:val="000000"/>
          <w:lang w:eastAsia="es-CO"/>
        </w:rPr>
        <w:t>NUMERAL 3</w:t>
      </w:r>
    </w:p>
    <w:p w14:paraId="5F87AD4A"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CALIFICACIÓN DE LOS PLANES DE SOLUCIONES DE VIVIENDA</w:t>
      </w:r>
    </w:p>
    <w:p w14:paraId="3FC8EF3C"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64" w:name="ver_30200440"/>
      <w:bookmarkStart w:id="65" w:name="ver_30069049"/>
      <w:bookmarkEnd w:id="64"/>
    </w:p>
    <w:p w14:paraId="1A8E9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2.1.1.1.1.3.1.3.1. Derogado </w:t>
      </w:r>
    </w:p>
    <w:p w14:paraId="6B102518"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1DAF471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6" w:name="ver_30200441"/>
      <w:bookmarkStart w:id="67" w:name="ver_30069050"/>
      <w:bookmarkEnd w:id="65"/>
      <w:bookmarkEnd w:id="66"/>
      <w:r w:rsidRPr="009342F9">
        <w:rPr>
          <w:rFonts w:ascii="Arial" w:eastAsia="Times New Roman" w:hAnsi="Arial" w:cs="Arial"/>
          <w:color w:val="000000"/>
          <w:lang w:eastAsia="es-CO"/>
        </w:rPr>
        <w:t>Artículo 2.1.1.1.1.3.1.3.2. Derogado </w:t>
      </w:r>
    </w:p>
    <w:p w14:paraId="68482EAD"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1F755AE0"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68" w:name="ver_30069051"/>
      <w:bookmarkEnd w:id="67"/>
      <w:bookmarkEnd w:id="68"/>
      <w:r w:rsidRPr="009342F9">
        <w:rPr>
          <w:rFonts w:ascii="Arial" w:eastAsia="Times New Roman" w:hAnsi="Arial" w:cs="Arial"/>
          <w:b/>
          <w:bCs/>
          <w:color w:val="000000"/>
          <w:lang w:eastAsia="es-CO"/>
        </w:rPr>
        <w:t>NUMERAL 4</w:t>
      </w:r>
    </w:p>
    <w:p w14:paraId="742BFF64"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EXCEDENTES DE RECURSOS EN LOS CONCURSOS DE ESFUERZO TERRITORIAL</w:t>
      </w:r>
    </w:p>
    <w:p w14:paraId="0B99779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9" w:name="ver_30200442"/>
      <w:bookmarkStart w:id="70" w:name="ver_30069052"/>
      <w:bookmarkEnd w:id="69"/>
    </w:p>
    <w:p w14:paraId="198D1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2.1.1.1.1.3.1.4.1. Derogado </w:t>
      </w:r>
    </w:p>
    <w:p w14:paraId="36B3B486"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2721487C"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71" w:name="ver_30069053"/>
      <w:bookmarkEnd w:id="70"/>
      <w:bookmarkEnd w:id="71"/>
      <w:r w:rsidRPr="009342F9">
        <w:rPr>
          <w:rFonts w:ascii="Arial" w:eastAsia="Times New Roman" w:hAnsi="Arial" w:cs="Arial"/>
          <w:b/>
          <w:bCs/>
          <w:color w:val="000000"/>
          <w:lang w:eastAsia="es-CO"/>
        </w:rPr>
        <w:t>NUMERAL 5</w:t>
      </w:r>
    </w:p>
    <w:p w14:paraId="42E67252"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6669C175"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72" w:name="ver_30200443"/>
      <w:bookmarkStart w:id="73" w:name="ver_30069054"/>
      <w:bookmarkEnd w:id="72"/>
    </w:p>
    <w:p w14:paraId="022FA3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2.1.1.1.1.3.1.5.1. Derogado </w:t>
      </w:r>
    </w:p>
    <w:p w14:paraId="3DEB8A2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4" w:name="ver_30200444"/>
      <w:bookmarkStart w:id="75" w:name="ver_30069055"/>
      <w:bookmarkEnd w:id="73"/>
      <w:bookmarkEnd w:id="74"/>
    </w:p>
    <w:p w14:paraId="10207F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2.1.1.1.1.3.1.5.2. Derogado </w:t>
      </w:r>
    </w:p>
    <w:p w14:paraId="52A2814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6" w:name="ver_30200445"/>
      <w:bookmarkStart w:id="77" w:name="ver_30069056"/>
      <w:bookmarkEnd w:id="75"/>
      <w:bookmarkEnd w:id="76"/>
    </w:p>
    <w:p w14:paraId="3F46BE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2.1.1.1.1.3.1.5.3. Derogado </w:t>
      </w:r>
    </w:p>
    <w:p w14:paraId="180D3DE0"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56FBD14"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78" w:name="ver_30069057"/>
      <w:bookmarkEnd w:id="77"/>
      <w:bookmarkEnd w:id="78"/>
      <w:r w:rsidRPr="009342F9">
        <w:rPr>
          <w:rFonts w:ascii="Arial" w:eastAsia="Times New Roman" w:hAnsi="Arial" w:cs="Arial"/>
          <w:b/>
          <w:bCs/>
          <w:color w:val="000000"/>
          <w:lang w:eastAsia="es-CO"/>
        </w:rPr>
        <w:t>NUMERAL 6</w:t>
      </w:r>
    </w:p>
    <w:p w14:paraId="0AB59058"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BOLSA PARA POSTULACIONES DE AHORRO PROGRAMADO CONTRACTUAL CON EVALUACIÓN CREDITICIA FAVORABLE</w:t>
      </w:r>
    </w:p>
    <w:p w14:paraId="30CD3A4D"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79" w:name="ver_30200446"/>
      <w:bookmarkStart w:id="80" w:name="ver_30069058"/>
      <w:bookmarkEnd w:id="79"/>
    </w:p>
    <w:p w14:paraId="4C4264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2.1.1.1.1.3.1.6.1. Derogado </w:t>
      </w:r>
    </w:p>
    <w:p w14:paraId="2DB42FE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 w:name="ver_30200447"/>
      <w:bookmarkStart w:id="82" w:name="ver_30069059"/>
      <w:bookmarkEnd w:id="80"/>
      <w:bookmarkEnd w:id="81"/>
    </w:p>
    <w:p w14:paraId="749E66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2.1.1.1.1.3.1.6.2. Derogado </w:t>
      </w:r>
    </w:p>
    <w:p w14:paraId="7381A79E"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00847F7"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83" w:name="ver_30069060"/>
      <w:bookmarkEnd w:id="82"/>
      <w:bookmarkEnd w:id="83"/>
      <w:r w:rsidRPr="009342F9">
        <w:rPr>
          <w:rFonts w:ascii="Arial" w:eastAsia="Times New Roman" w:hAnsi="Arial" w:cs="Arial"/>
          <w:b/>
          <w:bCs/>
          <w:color w:val="000000"/>
          <w:lang w:eastAsia="es-CO"/>
        </w:rPr>
        <w:t>SUB-SUBSECCIÓN 2</w:t>
      </w:r>
    </w:p>
    <w:p w14:paraId="68BDBA66"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SISTEMA DE AHORRO PARA LA VIVIENDA</w:t>
      </w:r>
    </w:p>
    <w:p w14:paraId="3C96237C"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84" w:name="ver_30200448"/>
      <w:bookmarkStart w:id="85" w:name="ver_30069061"/>
      <w:bookmarkEnd w:id="84"/>
    </w:p>
    <w:p w14:paraId="66DC26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2.1.1.1.1.3.2.1. Derogado </w:t>
      </w:r>
    </w:p>
    <w:p w14:paraId="42AC9C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6" w:name="ver_30200449"/>
      <w:bookmarkStart w:id="87" w:name="ver_30069062"/>
      <w:bookmarkEnd w:id="85"/>
      <w:bookmarkEnd w:id="86"/>
    </w:p>
    <w:p w14:paraId="72EE6D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2.1.1.1.1.3.2.2. Derogado </w:t>
      </w:r>
    </w:p>
    <w:p w14:paraId="3FDFA40D"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13D2324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8" w:name="ver_30200450"/>
      <w:bookmarkStart w:id="89" w:name="ver_30069063"/>
      <w:bookmarkEnd w:id="87"/>
      <w:bookmarkEnd w:id="88"/>
      <w:r w:rsidRPr="009342F9">
        <w:rPr>
          <w:rFonts w:ascii="Arial" w:eastAsia="Times New Roman" w:hAnsi="Arial" w:cs="Arial"/>
          <w:color w:val="000000"/>
          <w:lang w:eastAsia="es-CO"/>
        </w:rPr>
        <w:t>Artículo 2.1.1.1.1.3.2.3. Derogado </w:t>
      </w:r>
    </w:p>
    <w:p w14:paraId="435CAFE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0" w:name="ver_30200452"/>
      <w:bookmarkStart w:id="91" w:name="ver_30069064"/>
      <w:bookmarkEnd w:id="89"/>
      <w:bookmarkEnd w:id="90"/>
    </w:p>
    <w:p w14:paraId="55D4EB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2.1.1.1.1.3.2.4. Derogado </w:t>
      </w:r>
    </w:p>
    <w:p w14:paraId="7B92EC6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2" w:name="ver_30200453"/>
      <w:bookmarkStart w:id="93" w:name="ver_30069065"/>
      <w:bookmarkEnd w:id="91"/>
      <w:bookmarkEnd w:id="92"/>
    </w:p>
    <w:p w14:paraId="4E8535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2.1.1.1.1.3.2.5. Derogado </w:t>
      </w:r>
    </w:p>
    <w:p w14:paraId="67529A61"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14C363D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4" w:name="ver_30069066"/>
      <w:bookmarkEnd w:id="93"/>
      <w:r w:rsidRPr="009342F9">
        <w:rPr>
          <w:rFonts w:ascii="Arial" w:eastAsia="Times New Roman" w:hAnsi="Arial" w:cs="Arial"/>
          <w:color w:val="000000"/>
          <w:lang w:eastAsia="es-CO"/>
        </w:rPr>
        <w:t>Artículo 2.1.1.1.1.3.2.6. Derogado </w:t>
      </w:r>
    </w:p>
    <w:p w14:paraId="08224A9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5" w:name="ver_30069067"/>
      <w:bookmarkEnd w:id="94"/>
      <w:bookmarkEnd w:id="95"/>
    </w:p>
    <w:p w14:paraId="2082F281" w14:textId="2A6BE44E"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3</w:t>
      </w:r>
    </w:p>
    <w:p w14:paraId="5A9E1195"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POSTULACIÓN A LOS SUBSIDIOS</w:t>
      </w:r>
    </w:p>
    <w:p w14:paraId="4D820E0E"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7D156F58"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1</w:t>
      </w:r>
    </w:p>
    <w:p w14:paraId="3A5D8A97"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REGISTRO DE POSTULANTES</w:t>
      </w:r>
    </w:p>
    <w:p w14:paraId="319A9401"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96" w:name="ver_30200374"/>
      <w:bookmarkStart w:id="97" w:name="ver_30069069"/>
      <w:bookmarkEnd w:id="96"/>
    </w:p>
    <w:p w14:paraId="122CB9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2.1.1.1.1.3.3.1.1. Postulación. La postulación de los hogares para la obtención del subsidio se realizará ante la entidad otorgante o el operador autorizado con el que se haya suscrito un convenio para tales efectos, mediante el diligenciamiento y entrega de los documentos que se señalan a continuación:  </w:t>
      </w:r>
    </w:p>
    <w:p w14:paraId="58CF03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BF03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Formulario de postulación debidamente diligenciado y suscrito por los miembros que conforman el hogar, con su información socioeconómica, indicación del jefe del hogar postulante y de la persona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siendo parte del hogar, lo reemplazará si renunciare o falleciere y, mención de la Caja de Compensación Familiar y Fondo de Cesantías a los cuales se encuentren afiliados al momento de postular, si fuere del caso.  </w:t>
      </w:r>
    </w:p>
    <w:p w14:paraId="72F843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376C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documento incluirá la declaración jurada de los miembros del hogar postulante mayores de edad en la que manifiestan que cumplen en forma conjunta con las condiciones para ser beneficiarios del Subsidio Familiar de Vivienda, que no están incursos en las inhabilidades para solicitarlo, que sus ingresos familiares totales no superan el límite establecido para la respectiva modalidad de subsidio y que los datos suministrados son ciertos, la cual se entenderá surtida con la firma del formulario.  </w:t>
      </w:r>
    </w:p>
    <w:p w14:paraId="1E4FE3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E55A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En caso de contar con ahorro previo, copia de la comunicación emitida por la entidad donde se realice el mismo, en la que conste el monto y la inmovilización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En el caso de ahorro representado en lotes de terreno, deberá acreditarse la propiedad en cabeza del postulante.  </w:t>
      </w:r>
    </w:p>
    <w:p w14:paraId="6ED433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CC80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Fotocopia de la cédula de ciudadanía de los mayores de 18 años.  </w:t>
      </w:r>
    </w:p>
    <w:p w14:paraId="097ABF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1D85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Copia del Carné o certificación municipal del puntaje SISBÉN cuando se requiera acreditar dicho puntaje.  </w:t>
      </w:r>
    </w:p>
    <w:p w14:paraId="18A4B6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F11F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Autorización para verificar la información suministrada para la postulación del subsidio y aceptación para ser excluido de manera automática del sistema de postulación al subsidio en caso de verificarse que la información aportada no corresponda a la verdad.  </w:t>
      </w:r>
    </w:p>
    <w:p w14:paraId="1A5CDD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A29B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Certificado médico que acredite la discapacidad física o mental de alguno de los miembros del hogar, cuando fuere el caso.  </w:t>
      </w:r>
    </w:p>
    <w:p w14:paraId="34400D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565F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Carta de preaprobación de crédito hipotecario o de una operación de leasing habitacional, cuando requiera financiación.  </w:t>
      </w:r>
    </w:p>
    <w:p w14:paraId="4498B9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1D1D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Para los Afiliados a Cajas de Compensación Familiar: certificado de ingresos de la empresa en donde labora.  </w:t>
      </w:r>
    </w:p>
    <w:p w14:paraId="220C44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AC70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La entidad otorgante del subsidio familiar de vivienda, al igual que aquellas que esta autorice para tal efecto, verificarán que la documentación se encuentre completa y otorgarán la correspondiente constancia de tal hecho, cuando a ello hubiere lugar. La entidad receptora de la documentación será responsable de su envío a la operadora del sistema de información del subsidio de que trata esta sección, a través de los medios y plazos establecidos en el reglamento de operación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31652A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F0E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acreditar los recursos complementarios originados en donaciones de Organizaciones No Gubernamentales y de entidades públicas o privadas nacionales o internacionales, o en el caso de aportes económicos solidarios en Organizaciones Populares de Vivienda, la disponibilidad deberá ser certificada por el Representante Legal y el Revisor Fiscal de la respectiva entidad. En el caso de recursos complementarios representados en terrenos, la certificación será el certificado de tradición con no más de treinta (30) días de expedido.  </w:t>
      </w:r>
    </w:p>
    <w:p w14:paraId="09B8D4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ADB1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subsidios o aportes municipales o departamentales, certificación de su existencia expedida por la autoridad local competente en cada caso.  </w:t>
      </w:r>
    </w:p>
    <w:p w14:paraId="2C77B8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E380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3°. En el caso de mejoramiento de vivienda y construcción en sitio propio, cuando se trate de propietarios, el título de propiedad de la vivienda a </w:t>
      </w:r>
      <w:proofErr w:type="gramStart"/>
      <w:r w:rsidRPr="009342F9">
        <w:rPr>
          <w:rFonts w:ascii="Arial" w:eastAsia="Times New Roman" w:hAnsi="Arial" w:cs="Arial"/>
          <w:color w:val="000000"/>
          <w:lang w:eastAsia="es-CO"/>
        </w:rPr>
        <w:t>mejorar,</w:t>
      </w:r>
      <w:proofErr w:type="gramEnd"/>
      <w:r w:rsidRPr="009342F9">
        <w:rPr>
          <w:rFonts w:ascii="Arial" w:eastAsia="Times New Roman" w:hAnsi="Arial" w:cs="Arial"/>
          <w:color w:val="000000"/>
          <w:lang w:eastAsia="es-CO"/>
        </w:rPr>
        <w:t xml:space="preserve"> debe estar inscrito en la Oficina de Registro de Instrumentos Públicos a nombre de cualquiera de los miembros del hogar postulante, quienes deben habitar en la vivienda. Para acreditar la propiedad del inmueble se debe anexar certificado de tradición y libertad, con fecha de expedición no mayor a treinta (30) días.  </w:t>
      </w:r>
    </w:p>
    <w:p w14:paraId="3DC2E3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9933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trate de poseedores, sobre el inmueble no debe cursar proceso reivindicatorio, para lo cual debe aportarse el respectivo certificado de tradición y libertad con fecha de expedición no mayor a treinta (30) días, contados desde la entrega de documentos por parte del hogar, a su vez, deberá demostrarse la posesión ininterrumpida, pacífica y quieta del inmueble en los términos de los artículos 762 y 764 del Código Civil, que podrá acreditarse a través de alguno de los siguientes documentos:  </w:t>
      </w:r>
    </w:p>
    <w:p w14:paraId="2862A2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EF45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Escrito aportado por el hogar que se entenderá suscrito bajo la gravedad del juramento, en el que declare que ejerce la posesión regular del bien inmueble de manera quieta, pública, pacífica e ininterrumpida por un término mínimo de cinco (5) años, y que respecto del inmueble no está en curso proceso reivindicatorio.  </w:t>
      </w:r>
    </w:p>
    <w:p w14:paraId="78485B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EE91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Declaración del </w:t>
      </w:r>
      <w:proofErr w:type="gramStart"/>
      <w:r w:rsidRPr="009342F9">
        <w:rPr>
          <w:rFonts w:ascii="Arial" w:eastAsia="Times New Roman" w:hAnsi="Arial" w:cs="Arial"/>
          <w:color w:val="000000"/>
          <w:lang w:eastAsia="es-CO"/>
        </w:rPr>
        <w:t>Presidente</w:t>
      </w:r>
      <w:proofErr w:type="gramEnd"/>
      <w:r w:rsidRPr="009342F9">
        <w:rPr>
          <w:rFonts w:ascii="Arial" w:eastAsia="Times New Roman" w:hAnsi="Arial" w:cs="Arial"/>
          <w:color w:val="000000"/>
          <w:lang w:eastAsia="es-CO"/>
        </w:rPr>
        <w:t xml:space="preserve"> de la Junta de Acción Comunal del barrio en la que quede de manifiesto que el hogar ha ejercido la posesión regular del inmueble por un término mínimo de cinco (5) años, y que respecto del inmueble no está en curso proceso reivindicatorio.  </w:t>
      </w:r>
    </w:p>
    <w:p w14:paraId="7D5BB5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4C9F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 lo anterior, se podrán aportar todos o alguno de los siguientes soportes, los cuales se analizarán para demostrar una sana posesión: pago de servicios públicos, pago de impuestos o contribuciones y valorizaciones, acciones o mejoras sobre el inmueble.  </w:t>
      </w:r>
    </w:p>
    <w:p w14:paraId="10973C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E642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Para efectos de agilizar el flujo de la información relativa a la aprobación del crédito o la operación de leasing habitacional y a la asignación del subsidio, las entidades otorgantes podrán acordar con las entidades que provean la financiación, mecanismos técnicos idóneos y seguros que permitan la entrega y consulta expedita de la misma.”  </w:t>
      </w:r>
    </w:p>
    <w:p w14:paraId="2A390EA0" w14:textId="4A94764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BC42F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8" w:name="ver_30200375"/>
      <w:bookmarkStart w:id="99" w:name="ver_30069070"/>
      <w:bookmarkStart w:id="100" w:name="ver_30167708"/>
      <w:bookmarkEnd w:id="97"/>
      <w:bookmarkEnd w:id="98"/>
      <w:r w:rsidRPr="009342F9">
        <w:rPr>
          <w:rFonts w:ascii="Arial" w:eastAsia="Times New Roman" w:hAnsi="Arial" w:cs="Arial"/>
          <w:color w:val="000000"/>
          <w:lang w:eastAsia="es-CO"/>
        </w:rPr>
        <w:t>Artículo 2.1.1.1.1.3.3.1.2. Imposibilidad para postular al subsidio. No podrán postular al Subsidio Familiar de Vivienda de que trata esta sección los hogares que presenten alguna de las siguientes condiciones:  </w:t>
      </w:r>
    </w:p>
    <w:p w14:paraId="67610B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F34E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tengan ingresos totales mensuales superiores al límite establecido para la respectiva modalidad de subsidio;  </w:t>
      </w:r>
    </w:p>
    <w:p w14:paraId="611CC8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5388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sean propietarios de una vivienda en el territorio nacional para las modalidades de adquisición de vivienda nueva o usada, arrendamiento y arrendamiento con opción de compra;  </w:t>
      </w:r>
    </w:p>
    <w:p w14:paraId="27992C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5C83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Que alguno de los miembros del hogar postulante haya sido beneficiario de un subsidio familiar de vivienda que haya sido efectivamente aplicado, o de las coberturas a las tasas de interés, salvo quienes hayan perdido la vivienda por imposibilidad de pago, de acuerdo con lo establecido en el artículo 33 de la Ley 546 de 1999, o cuando no la hubieren recibido o esta haya resultado afectada o destruida por causas no imputables a ellos, o cuando la vivienda en la cual se haya aplicado el subsidio haya resultado totalmente destruida o quedado inhabitable como consecuencia de desastres naturales, calamidades públicas, emergencias, o atentados terroristas, o haya sido abandonada o despojada en el marco del conflicto armado interno, o se encuentre en zonas de riesgo por la ocurrencia de eventos físicos peligrosos de origen tecnológico derivados de la ejecución u operación de obras de infraestructura o proyectos de interés nacional y/o estratégicos desarrollados por el Gobierno Nacional, o en zonas de afectación, reserva o retiro, por el diseño, ejecución u operación de obras de infraestructura o proyectos de interés nacional y/o estratégicos desarrollados por el Gobierno nacional, de conformidad con los análisis específicos de riesgos y planes de contingencia de que trata el artículo 42 de la Ley 1523 de 2012, o las normas que la modifiquen, adicionen o sustituyan;  </w:t>
      </w:r>
    </w:p>
    <w:p w14:paraId="0A2D4F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6287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En el caso de mejoramiento y construcción en sitio propio, cuando la vivienda se encuentre en zonas de alto riesgo no mitigable, zonas de protección de recursos naturales, zonas de reserva de obra pública o de infraestructuras básicas del nivel nacional, regional o municipal o áreas no aptas para la localización de vivienda, de acuerdo con los planes de ordenamiento territorial;  </w:t>
      </w:r>
    </w:p>
    <w:p w14:paraId="69EAD8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9289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Quienes hubieren presentado información que no corresponda a la verdad en cualquiera de los procesos de acceso al subsidio, restricción que estará vigente durante el término de diez (10) años conforme a lo dispuesto por el artículo 30 de la Ley 3ª de 1991.  </w:t>
      </w:r>
    </w:p>
    <w:p w14:paraId="1DB479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B796A1"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xml:space="preserve">Parágrafo. Los beneficiarios de la modalidad de arrendamiento y arrendamiento con opción de </w:t>
      </w:r>
      <w:proofErr w:type="gramStart"/>
      <w:r w:rsidRPr="231E957E">
        <w:rPr>
          <w:rFonts w:ascii="Arial" w:eastAsia="Times New Roman" w:hAnsi="Arial" w:cs="Arial"/>
          <w:color w:val="000000" w:themeColor="text1"/>
          <w:lang w:eastAsia="es-CO"/>
        </w:rPr>
        <w:t>compra,</w:t>
      </w:r>
      <w:proofErr w:type="gramEnd"/>
      <w:r w:rsidRPr="231E957E">
        <w:rPr>
          <w:rFonts w:ascii="Arial" w:eastAsia="Times New Roman" w:hAnsi="Arial" w:cs="Arial"/>
          <w:color w:val="000000" w:themeColor="text1"/>
          <w:lang w:eastAsia="es-CO"/>
        </w:rPr>
        <w:t xml:space="preserve"> podrán postularse al subsidio en cualquiera de las otras modalidades, durante la etapa de arrendamiento, no obstante la aplicación efectiva del subsidio solo podrá hacerse cuando haya finalizado la etapa de arrendamiento subsidiado.” </w:t>
      </w:r>
    </w:p>
    <w:p w14:paraId="59BE069F" w14:textId="77777777" w:rsidR="0015034A" w:rsidRPr="009342F9" w:rsidRDefault="0015034A" w:rsidP="00FC79C1">
      <w:pPr>
        <w:spacing w:after="0" w:line="240" w:lineRule="auto"/>
        <w:jc w:val="both"/>
        <w:rPr>
          <w:rFonts w:ascii="Arial" w:eastAsia="Times New Roman" w:hAnsi="Arial" w:cs="Arial"/>
          <w:color w:val="000000"/>
          <w:lang w:eastAsia="es-CO"/>
        </w:rPr>
      </w:pPr>
    </w:p>
    <w:p w14:paraId="7AD80916"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01" w:name="ver_30069071"/>
      <w:bookmarkEnd w:id="99"/>
      <w:bookmarkEnd w:id="100"/>
      <w:bookmarkEnd w:id="101"/>
      <w:r w:rsidRPr="009342F9">
        <w:rPr>
          <w:rFonts w:ascii="Arial" w:eastAsia="Times New Roman" w:hAnsi="Arial" w:cs="Arial"/>
          <w:b/>
          <w:bCs/>
          <w:color w:val="000000"/>
          <w:lang w:eastAsia="es-CO"/>
        </w:rPr>
        <w:t>NUMERAL 2</w:t>
      </w:r>
    </w:p>
    <w:p w14:paraId="4CE19CCF"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MODALIDADES DE POSTULACIÓN</w:t>
      </w:r>
    </w:p>
    <w:p w14:paraId="064988F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2" w:name="ver_30200376"/>
      <w:bookmarkStart w:id="103" w:name="ver_30069072"/>
      <w:bookmarkEnd w:id="102"/>
    </w:p>
    <w:p w14:paraId="4E1753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2.1.1.1.1.3.3.2.</w:t>
      </w:r>
      <w:proofErr w:type="gramStart"/>
      <w:r w:rsidRPr="009342F9">
        <w:rPr>
          <w:rFonts w:ascii="Arial" w:eastAsia="Times New Roman" w:hAnsi="Arial" w:cs="Arial"/>
          <w:color w:val="000000"/>
          <w:lang w:eastAsia="es-CO"/>
        </w:rPr>
        <w:t>1.Modalidad</w:t>
      </w:r>
      <w:proofErr w:type="gramEnd"/>
      <w:r w:rsidRPr="009342F9">
        <w:rPr>
          <w:rFonts w:ascii="Arial" w:eastAsia="Times New Roman" w:hAnsi="Arial" w:cs="Arial"/>
          <w:color w:val="000000"/>
          <w:lang w:eastAsia="es-CO"/>
        </w:rPr>
        <w:t xml:space="preserve"> de la postulación. La postulación de los hogares al subsidio familiar de vivienda y su asignación se hace de manera individual. </w:t>
      </w:r>
    </w:p>
    <w:p w14:paraId="47E6B80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4" w:name="ver_30200377"/>
      <w:bookmarkStart w:id="105" w:name="ver_30069073"/>
      <w:bookmarkEnd w:id="103"/>
      <w:bookmarkEnd w:id="104"/>
    </w:p>
    <w:p w14:paraId="792F81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2.1.1.1.1.3.3.2.</w:t>
      </w:r>
      <w:proofErr w:type="gramStart"/>
      <w:r w:rsidRPr="009342F9">
        <w:rPr>
          <w:rFonts w:ascii="Arial" w:eastAsia="Times New Roman" w:hAnsi="Arial" w:cs="Arial"/>
          <w:color w:val="000000"/>
          <w:lang w:eastAsia="es-CO"/>
        </w:rPr>
        <w:t>2.Postulaciones</w:t>
      </w:r>
      <w:proofErr w:type="gramEnd"/>
      <w:r w:rsidRPr="009342F9">
        <w:rPr>
          <w:rFonts w:ascii="Arial" w:eastAsia="Times New Roman" w:hAnsi="Arial" w:cs="Arial"/>
          <w:color w:val="000000"/>
          <w:lang w:eastAsia="es-CO"/>
        </w:rPr>
        <w:t xml:space="preserve"> en grupo. Excepcionalmente se podrán presentar postulaciones en grupo, solamente cuando estas se realicen a través de las unidades administrativas, dependencias, entidades, u oficinas que cumplan con las funciones de implantar las políticas de vivienda de interés social en el municipio o distrito, los Fondos Departamentales de Vivienda, las entidades territoriales, las Cajas de Compensación Familiar, los constructores, las Organizaciones Populares de Vivienda, las Organizaciones No Gubernamentales, u otras entidades con personería jurídica vigente que tengan incluido en su objeto social la promoción y el desarrollo de programas de vivienda de interés social para sus asociados, afiliados o vinculados. </w:t>
      </w:r>
    </w:p>
    <w:bookmarkEnd w:id="105"/>
    <w:p w14:paraId="650CAD7D" w14:textId="77777777" w:rsidR="00FC79C1" w:rsidRPr="009342F9" w:rsidRDefault="00FC79C1" w:rsidP="00FC79C1">
      <w:pPr>
        <w:spacing w:after="0" w:line="240" w:lineRule="auto"/>
        <w:jc w:val="center"/>
        <w:rPr>
          <w:rFonts w:ascii="Arial" w:eastAsia="Times New Roman" w:hAnsi="Arial" w:cs="Arial"/>
          <w:b/>
          <w:bCs/>
          <w:color w:val="000000"/>
          <w:lang w:eastAsia="es-CO"/>
        </w:rPr>
      </w:pPr>
    </w:p>
    <w:p w14:paraId="338BCD69" w14:textId="64567D2A"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3</w:t>
      </w:r>
    </w:p>
    <w:p w14:paraId="15541116"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PERÍODO Y VIGENCIA DE POSTULACIONES</w:t>
      </w:r>
    </w:p>
    <w:p w14:paraId="55202799"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06" w:name="ver_30200378"/>
      <w:bookmarkStart w:id="107" w:name="ver_30069075"/>
      <w:bookmarkEnd w:id="106"/>
    </w:p>
    <w:p w14:paraId="4D9BF1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2.1.1.1.1.3.3.3.1. Período de postulación. Los representantes legales de las entidades otorgantes del subsidio familiar de vivienda fijarán fechas de apertura y cierre para adelantar los procesos de postulación. La divulgación del cronograma deberá efectuarse mediante la fijación permanente de avisos en lugares visibles de las entidades otorgantes del subsidio y la publicación en las páginas web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de acuerdo al comportamiento de la oferta en el territorio y mediante publicación en el Diario Oficial cuando se trate de convocatorias abiertas por el Fondo Nacional de Vivienda, o por quien este determine para el otorgamiento de subsidios con cargo a los recursos del Gobierno nacional. </w:t>
      </w:r>
    </w:p>
    <w:p w14:paraId="08727FF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8" w:name="ver_30200412"/>
      <w:bookmarkStart w:id="109" w:name="ver_30069076"/>
      <w:bookmarkEnd w:id="107"/>
      <w:bookmarkEnd w:id="108"/>
    </w:p>
    <w:p w14:paraId="2BA403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2.1.1.1.1.3.3.3.2. Derogado  </w:t>
      </w:r>
    </w:p>
    <w:bookmarkEnd w:id="109"/>
    <w:p w14:paraId="5DBB234B"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761FBB2A" w14:textId="0FB63FD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2.1.1.1.1.3.3.3.3. Vigencia de la postulación. Los inscritos en el Registro de Postulantes, que no fueren beneficiarios en una asignación de subsidios, podrán continuar como postulantes hábiles para las asignaciones de la totalidad del año calendario. Si no fueren beneficiarios en las demás asignaciones de dicho año, para continuar siendo postulantes en las asignaciones del año siguiente deberán manifestar tal interés, mediante una comunicación escrita dirigida a la entidad donde postularon por primera vez. Lo anterior, sin perjuicio de la posibilidad de mantenerse en el Registro de Postulantes mediante la actualización de la información, sin que ello afecte la continuidad de las condiciones de postulación del hogar correspondiente. Para efectos de la actualización, las entidades otorgantes del subsidio familiar de vivienda deberán adelantar las gestiones necesarias para divulgar y facilitar a los postulantes las modificaciones a que haya lugar. </w:t>
      </w:r>
    </w:p>
    <w:p w14:paraId="67332ECE" w14:textId="624EB1B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 w:name="ver_30069078"/>
      <w:bookmarkEnd w:id="110"/>
    </w:p>
    <w:p w14:paraId="5A8F3035" w14:textId="6F45E370"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4</w:t>
      </w:r>
    </w:p>
    <w:p w14:paraId="42394AD4"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COMUNES APLICABLES A LA PRESENTE SUB-SUBSECCIÓN</w:t>
      </w:r>
    </w:p>
    <w:p w14:paraId="2AF88C9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1" w:name="ver_30069079"/>
      <w:bookmarkEnd w:id="111"/>
    </w:p>
    <w:p w14:paraId="1C376E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2.1.1.1.1.3.3.4.1. Duplicidad de postulaciones. Ningún hogar podrá presentar simultáneamente más de una postulación para el acceso al subsidio familiar de vivienda, así sea a través de diferentes registros de las personas integrantes del mismo. Si deliberadamente se incurre en esta conducta, las solicitudes correspondientes serán eliminadas de inmediato por la entidad competente. Si se detectare la infracción intencional con posterioridad a la asignación del subsidio, se revocará su asignación </w:t>
      </w:r>
      <w:proofErr w:type="gramStart"/>
      <w:r w:rsidRPr="009342F9">
        <w:rPr>
          <w:rFonts w:ascii="Arial" w:eastAsia="Times New Roman" w:hAnsi="Arial" w:cs="Arial"/>
          <w:color w:val="000000"/>
          <w:lang w:eastAsia="es-CO"/>
        </w:rPr>
        <w:t>y</w:t>
      </w:r>
      <w:proofErr w:type="gramEnd"/>
      <w:r w:rsidRPr="009342F9">
        <w:rPr>
          <w:rFonts w:ascii="Arial" w:eastAsia="Times New Roman" w:hAnsi="Arial" w:cs="Arial"/>
          <w:color w:val="000000"/>
          <w:lang w:eastAsia="es-CO"/>
        </w:rPr>
        <w:t xml:space="preserve"> por ende, no será pagado. Si ya ha sido pagado en parte o totalmente, se ordenará su restitución indexado con el Índice de Precios al Consumidor, IPC, desde la fecha en que se asignó. </w:t>
      </w:r>
    </w:p>
    <w:p w14:paraId="5291B36C" w14:textId="09A836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 w:name="ver_30069080"/>
      <w:bookmarkEnd w:id="112"/>
    </w:p>
    <w:p w14:paraId="3A9D1C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2.1.1.1.1.3.3.4.2. Lugar de postulación. Para los subsidios otorgados por el Fondo Nacional de Vivienda las postulaciones deberán realizarse en el departamento en donde se aplicará el subsidio. Los hogares afiliados a Cajas de Compensación Familiar deberán realizar la postulación en la Caja a la cual se encuentren afiliados. </w:t>
      </w:r>
    </w:p>
    <w:p w14:paraId="63288469" w14:textId="7382F492" w:rsidR="00FC79C1" w:rsidRPr="009342F9" w:rsidRDefault="00FC79C1" w:rsidP="009342F9">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p>
    <w:p w14:paraId="246CAE40"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13" w:name="ver_30069081"/>
      <w:bookmarkEnd w:id="113"/>
      <w:r w:rsidRPr="009342F9">
        <w:rPr>
          <w:rFonts w:ascii="Arial" w:eastAsia="Times New Roman" w:hAnsi="Arial" w:cs="Arial"/>
          <w:b/>
          <w:bCs/>
          <w:color w:val="000000"/>
          <w:lang w:eastAsia="es-CO"/>
        </w:rPr>
        <w:t>SUBSECCIÓN 4</w:t>
      </w:r>
    </w:p>
    <w:p w14:paraId="78659B9F"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CALIFICACIÓN Y ASIGNACIÓN DE SUBSIDIOS</w:t>
      </w:r>
    </w:p>
    <w:p w14:paraId="1B1C44FA"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6D1022D0"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1</w:t>
      </w:r>
    </w:p>
    <w:p w14:paraId="1F146FBD"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CALIFICACIÓN DE POSTULANTES</w:t>
      </w:r>
    </w:p>
    <w:p w14:paraId="6E0F67F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4" w:name="ver_30069082"/>
      <w:bookmarkEnd w:id="114"/>
    </w:p>
    <w:p w14:paraId="60148B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2.1.1.1.1.4.1.1. Verificación de información. Antes de proceder a la calificación de las postulaciones, la entidad otorgante del subsidio familiar de vivienda verificará la información suministrada por los postulantes. </w:t>
      </w:r>
    </w:p>
    <w:p w14:paraId="0F4346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FC59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Mensualmente el Instituto Geográfico Agustín Codazzi, IGAC, la Registraduría Nacional del Estado Civil, las Oficinas de Catastro de las ciudades de Bogotá, Medellín, Cali y el departamento de Antioquia, la Superintendencia de Notariado y Registro, las Entidades Financieras, los Fondos de Pensiones y Cesantías, el </w:t>
      </w:r>
      <w:proofErr w:type="spellStart"/>
      <w:r w:rsidRPr="009342F9">
        <w:rPr>
          <w:rFonts w:ascii="Arial" w:eastAsia="Times New Roman" w:hAnsi="Arial" w:cs="Arial"/>
          <w:color w:val="000000"/>
          <w:lang w:eastAsia="es-CO"/>
        </w:rPr>
        <w:t>Inurbe</w:t>
      </w:r>
      <w:proofErr w:type="spellEnd"/>
      <w:r w:rsidRPr="009342F9">
        <w:rPr>
          <w:rFonts w:ascii="Arial" w:eastAsia="Times New Roman" w:hAnsi="Arial" w:cs="Arial"/>
          <w:color w:val="000000"/>
          <w:lang w:eastAsia="es-CO"/>
        </w:rPr>
        <w:t xml:space="preserve"> en Liquidación, las Cajas de Compensación Familiar, el Fondo Nacional de Vivienda, el Banco Agrario, la Caja Promotora de Vivienda Militar y las demás entidades que el Ministerio de Ambiente, Vivienda y Desarrollo Territorial determine, deberán entregar a este o a la entidad que este designe, sin costo alguno y en medio magnético, electrónico o similar, la información necesaria para verificar la información suministrada por los postulantes. </w:t>
      </w:r>
    </w:p>
    <w:p w14:paraId="45FFBC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E8ED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incumplimiento en la remisión oportuna de la información a la que se hizo alusión en el inciso anterior dará lugar a la aplicación de las sanciones a que haya lugar conforme a la normatividad vigente. </w:t>
      </w:r>
    </w:p>
    <w:p w14:paraId="48FACB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5409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entidades otorgantes tendrán la facultad de revisar en cualquier momento la consistencia y/o veracidad de la información suministrada por el postulante. Si antes de la asignación o de la transferencia de la propiedad de la vivienda al hogar, se comprueba que existió falsedad o imprecisión en los datos suministrados en el formulario de solicitud del subsidio y/o en los documentos que lo acompañan, o en las condiciones o requisitos de la postulación, y/o asignación, se eliminarán las postulaciones presentadas y/o las asignaciones efectuadas. </w:t>
      </w:r>
    </w:p>
    <w:p w14:paraId="2AEEF7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9132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Si después de girado el subsidio familiar de vivienda, la entidad otorgante comprueba que existió imprecisión en los datos suministrados en el formulario de postulación y/o en los documentos que lo acompañan, en las condiciones o requisitos de la postulación, y/o asignación, o en los documentos de cobro del subsidio, o que la información suministrada para la postulación no corresponde a la verdad, el monto entregado deberá ser restituido por el hogar beneficiario a la entidad otorgante. </w:t>
      </w:r>
      <w:proofErr w:type="gramStart"/>
      <w:r w:rsidRPr="009342F9">
        <w:rPr>
          <w:rFonts w:ascii="Arial" w:eastAsia="Times New Roman" w:hAnsi="Arial" w:cs="Arial"/>
          <w:color w:val="000000"/>
          <w:lang w:eastAsia="es-CO"/>
        </w:rPr>
        <w:t>El valor a restituir</w:t>
      </w:r>
      <w:proofErr w:type="gramEnd"/>
      <w:r w:rsidRPr="009342F9">
        <w:rPr>
          <w:rFonts w:ascii="Arial" w:eastAsia="Times New Roman" w:hAnsi="Arial" w:cs="Arial"/>
          <w:color w:val="000000"/>
          <w:lang w:eastAsia="es-CO"/>
        </w:rPr>
        <w:t xml:space="preserve"> será el monto del subsidio asignado, indexado con el Índice de Precios al Consumidor, IPC, desde la fecha del desembolso, más los intereses corrientes causados desde esa misma fecha. </w:t>
      </w:r>
    </w:p>
    <w:p w14:paraId="59563A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135A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 a lo expresado, y sin perjuicio de las demás sanciones a que haya lugar, la imprecisión en la información que se detectare en cualquier etapa del proceso, así como la comprobación de que la información suministrada para la postulación al subsidio familiar de vivienda, no corresponde a la verdad, generará la imposibilidad para solicitar de nuevo el subsidio por parte del postulante durante un término de diez (10) años, de conformidad con lo estipulado en el artículo 30 de la Ley 3ª de 1991. </w:t>
      </w:r>
    </w:p>
    <w:p w14:paraId="6D8776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EB1A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Con el propósito de facilitar y agilizar el proceso de postulación de los hogares, las entidades otorgantes del Subsidio Familiar de Vivienda de Interés </w:t>
      </w:r>
      <w:proofErr w:type="gramStart"/>
      <w:r w:rsidRPr="009342F9">
        <w:rPr>
          <w:rFonts w:ascii="Arial" w:eastAsia="Times New Roman" w:hAnsi="Arial" w:cs="Arial"/>
          <w:color w:val="000000"/>
          <w:lang w:eastAsia="es-CO"/>
        </w:rPr>
        <w:t>Social,</w:t>
      </w:r>
      <w:proofErr w:type="gramEnd"/>
      <w:r w:rsidRPr="009342F9">
        <w:rPr>
          <w:rFonts w:ascii="Arial" w:eastAsia="Times New Roman" w:hAnsi="Arial" w:cs="Arial"/>
          <w:color w:val="000000"/>
          <w:lang w:eastAsia="es-CO"/>
        </w:rPr>
        <w:t xml:space="preserve"> podrán establecer mecanismos de consulta en línea con las entidades a que haya lugar para verificar la información de las postulaciones presentadas. El Ministerio de Vivienda, Ciudad y Territorio reglamentará la materia. En todo caso, los hogares, directamente, o a través de los gestores u oferentes de proyectos de vivienda, las entidades territoriales u oficinas encargadas en los municipios de impulsar el tema de vivienda, podrán solicitar dentro de los primeros cinco (5) días de cada mes al Ministerio de Vivienda, Ciudad y Territorio el cruce de la información de los posibles hogares postulantes, para verificar el cumplimiento de los requisitos antes de la postulación. Dicho Ministerio dará respuesta a esas solicitudes durante los diez (10) días siguientes a la fecha en que fue realizada la solicitud. </w:t>
      </w:r>
    </w:p>
    <w:p w14:paraId="64302A7E" w14:textId="68DDB65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 w:name="ver_30069083"/>
      <w:bookmarkEnd w:id="115"/>
    </w:p>
    <w:p w14:paraId="26DAFF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2.1.1.1.1.4.1.2. Criterios para la calificación de las postulaciones. Una vez surtido el proceso de verificación de la información de que trata el artículo 2.1.1.1.1.4.1.1 de la presente sección, las entidades otorgantes del subsidio calificarán cada una de las postulaciones aceptables que conforman el Registro de Postulantes, esto es, aquellas que no se hubieren rechazado por falta de cumplimiento de los requisitos normativos o por inconsistencias y/o falsedad en la información. </w:t>
      </w:r>
    </w:p>
    <w:p w14:paraId="3A825E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791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Teniendo en cuenta que los aportes para la solución de vivienda que puede realizar un hogar se definen en función de su nivel de ingresos y del número de miembros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la calificación de las postulaciones se realizará de acuerdo con la ponderación de variables del ahorro previo y las condiciones socioeconómicas de los postulantes tal y como lo establece la Ley 3ª de 1991 en sus artículos 6° y 7°. Estas variables son las siguientes: </w:t>
      </w:r>
    </w:p>
    <w:p w14:paraId="5ED90C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BAE0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Condiciones socioeconómicas de acuerdo con los puntajes del SISBÉN, que evidencien mayor nivel de pobreza, en el caso de postulantes que presenten carné o certificación municipal del puntaje SISBÉN. </w:t>
      </w:r>
    </w:p>
    <w:p w14:paraId="673E0E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B3A0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Número de miembros del hogar. </w:t>
      </w:r>
    </w:p>
    <w:p w14:paraId="5012F7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AE61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Condiciones especiales de los miembros del hogar. </w:t>
      </w:r>
    </w:p>
    <w:p w14:paraId="76DFC1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0656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Ahorro previo. </w:t>
      </w:r>
    </w:p>
    <w:p w14:paraId="6B2C77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EE15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Número de veces que el postulante ha participado en el proceso de asignación de subsidios, sin haber resultado beneficiario, siempre y cuando haya mantenido la inmovilización del ahorro mínimo pactado para la postulación. </w:t>
      </w:r>
    </w:p>
    <w:p w14:paraId="7FC8D9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5C7C56"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Los puntajes a aplicar</w:t>
      </w:r>
      <w:proofErr w:type="gramEnd"/>
      <w:r w:rsidRPr="009342F9">
        <w:rPr>
          <w:rFonts w:ascii="Arial" w:eastAsia="Times New Roman" w:hAnsi="Arial" w:cs="Arial"/>
          <w:color w:val="000000"/>
          <w:lang w:eastAsia="es-CO"/>
        </w:rPr>
        <w:t xml:space="preserve"> a cada una de las variables son los establecidos en el artículo siguiente. </w:t>
      </w:r>
    </w:p>
    <w:p w14:paraId="0DB00FE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6" w:name="ver_30180366"/>
      <w:bookmarkStart w:id="117" w:name="ver_30069084"/>
      <w:bookmarkEnd w:id="116"/>
    </w:p>
    <w:p w14:paraId="365FDE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2.1.1.1.1.4.1.3. Determinación de puntajes para calificación de postulaciones. Para efectos de determinar el puntaje de calificación de cada postulante, se aplicará la siguiente fórmula: </w:t>
      </w:r>
    </w:p>
    <w:p w14:paraId="193DC5CD" w14:textId="673ECBC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DA15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Donde:  </w:t>
      </w:r>
    </w:p>
    <w:p w14:paraId="5686FC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A04C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B1: Puntaje del SISBÉN. Para los hogares que se postulen al Fondo Nacional de Vivienda, se determinará conforme al puntaje SISBÉN del respectivo jefe de hogar postulante. Para efectos de la aplicación de esta fórmula a los afiliados a Cajas de Compensación Familiar, la equivalencia del puntaje del SISBÉN será igual al ingreso del hogar dividido en 39.880. </w:t>
      </w:r>
    </w:p>
    <w:p w14:paraId="079D37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7025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B2: Si el hogar está conformado por 2 miembros, B2 es igual a 1. Si el hogar está conformado por 3 miembros, B2 es igual a 2. Si el hogar está conformado por 4 miembros, B2 es igual a 3. Si el hogar está conformado por 5 o más miembros, B2 es igual a 4. </w:t>
      </w:r>
    </w:p>
    <w:p w14:paraId="2A68EE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7FF6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B3: Condición de mujer u hombre cabeza de familia, hogares con miembro hogar discapacitado, hogares con miembro hogar mayor de 65 años. Si tiene alguna de estas condiciones el hogar, B3 es igual a 1. Si no, B3 es igual a 0. </w:t>
      </w:r>
    </w:p>
    <w:p w14:paraId="462B1C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F68C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B4: Ahorro y Cesantías en relación con el puntaje del SISBÉN. Se obtiene de dividir el ahorro, expresado en pesos, sobre el puntaje del SISBÉN. Para efectos de la aplicación de esta fórmula a los afiliados a Cajas de Compensación Familiar, la equivalencia del puntaje del SISBÉN será igual al ingreso del hogar dividido en 39.980. </w:t>
      </w:r>
    </w:p>
    <w:p w14:paraId="5368C6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9660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B5: Tiempo de ahorro. Se contabiliza el número de meses completos desde la fecha de apertura de la cuenta de ahorro programado o la iniciación de los aportes periódicos, o desde la fecha en que el postulante oficializó su compromiso de aplicar a la vivienda sus cesantías o desde la fecha en que se efectuó el primer pago de la cuota inicial. Cuando el postulante acredite, tanto la apertura de la cuenta, como la formalización del compromiso antes citado, el tiempo de ahorro se contará a partir de la fecha más antigua. </w:t>
      </w:r>
    </w:p>
    <w:p w14:paraId="24FB0E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6BDC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B6: Número de veces que el hogar postulante ha participado en el proceso de asignación del subsidio sin haber resultado beneficiario, cumpliendo con todos los requisitos para la calificación. </w:t>
      </w:r>
    </w:p>
    <w:p w14:paraId="1AF7CB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452B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trate de la primera postulación B6 = 0. </w:t>
      </w:r>
    </w:p>
    <w:p w14:paraId="0BB52C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706F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efectos del esfuerzo de ahorro en la variable B5, se tendrá como punto de partida la fecha de iniciación del ahorro. Si el producto del ahorro se utilizó en la adquisición de terreno, se tendrá como referencia la fecha de inscripción del título de adquisición en la Oficina de Registro de Instrumentos Públicos competente, siempre y cuando este se encuentre libre de todo gravamen, salvo por la hipoteca constituida a favor de la entidad que financiará su ejecución. </w:t>
      </w:r>
    </w:p>
    <w:p w14:paraId="34701F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6665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hogares que presenten alguna de las siguientes condiciones, a saber: madre comunitaria del Instituto de Bienestar Familiar, ICBF, hogares que demuestren tener ahorro programado contractual con evaluación crediticia favorable previa, hogares con miembros afrocolombianos o indígenas, tendrán un puntaje adicional al de su calificación del tres por ciento (3%). </w:t>
      </w:r>
    </w:p>
    <w:p w14:paraId="0F6190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E55F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3°. Los hogares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habiendo sido beneficiarios del subsidio familiar de vivienda, hayan perdido la vivienda por imposibilidad de pago, podrán postularse nuevamente al subsidio familiar de vivienda en cumplimiento de lo dispuesto en el artículo 33 de la Ley 546 de 1999. Así mismo, una vez calificada su postulación conforme a la fórmula aquí establecida, la asignación por una sola vez más del subsidio familiar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se hará de manera preferente entre todos los hogares calificados que cumplan con el lleno de los requisitos establecidos en las normas vigentes. </w:t>
      </w:r>
    </w:p>
    <w:p w14:paraId="7697FC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C674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mismo tratamiento se dará a los hogares que no habiendo sido beneficiarios del subsidio familiar de vivienda, perdieron la vivienda por imposibilidad de pago. </w:t>
      </w:r>
    </w:p>
    <w:p w14:paraId="3B5F48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62BE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Los hogares que soliciten un subsidio inferior al que tienen derecho, sustentando el cierre financiero del cien por ciento (100%) del valor de la vivienda, obtendrán un puntaje adicional conforme a la siguiente fórmula: </w:t>
      </w:r>
    </w:p>
    <w:p w14:paraId="5439B2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6EFBA6" w14:textId="69E7D401"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1891892C" wp14:editId="1ABE8D76">
            <wp:extent cx="5452110" cy="1198880"/>
            <wp:effectExtent l="0" t="0" r="0" b="1270"/>
            <wp:docPr id="33" name="Imagen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3"/>
                    <pic:cNvPicPr/>
                  </pic:nvPicPr>
                  <pic:blipFill>
                    <a:blip r:embed="rId8">
                      <a:extLst>
                        <a:ext uri="{28A0092B-C50C-407E-A947-70E740481C1C}">
                          <a14:useLocalDpi xmlns:a14="http://schemas.microsoft.com/office/drawing/2010/main" val="0"/>
                        </a:ext>
                      </a:extLst>
                    </a:blip>
                    <a:stretch>
                      <a:fillRect/>
                    </a:stretch>
                  </pic:blipFill>
                  <pic:spPr>
                    <a:xfrm>
                      <a:off x="0" y="0"/>
                      <a:ext cx="5452110" cy="119888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4A5BE57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8" w:name="ver_30069085"/>
      <w:bookmarkEnd w:id="117"/>
      <w:bookmarkEnd w:id="118"/>
    </w:p>
    <w:p w14:paraId="427E47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2.1.1.1.1.4.1.4. Proceso general de selección de beneficiarios de los subsidios. Una vez calificadas cada una de las postulaciones aceptables, la entidad otorgante o el operador autorizado, si fuere el caso, las ordenará de manera automática y en forma secuencial descendente, para conformar un listado de postulantes calificados hasta completar un número de hogares equivalente al total de los recursos disponibles. Los hogares postulantes que no alcanzaren a quedar incorporados en el listado resultante serán excluidos de la correspondiente asignación. </w:t>
      </w:r>
    </w:p>
    <w:p w14:paraId="018A6B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4B9B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 los recursos no son suficientes para atender el monto total de subsidio solicitado por el postulante individual alcanzado por el corte de selección, tanto ese postulante como los que le siguen en el orden secuencial serán excluidos de la correspondiente asignación. </w:t>
      </w:r>
    </w:p>
    <w:p w14:paraId="0D9DCF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1FAB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Las entidades otorgantes del </w:t>
      </w:r>
      <w:proofErr w:type="gramStart"/>
      <w:r w:rsidRPr="009342F9">
        <w:rPr>
          <w:rFonts w:ascii="Arial" w:eastAsia="Times New Roman" w:hAnsi="Arial" w:cs="Arial"/>
          <w:color w:val="000000"/>
          <w:lang w:eastAsia="es-CO"/>
        </w:rPr>
        <w:t>subsidio,</w:t>
      </w:r>
      <w:proofErr w:type="gramEnd"/>
      <w:r w:rsidRPr="009342F9">
        <w:rPr>
          <w:rFonts w:ascii="Arial" w:eastAsia="Times New Roman" w:hAnsi="Arial" w:cs="Arial"/>
          <w:color w:val="000000"/>
          <w:lang w:eastAsia="es-CO"/>
        </w:rPr>
        <w:t xml:space="preserve"> no asumirán compromiso alguno respecto de los postulantes que no alcanzaren a quedar incorporados en los listados de beneficiarios contenidos en las resoluciones de asignación expedidas en los términos del artículo 2.1.1.1.1.4.3.1 de la presente sección. </w:t>
      </w:r>
    </w:p>
    <w:p w14:paraId="6071A456" w14:textId="53955B2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9" w:name="ver_30069086"/>
      <w:bookmarkEnd w:id="119"/>
    </w:p>
    <w:p w14:paraId="02BA64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2.1.1.1.1.4.1.5. Proceso de selección de Postulantes en la “Bolsa para Postulaciones de Ahorro Programado Contractual con Evaluación Crediticia Favorable”. Una vez calificadas las postulaciones conforme a lo dispuesto en los artículos 2.1.1.1.1.4.1.2 y 2.1.1.1.1.4.1.3 de esta sección, y dando prioridad a los hogares cuyos ingresos totales no sean superiores a la suma equivalente a dos salarios mínimos legales mensuales vigentes (2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la entidad otorgante o el operador autorizado, si fuere el caso, las ordenará de manera automática y en forma secuencial descendente para conformar una lista de postulantes calificados hasta completar un número de hogares equivalente al total de los recursos disponibles departamentalmente. </w:t>
      </w:r>
    </w:p>
    <w:p w14:paraId="43B682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B616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Las entidades otorgantes del </w:t>
      </w:r>
      <w:proofErr w:type="gramStart"/>
      <w:r w:rsidRPr="009342F9">
        <w:rPr>
          <w:rFonts w:ascii="Arial" w:eastAsia="Times New Roman" w:hAnsi="Arial" w:cs="Arial"/>
          <w:color w:val="000000"/>
          <w:lang w:eastAsia="es-CO"/>
        </w:rPr>
        <w:t>subsidio,</w:t>
      </w:r>
      <w:proofErr w:type="gramEnd"/>
      <w:r w:rsidRPr="009342F9">
        <w:rPr>
          <w:rFonts w:ascii="Arial" w:eastAsia="Times New Roman" w:hAnsi="Arial" w:cs="Arial"/>
          <w:color w:val="000000"/>
          <w:lang w:eastAsia="es-CO"/>
        </w:rPr>
        <w:t xml:space="preserve"> no asumirán compromiso alguno respecto de los postulantes que no alcanzaren a quedar incorporados en los listados de beneficiarios contenidos en las resoluciones de asignación expedidas en los términos del artículo 2.1.1.1.1.4.3.155 de la presente sección. </w:t>
      </w:r>
    </w:p>
    <w:p w14:paraId="38FA84CC" w14:textId="640129E8"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0" w:name="ver_30069087"/>
      <w:bookmarkEnd w:id="120"/>
    </w:p>
    <w:p w14:paraId="2C842F7B" w14:textId="77777777" w:rsidR="0015034A" w:rsidRDefault="0015034A" w:rsidP="00FC79C1">
      <w:pPr>
        <w:spacing w:after="0" w:line="240" w:lineRule="auto"/>
        <w:jc w:val="both"/>
        <w:rPr>
          <w:rFonts w:ascii="Arial" w:eastAsia="Times New Roman" w:hAnsi="Arial" w:cs="Arial"/>
          <w:color w:val="000000"/>
          <w:lang w:eastAsia="es-CO"/>
        </w:rPr>
      </w:pPr>
    </w:p>
    <w:p w14:paraId="35F1D21F" w14:textId="77777777" w:rsidR="0015034A" w:rsidRDefault="0015034A" w:rsidP="00FC79C1">
      <w:pPr>
        <w:spacing w:after="0" w:line="240" w:lineRule="auto"/>
        <w:jc w:val="both"/>
        <w:rPr>
          <w:rFonts w:ascii="Arial" w:eastAsia="Times New Roman" w:hAnsi="Arial" w:cs="Arial"/>
          <w:color w:val="000000"/>
          <w:lang w:eastAsia="es-CO"/>
        </w:rPr>
      </w:pPr>
    </w:p>
    <w:p w14:paraId="162B8A4A" w14:textId="77777777" w:rsidR="0015034A" w:rsidRDefault="0015034A" w:rsidP="00FC79C1">
      <w:pPr>
        <w:spacing w:after="0" w:line="240" w:lineRule="auto"/>
        <w:jc w:val="both"/>
        <w:rPr>
          <w:rFonts w:ascii="Arial" w:eastAsia="Times New Roman" w:hAnsi="Arial" w:cs="Arial"/>
          <w:color w:val="000000"/>
          <w:lang w:eastAsia="es-CO"/>
        </w:rPr>
      </w:pPr>
    </w:p>
    <w:p w14:paraId="7FC3E75D" w14:textId="6F1CA533"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2</w:t>
      </w:r>
    </w:p>
    <w:p w14:paraId="198FDA04"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ASIGNACIÓN DE SUBSIDIOS</w:t>
      </w:r>
    </w:p>
    <w:p w14:paraId="3EAB8F6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1" w:name="ver_30069088"/>
      <w:bookmarkEnd w:id="121"/>
    </w:p>
    <w:p w14:paraId="56A9A5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2.1.1.1.1.4.2.1. Períodos de asignación. Conforme al cronograma al que se hizo alusión en el artículo 2.1.1.1.1.3.3.3.1 de la presente sección, los Representantes Legales de las entidades otorgantes del subsidio familiar de vivienda fijarán las fechas entre las cuales se efectuarán las asignaciones del subsidio familiar. Dicha información será comunicada al público en general, en las mismas condiciones de modo, tiempo y lugar señaladas en el mencionado artículo 2.1.1.1.1.3.3.3.1. </w:t>
      </w:r>
    </w:p>
    <w:p w14:paraId="2161C62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2" w:name="ver_30069089"/>
      <w:bookmarkEnd w:id="122"/>
    </w:p>
    <w:p w14:paraId="3EFCBE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2.1.1.1.1.4.2.2. Deducciones. Del total de los recursos disponibles en cada entidad otorgante, para cada período, se deducirán los valores de los subsidios correspondientes a reclamaciones aceptadas, de conformidad con lo señalado en el artículo 2.1.1.1.1.4.3.3 de este capítulo. </w:t>
      </w:r>
    </w:p>
    <w:p w14:paraId="19B2BFA9" w14:textId="77777777" w:rsidR="009342F9" w:rsidRDefault="009342F9" w:rsidP="00FC79C1">
      <w:pPr>
        <w:spacing w:after="0" w:line="240" w:lineRule="auto"/>
        <w:jc w:val="both"/>
        <w:rPr>
          <w:rFonts w:ascii="Arial" w:eastAsia="Times New Roman" w:hAnsi="Arial" w:cs="Arial"/>
          <w:color w:val="000000"/>
          <w:lang w:eastAsia="es-CO"/>
        </w:rPr>
      </w:pPr>
      <w:bookmarkStart w:id="123" w:name="ver_30069113"/>
      <w:bookmarkEnd w:id="123"/>
    </w:p>
    <w:p w14:paraId="10D662FB" w14:textId="6969C4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2.1.1.1.1.4.2.3. Procedimiento general de asignación de subsidios. Surtido el proceso de calificación de las postulaciones aceptables y configurados los listados de que trata el artículo 2.1.1.1.1.4.1.4 de esta sección, la entidad otorgante del caso efectuará la asignación de los subsidios, mediante la aplicación de los recursos disponibles a los postulantes que les corresponda, de acuerdo con el orden secuencial de las listas de postulantes calificados. La asignación incluirá las postulaciones correspondientes a las mejores calificaciones, hasta completar el total de los recursos disponibles para cada entidad otorgante, sin perjuicio, en el caso de las Cajas de Compensación Familiar, de lo establecido en el artículo 2.1.1.1.1.6.1.8 de la presente sección. </w:t>
      </w:r>
    </w:p>
    <w:p w14:paraId="0B9FE7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702D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asignación que efectúen las Cajas de Compensación Familiar deberá hacerse constar en el documento que cumpla con las condiciones que para tales efectos defina la Superintendencia de Subsidio Familiar. </w:t>
      </w:r>
    </w:p>
    <w:p w14:paraId="3A85B5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9CCF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subsidio asignado por las Cajas de Compensación Familiar en los términos aquí previstos podrá ser aplicado en cualquier municipio del país. </w:t>
      </w:r>
    </w:p>
    <w:p w14:paraId="7A0827F5" w14:textId="0FE5E7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4" w:name="ver_30200413"/>
      <w:bookmarkStart w:id="125" w:name="ver_30069114"/>
      <w:bookmarkEnd w:id="124"/>
    </w:p>
    <w:p w14:paraId="25F1DA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2.1.1.1.1.4.2.4. Derogado </w:t>
      </w:r>
    </w:p>
    <w:p w14:paraId="4A54EA73"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71BE624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6" w:name="ver_30200379"/>
      <w:bookmarkStart w:id="127" w:name="ver_30109517"/>
      <w:bookmarkStart w:id="128" w:name="ver_30109518"/>
      <w:bookmarkEnd w:id="125"/>
      <w:bookmarkEnd w:id="126"/>
      <w:r w:rsidRPr="009342F9">
        <w:rPr>
          <w:rFonts w:ascii="Arial" w:eastAsia="Times New Roman" w:hAnsi="Arial" w:cs="Arial"/>
          <w:color w:val="000000"/>
          <w:lang w:eastAsia="es-CO"/>
        </w:rPr>
        <w:t>Artículo 2.1.1.1.1.4.2.</w:t>
      </w:r>
      <w:proofErr w:type="gramStart"/>
      <w:r w:rsidRPr="009342F9">
        <w:rPr>
          <w:rFonts w:ascii="Arial" w:eastAsia="Times New Roman" w:hAnsi="Arial" w:cs="Arial"/>
          <w:color w:val="000000"/>
          <w:lang w:eastAsia="es-CO"/>
        </w:rPr>
        <w:t>5.Vigencia</w:t>
      </w:r>
      <w:proofErr w:type="gramEnd"/>
      <w:r w:rsidRPr="009342F9">
        <w:rPr>
          <w:rFonts w:ascii="Arial" w:eastAsia="Times New Roman" w:hAnsi="Arial" w:cs="Arial"/>
          <w:color w:val="000000"/>
          <w:lang w:eastAsia="es-CO"/>
        </w:rPr>
        <w:t xml:space="preserve"> del subsidio. La vigencia del subsidio de vivienda de interés social otorgado con cargo a los recursos del Presupuesto </w:t>
      </w:r>
      <w:proofErr w:type="gramStart"/>
      <w:r w:rsidRPr="009342F9">
        <w:rPr>
          <w:rFonts w:ascii="Arial" w:eastAsia="Times New Roman" w:hAnsi="Arial" w:cs="Arial"/>
          <w:color w:val="000000"/>
          <w:lang w:eastAsia="es-CO"/>
        </w:rPr>
        <w:t>Nacional,</w:t>
      </w:r>
      <w:proofErr w:type="gramEnd"/>
      <w:r w:rsidRPr="009342F9">
        <w:rPr>
          <w:rFonts w:ascii="Arial" w:eastAsia="Times New Roman" w:hAnsi="Arial" w:cs="Arial"/>
          <w:color w:val="000000"/>
          <w:lang w:eastAsia="es-CO"/>
        </w:rPr>
        <w:t xml:space="preserve"> será de seis (6) meses calendario, contados desde el primer día del mes siguiente a la fecha de la publicación de su asignación.  </w:t>
      </w:r>
    </w:p>
    <w:p w14:paraId="2FCC9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CBD1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los subsidios de vivienda de interés social asignados por las Cajas de Compensación Familiar con cargo a recursos parafiscales, la vigencia será de treinta y seis (36) meses, contados desde el primer día del mes siguiente a la fecha de la publicación de su asignación.  </w:t>
      </w:r>
    </w:p>
    <w:p w14:paraId="6431C8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E80F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del subsidio en la modalidad de arrendamiento y arrendamiento con opción de compra, la vigencia del subsidio será de doce (12) meses que se empezarán a contar desde el momento de terminación de la etapa de arrendamiento subsidiado.  </w:t>
      </w:r>
    </w:p>
    <w:p w14:paraId="35AF72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DA29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los subsidios otorgados con cargo a los recursos del Presupuesto Nacional, cuyos beneficiarios a la fecha de su vencimiento hayan suscrito promesa de compraventa de una vivienda ya construida, en proceso de construcción, o un contrato de construcción de vivienda en los casos de construcción en sitio propio, la vigencia del mismo tendrá una prórroga automática de seis (6) meses adicionales, siempre y cuando el beneficiario del subsidio remita a la entidad otorgante, antes del vencimiento del mismo, la respectiva copia auténtica de la promesa de compraventa, o del contrato de construcción.  </w:t>
      </w:r>
    </w:p>
    <w:p w14:paraId="1A8630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0FBB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suscripción de promesas de compraventa o contratos de construcción de vivienda se deberá realizar únicamente en proyectos que cuenten con su respectiva elegibilidad o licencia de construcción vigente, conforme a lo dispuesto en la normativa vigente sobre la materia.  </w:t>
      </w:r>
    </w:p>
    <w:p w14:paraId="5BA4A1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C754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todo caso, la vigencia del subsidio familiar de vivienda otorgado con cargo a los recursos del Presupuesto Nacional podrá ser prorrogada mediante resolución expedida por el Ministerio de Vivienda, Ciudad y Territorio.  </w:t>
      </w:r>
    </w:p>
    <w:p w14:paraId="5B0BF0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0B68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el caso de subsidios otorgados con cargo a recursos del Presupuesto Nacional, lo dispuesto en el presente artículo operará siempre y cuando exista disponibilidad de recursos y se dé cumplimiento a las normas del Estatuto Orgánico del Presupuesto.  </w:t>
      </w:r>
    </w:p>
    <w:p w14:paraId="74AE9C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C37F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Las Cajas de Compensación Familiar podrán prorrogar, mediante acta suscrita por el Representante Legal de la misma, la vigencia de los subsidios familiares de vivienda asignados a sus afiliados por un plazo no superior a veinticuatro (24) meses. Para los casos en los que exista giro anticipado de subsidio, esta ampliación estará condicionada a la entrega por parte del oferente de la ampliación de las respectivas garantías, antes de los vencimientos de los subsidios </w:t>
      </w:r>
    </w:p>
    <w:p w14:paraId="0BF7AA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bookmarkEnd w:id="127"/>
    <w:bookmarkEnd w:id="128"/>
    <w:p w14:paraId="05835C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2.1.1.1.1.4.2.6. Renuncia al subsidio. El beneficiario del subsidio podrá, en cualquier momento, renunciar voluntariamente al beneficio obtenido, mediante comunicación suscrita en forma conjunta por los miembros del grupo familiar mayores de edad y la devolución a la entidad otorgante del documento que acredita la asignación del subsidio respectivo. La renuncia oportuna al subsidio implica el derecho a postular nuevamente. </w:t>
      </w:r>
    </w:p>
    <w:p w14:paraId="77B6E3CD" w14:textId="19E87A0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9" w:name="ver_30069117"/>
      <w:bookmarkEnd w:id="129"/>
    </w:p>
    <w:p w14:paraId="3E4E2C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2.1.1.1.1.4.2.7. De los subsidios asignados en el Departamento Archipiélago de San Andrés, Providencia y Santa Catalina. El Ministerio de Vivienda, Ciudad y Territorio establecerá mediante resolución, la forma de aplicación de los subsidios familiares de vivienda que se otorguen para el Departamento Archipiélago de San Andrés, Providencia y Santa Catalina. </w:t>
      </w:r>
    </w:p>
    <w:p w14:paraId="57FAF8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092F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postulación deberá efectuarse en el Departamento Archipiélago de San Andrés, Providencia y Santa Catalina. El subsidio podrá ser aplicado por la población no raizal para la compra de vivienda nueva en cualquier sitio del país, diferente de dicho departamento. </w:t>
      </w:r>
    </w:p>
    <w:p w14:paraId="6AE6FE62" w14:textId="5703A9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0" w:name="ver_30069118"/>
      <w:bookmarkEnd w:id="130"/>
    </w:p>
    <w:p w14:paraId="3AB9E0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2.1.1.1.1.4.2.8. Auditoría al proceso de otorgamiento del subsidio. Antes de oficializar la asignación del subsidio familiar de vivienda, el Fondo Nacional de Vivienda o la entidad que haga sus veces, deberá obtener la certificación de una firma de auditoría sobre el cumplimiento de los procesos que deben adelantarse para la asignación del subsidio. </w:t>
      </w:r>
    </w:p>
    <w:p w14:paraId="3D54F82D" w14:textId="13B5607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1" w:name="ver_30069119"/>
      <w:bookmarkEnd w:id="131"/>
    </w:p>
    <w:p w14:paraId="5770A9BD" w14:textId="6A14DC51"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3</w:t>
      </w:r>
    </w:p>
    <w:p w14:paraId="182C9EC4"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APLICABLES A LA PRESENTE SUBSECCIÓN</w:t>
      </w:r>
    </w:p>
    <w:p w14:paraId="02D37649"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32" w:name="ver_30069120"/>
      <w:bookmarkEnd w:id="132"/>
    </w:p>
    <w:p w14:paraId="056D81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2.1.1.1.1.4.3.1. Oficialización de las asignaciones. El Fondo Nacional de Vivienda publicará, en el Diario Oficial, las resoluciones que incorporen los listados de postulantes beneficiados con la asignación de subsidios. </w:t>
      </w:r>
    </w:p>
    <w:p w14:paraId="54FB86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7697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postulantes cuyos nombres no aparezcan relacionados como beneficiarios en los listados incorporados en las resoluciones de asignación, se entenderán como no beneficiados y podrán realizar las correspondientes reclamaciones en los términos del artículo 2.1.1.1.1.4.3.3 de la presente sección. </w:t>
      </w:r>
    </w:p>
    <w:p w14:paraId="709F07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E534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las Cajas de Compensación Familiar, la divulgación de las listas de los hogares beneficiarios de la asignación se realizará a través de los mecanismos que estas definan, siempre que ellos garanticen el oportuno y eficaz conocimiento de los resultados de los procesos adelantados. </w:t>
      </w:r>
    </w:p>
    <w:p w14:paraId="371568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6595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información que se publique podrá limitarse a los aspectos estrictamente necesarios para la identificación de los hogares beneficiarios, cuando disposiciones legales o reglamentarias consagren previsiones particulares que le otorguen a esta el carácter de reservada. </w:t>
      </w:r>
    </w:p>
    <w:p w14:paraId="06B54D19" w14:textId="1F5F7CD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3" w:name="ver_30069121"/>
      <w:bookmarkEnd w:id="133"/>
    </w:p>
    <w:p w14:paraId="745B7D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2.1.1.1.1.4.3.2. Comunicación individual sobre asignación del subsidio. Adicional a lo establecido en el artículo anterior, las entidades otorgantes de los subsidios de que trata esta sección suscribirán y entregarán al hogar beneficiario, el documento que acredite la asignación del Subsidio Familiar de Vivienda. Este documento indicará: la fecha de su expedición, los nombres de los miembros del hogar beneficiado y la dirección registrada por estos en el formulario de postulación; sus cédulas de ciudadanía; el monto del subsidio asignado, la modalidad de solución de vivienda a la cual puede aplicar el subsidio; el período de vigencia del subsidio y el departamento en el cual se utilizará. </w:t>
      </w:r>
    </w:p>
    <w:p w14:paraId="7DB56E34" w14:textId="56A2E71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4" w:name="ver_30069122"/>
      <w:bookmarkEnd w:id="134"/>
    </w:p>
    <w:p w14:paraId="3451B1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2.1.1.1.1.4.3.3. Reclamaciones. Los postulantes no beneficiados que se sientan afectados por el resultado de los procesos de asignación de subsidios adelantados por el Fondo Nacional de Vivienda podrán interponer ante dicha entidad, en los términos y condiciones establecidos por la ley, los recursos a que haya lugar contra las resoluciones expedidas. </w:t>
      </w:r>
    </w:p>
    <w:p w14:paraId="3D0543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EB85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las Cajas de Compensación Familiar, el procedimiento de reclamación se surtirá mediante la presentación por escrito ante la entidad otorgante de las observaciones y reclamos que les merecen los procesos adelantados, para lo cual contarán con un plazo de quince (15) días contados a partir de la publicación de los listados de beneficiarios del subsidio, transcurrido el cual no se atenderán reclamaciones. En este caso, sólo serán atendidos los reclamos fundados en errores de hecho no imputables a los postulantes, previo informe motivado y suscrito por el representante legal de la entidad otorgante, de acuerdo con el procedimiento que para el efecto cada entidad establezca; si aceptada la reclamación los recursos resultaren insuficientes, las postulaciones respectivas se harán efectivas en la siguiente asignación o posteriores. </w:t>
      </w:r>
    </w:p>
    <w:p w14:paraId="1F76D9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890A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Cada entidad otorgante deducirá los valores de los subsidios correspondientes a reclamaciones aceptadas de la suma destinada a la asignación correspondiente o de asignaciones posteriores. </w:t>
      </w:r>
    </w:p>
    <w:p w14:paraId="442F3782" w14:textId="715933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 w:name="ver_30069123"/>
      <w:bookmarkEnd w:id="135"/>
    </w:p>
    <w:p w14:paraId="455A0C36" w14:textId="7FC1ADA3"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5</w:t>
      </w:r>
    </w:p>
    <w:p w14:paraId="2A935B2B" w14:textId="03954D5B" w:rsidR="00FC79C1" w:rsidRDefault="00FC79C1" w:rsidP="00FC79C1">
      <w:pPr>
        <w:spacing w:after="0" w:line="240" w:lineRule="auto"/>
        <w:jc w:val="center"/>
        <w:rPr>
          <w:rFonts w:ascii="Arial" w:eastAsia="Times New Roman" w:hAnsi="Arial" w:cs="Arial"/>
          <w:b/>
          <w:bCs/>
          <w:color w:val="000000"/>
          <w:lang w:eastAsia="es-CO"/>
        </w:rPr>
      </w:pPr>
      <w:r w:rsidRPr="3DD719FF">
        <w:rPr>
          <w:rFonts w:ascii="Arial" w:eastAsia="Times New Roman" w:hAnsi="Arial" w:cs="Arial"/>
          <w:b/>
          <w:color w:val="000000" w:themeColor="text1"/>
          <w:lang w:eastAsia="es-CO"/>
        </w:rPr>
        <w:t>GIRO DEL SUBSIDIO FAMILIAR DE VIVIENDA</w:t>
      </w:r>
    </w:p>
    <w:p w14:paraId="53D5C58E" w14:textId="03954D5B" w:rsidR="00D04AB5" w:rsidRPr="009342F9" w:rsidRDefault="00D04AB5" w:rsidP="00FC79C1">
      <w:pPr>
        <w:spacing w:after="0" w:line="240" w:lineRule="auto"/>
        <w:jc w:val="center"/>
        <w:rPr>
          <w:rFonts w:ascii="Arial" w:eastAsia="Times New Roman" w:hAnsi="Arial" w:cs="Arial"/>
          <w:b/>
          <w:bCs/>
          <w:color w:val="000000"/>
          <w:lang w:eastAsia="es-CO"/>
        </w:rPr>
      </w:pPr>
    </w:p>
    <w:p w14:paraId="721D5B82"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1</w:t>
      </w:r>
    </w:p>
    <w:p w14:paraId="6B4C70BA"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 PARA EL GIRO DE LOS RECURSOS DEL SUBSIDIO</w:t>
      </w:r>
    </w:p>
    <w:p w14:paraId="6E8D7BFD"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36" w:name="ver_30200380"/>
      <w:bookmarkStart w:id="137" w:name="ver_30069124"/>
      <w:bookmarkStart w:id="138" w:name="ver_30167187"/>
      <w:bookmarkEnd w:id="136"/>
    </w:p>
    <w:p w14:paraId="44DA92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2.1.1.1.1.5.1.1. Giro de los recursos. Cuando no se hiciere uso de la facultad del giro anticipado del Subsidio Familiar de Vivienda de que tratan los artículos 2.1.1.1.1.5.1.2 y 2.1.1.1.1.5.1.3 de la presente sección, la entidad otorgante girará el valor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en favor del oferente de la solución de vivienda previamente declarada elegible a la cual se aplicará, una vez se acredite la conclusión de la solución de vivienda.  </w:t>
      </w:r>
    </w:p>
    <w:p w14:paraId="103F4A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0C4E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lo anterior, deberán presentarse los siguientes documentos:  </w:t>
      </w:r>
    </w:p>
    <w:p w14:paraId="5E33FA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0B9F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adquisición de vivienda nueva:  </w:t>
      </w:r>
    </w:p>
    <w:p w14:paraId="57F5E4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3BC2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Copia del certificado de tradición y libertad del inmueble, con una vigencia no mayor a treinta (30) días, que permitan evidenciar la adquisición de la vivienda por el hogar postulante. En todo caso, la entidad otorgante del subsidio podrá efectuar las respectivas consultas a través de la Ventanilla Única de Registro;  </w:t>
      </w:r>
    </w:p>
    <w:p w14:paraId="028EB2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5ECD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Autorización de cobro por parte del beneficiario del subsidio familiar de vivienda;  </w:t>
      </w:r>
    </w:p>
    <w:p w14:paraId="4B011D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DD4D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Certificado de existencia y recibo a satisfacción de la vivienda, debidamente suscrito por el oferente y por el beneficiario del subsidio o por quien hubiere sido autorizado por este para tales efectos.  </w:t>
      </w:r>
    </w:p>
    <w:p w14:paraId="38FA6E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6247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construcción en sitio propio o mejoramiento:  </w:t>
      </w:r>
    </w:p>
    <w:p w14:paraId="275A59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2522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Certificado de existencia y recibo a satisfacción de la obra, debidamente suscrito por el oferente y por el beneficiario del subsidio o por quien hubiere sido autorizado por este para tales efectos.  </w:t>
      </w:r>
    </w:p>
    <w:p w14:paraId="3BA6B7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DB2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arrendamiento y arrendamiento con opción de compra:  </w:t>
      </w:r>
    </w:p>
    <w:p w14:paraId="44C688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7217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Certificado de recibo a satisfacción de la vivienda por el beneficiario del subsidio o por quien hubiere sido autorizado por este para tales efectos.  </w:t>
      </w:r>
    </w:p>
    <w:p w14:paraId="26FBF7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422D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proyectos de vivienda de interés social, el giro de los recursos que se realice de conformidad con lo dispuesto en el presente artículo sólo podrá efectuarse si se acredita que el lote de terreno en el que se desarrolla la solución de vivienda se encuentra urbanizado.  </w:t>
      </w:r>
    </w:p>
    <w:p w14:paraId="24CB13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AB6F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certificado de tradición y libertad en el que conste la adquisición del inmueble, o el certificado de existencia y recibo a satisfacción de la obra para construcción en sitio propio y mejoramiento, o el recibo a satisfacción de las viviendas en los casos de arrendamiento, según sea el caso, deberán expedirse o suscribirse según sea el caso, dentro del período de vigencia del Subsidio Familiar de Vivienda. Dentro de los noventa (90) días siguientes a su vencimiento el subsidio será pagado, siempre que se acredite el cumplimiento de los respectivos requisitos en las modalidades de adquisición de vivienda nueva, construcción en sitio propio o mejoramiento, según corresponda. Este plazo podrá prorrogarse hasta por treinta (30) días adicionales por parte de la correspondiente Caja de Compensación Familiar, con fundamento en razones debidamente sustentadas y de las cuales deberá dejarse constancia.  </w:t>
      </w:r>
    </w:p>
    <w:p w14:paraId="54D9C1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E228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Adicionalmente, se podrán realizar los pagos aquí previstos en forma extemporánea en los siguientes casos, siempre y cuando el plazo adicional no supere los sesenta (60) días calendario:  </w:t>
      </w:r>
    </w:p>
    <w:p w14:paraId="3F41CC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11A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Cuando encontrándose en trámite la operación de compraventa, la construcción o el mejoramiento al cual se aplicará el Subsidio Familiar de Vivienda y antes de la expiración de su vigencia, se hace necesario designar un sustituto por fallecimiento del beneficiario.  </w:t>
      </w:r>
    </w:p>
    <w:p w14:paraId="74788C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AA53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Cuando la documentación completa ingrese oportunamente para el pago del valor del subsidio al vendedor de la vivienda, pero se detectaren en la misma, errores no advertidos anteriormente, que se deban subsanar.  </w:t>
      </w:r>
    </w:p>
    <w:p w14:paraId="544638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FAD4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Los desembolsos de los subsidios asignados por las Cajas de Compensación se realizarán en un plazo máximo de quince (15) días hábiles, una vez el hogar beneficiado cumpla con los requisitos exigidos en la presente sección.  </w:t>
      </w:r>
    </w:p>
    <w:p w14:paraId="45B104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FBA0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Los documentos exigidos para el giro del subsidio se acreditarán ante la entidad otorgante, quien autorizará el giro al oferente de la solución de vivienda.”  </w:t>
      </w:r>
    </w:p>
    <w:p w14:paraId="7A4645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21EFB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9" w:name="ver_30200381"/>
      <w:bookmarkStart w:id="140" w:name="ver_30069125"/>
      <w:bookmarkEnd w:id="137"/>
      <w:bookmarkEnd w:id="138"/>
      <w:bookmarkEnd w:id="139"/>
      <w:r w:rsidRPr="009342F9">
        <w:rPr>
          <w:rFonts w:ascii="Arial" w:eastAsia="Times New Roman" w:hAnsi="Arial" w:cs="Arial"/>
          <w:color w:val="000000"/>
          <w:lang w:eastAsia="es-CO"/>
        </w:rPr>
        <w:t>Artículo 2.1.1.1.1.5.1.2. Giro anticipado del subsidio. El beneficiario del subsidio familiar de vivienda podrá autorizar el giro anticipado del mismo a favor del oferente. Para proceder a ello, el oferente debe presentar ante la entidad otorgante o su operador, el certificado de elegibilidad del proyecto, las respectivas promesas de compraventa o los contratos previos para la adquisición del dominio, acreditar la constitución de un encargo fiduciario para la administración unificada de los recursos del subsidio o de una fiducia mercantil que administrará los recursos del subsidio a través de un patrimonio autónomo, el contrato que garantice la labor de interventoría, y una póliza que garantice a los beneficiarios del encargo fiduciario o del patrimonio autónomo la construcción de la solución de vivienda, así como la correcta inversión de los recursos desembolsados por concepto del subsidio familiar de vivienda, que debe cubrir el ciento por ciento (100%) del valor de los subsidios desembolsados por la entidad otorgante. </w:t>
      </w:r>
    </w:p>
    <w:p w14:paraId="7BF6A5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2CDF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ciento por ciento (100%) del valor de los subsidios se desembolsará al encargo fiduciario o patrimonio autónomo que se constituya, y cuyos beneficiarios serán el hogar beneficiario de subsidio familiar de vivienda y la entidad otorgante del subsidio. </w:t>
      </w:r>
    </w:p>
    <w:p w14:paraId="14743A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E994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80% de esta suma se girará al oferente en los términos establecidos mediante resolución por el Ministerio de Vivienda, Ciudad y Territorio. </w:t>
      </w:r>
    </w:p>
    <w:p w14:paraId="20F810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9BE0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todos os casos, para el giro del veinte por ciento (20%) restante, la entidad otorgante del subsidio familiar de vivienda o el operador autorizado informará por escrito a la fiduciaria el cumplimiento de la totalidad de los requisitos señalados en el artículo 2.1.1.1.1.5.1.1 de la presente sección, según la modalidad de solución de vivienda de que se trate, para que esta proceda a girar los recursos, previa certificación del interventor avalada por la entidad supervisora. De este modo se entenderá legalizada la aplicación total del subsidio, conforme al procedimiento establecido mediante resolución por el Ministerio de Vivienda, Ciudad y Territorio. </w:t>
      </w:r>
    </w:p>
    <w:p w14:paraId="61FE58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A8F1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podrán destinarse los recursos del subsidio girado de manera anticipada para la construcción o terminación de las obras de urbanismo. </w:t>
      </w:r>
    </w:p>
    <w:p w14:paraId="6D4489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634A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condiciones particulares que debe cumplir la póliza, el aval bancario, el encargo fiduciario y la fiducia mercantil, y las referentes a la interventoría y la supervisión, para efectos del presente artículo, serán las establecidas mediante resolución por el Ministerio de Vivienda, Ciudad y Territorio. </w:t>
      </w:r>
    </w:p>
    <w:p w14:paraId="712667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6453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Cuando se trate del giro anticipado de los recursos del subsidio familiar de vivienda en las modalidades de construcción en sitio propio o mejoramiento de vivienda, el oferente debe allegar el contrato de obra suscrito con el hogar beneficiario. </w:t>
      </w:r>
    </w:p>
    <w:p w14:paraId="48F1C3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EDFE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Sin perjuicio de lo dispuesto en el presente artículo, podrá efectuarse el giro anticipado del ciento por ciento (100%) de los recursos del Subsidio Familiar de Vivienda al oferente, cuando la garantía que este constituya para el efecto corresponda a un aval bancario. Dicho aval debe presentar las condiciones mínimas que a continuación se indican, sin perjuicio de aquellas otras adicionales que las entidades otorgantes o el Ministerio de Vivienda, Ciudad y Territorio definan para el desembolso anticipado de los subsidios familiares de vivienda que ellas asignen: </w:t>
      </w:r>
    </w:p>
    <w:p w14:paraId="2E38FA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EA9F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la garantía sea exigible si vencido el plazo de vigencia del Subsidio Familiar de Vivienda de Interés Social o de sus prórrogas, el oferente no da cumplimiento a los requisitos y condiciones establecidas en el artículo 2.1.1.1.1.5.1.1 de la presente sección; </w:t>
      </w:r>
    </w:p>
    <w:p w14:paraId="760619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0DD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el valor garantizado cubra el ciento por ciento (100%) de las sumas desembolsadas anticipadamente por concepto del subsidio familiar de vivienda, corregidas monetariamente con fundamento en el Índice de Precios al Consumidor, IPC; </w:t>
      </w:r>
    </w:p>
    <w:p w14:paraId="24CAA6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573C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Que la vigencia del aval corresponda como mínimo a la del Subsidio Familiar de Vivienda y a la de sus prórrogas, si las hubiere conforme a lo dispuesto en el artículo 2.1.1.1.1.4.2.5 de la presente sección y tres (3) meses más. </w:t>
      </w:r>
    </w:p>
    <w:p w14:paraId="66A8E2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1923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Para el caso del subsidio familiar de vivienda otorgado por las Cajas de Compensación Familiar, el beneficiario podrá autorizar el giro anticipado de los recursos al oferente, quien debe presentar ante la Caja de Compensación Familiar, los documentos señalados en el inciso 1° del presente artículo, con excepción del contrato que acredite la constitución del encargo fiduciario o fiducia mercantil, en cuyo caso, los Representantes Legales de las Cajas de Compensación Familiar en el marco de sus facultades podrán autorizar el giro anticipado del ochenta por ciento (80%) del subsidio, en las condiciones y con las garantías que mediante acta definan, velando en todo caso por la correcta preservación y destinación de los recursos.  </w:t>
      </w:r>
    </w:p>
    <w:p w14:paraId="7779C7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F154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giro del veinte por ciento (20%) restante para la legalización del subsidio se efectuará una vez el oferente acredite ante la Caja de Compensación Familiar el cumplimiento de la totalidad de los requisitos señalados en el artículo 2.1.1.1.1.5.1.1 de la presente sección.  </w:t>
      </w:r>
    </w:p>
    <w:p w14:paraId="664ABD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53CD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las Cajas de Compensación Familiar deben velar por la correcta aplicación del subsidio y en ningún caso, estos recursos podrán ser destinados para la construcción o terminación de las obras de urbanismo.  </w:t>
      </w:r>
    </w:p>
    <w:p w14:paraId="15FED1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BA27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eventos en que se presente el desembolso anticipado del subsidio, este podrá ser considerado como cuota inicial o parte de esta, para la adquisición de la vivienda nueva.” </w:t>
      </w:r>
    </w:p>
    <w:p w14:paraId="5F90F1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Ministerio de Vivienda, Ciudad y Territorio podrá establecer aquella información que las entidades fiduciarias deben reportar a la entidad otorgante del subsidio en relación con los subsidios girados anticipadamente, la periodicidad con que ella deba suministrarse y las demás condiciones que estime conducentes a efectos de monitorear la efectiva y adecuada aplicación de los recursos. </w:t>
      </w:r>
    </w:p>
    <w:p w14:paraId="5694BE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41F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En el acto de postulación a los subsidios familiares de vivienda, el hogar debe otorgar un mandato a la entidad otorgante para que represente sus intereses ante el eventual siniestro en la construcción de la solución de vivienda y correcta inversión de los recursos girados anticipadamente, y proceda a reclamar la indemnización ante la aseguradora, conforme a la reglamentación que para el efecto expida el Ministerio de Vivienda, Ciudad y Territorio. </w:t>
      </w:r>
    </w:p>
    <w:p w14:paraId="18DC489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1" w:name="ver_30200382"/>
      <w:bookmarkStart w:id="142" w:name="ver_30069126"/>
      <w:bookmarkEnd w:id="140"/>
      <w:bookmarkEnd w:id="141"/>
    </w:p>
    <w:p w14:paraId="55D90A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2.1.1.1.1.5.1.</w:t>
      </w:r>
      <w:proofErr w:type="gramStart"/>
      <w:r w:rsidRPr="009342F9">
        <w:rPr>
          <w:rFonts w:ascii="Arial" w:eastAsia="Times New Roman" w:hAnsi="Arial" w:cs="Arial"/>
          <w:color w:val="000000"/>
          <w:lang w:eastAsia="es-CO"/>
        </w:rPr>
        <w:t>3.Otras</w:t>
      </w:r>
      <w:proofErr w:type="gramEnd"/>
      <w:r w:rsidRPr="009342F9">
        <w:rPr>
          <w:rFonts w:ascii="Arial" w:eastAsia="Times New Roman" w:hAnsi="Arial" w:cs="Arial"/>
          <w:color w:val="000000"/>
          <w:lang w:eastAsia="es-CO"/>
        </w:rPr>
        <w:t xml:space="preserve"> modalidades de giro anticipado del subsidio. El giro anticipado del ciento por ciento (100%) del valor del subsidio por parte de las entidades otorgantes de los mismos, incluidas las Cajas de Compensación Familiar, en cualquiera de sus modalidades, también podrá efectuarse, previa autorización de los beneficiarios, a las entidades en las que efectúen el ahorro cuando el hogar cuente con dicho producto, siempre que dichas entidades estén legalmente habilitadas para la administración y manejo de recursos correspondientes al subsidio de vivienda de interés social otorgado con cargo a los recursos del Presupuesto Nacional.  </w:t>
      </w:r>
    </w:p>
    <w:p w14:paraId="027AFE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8B70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 los requisitos que disponga el Ministerio de Vivienda, Ciudad y Territorio y de las condiciones que se establezcan en los convenios que se suscriban con las entidades públicas o privadas que vinculen el ahorro, una vez se produzca el giro anticipado de que aquí se trata, la entidad receptora acreditará los recursos correspondientes en forma individual a cada uno de los hogares beneficiarios en la cuenta de ahorro de cada uno de estos y sólo procederá al desembolso de los mismos al oferente de la solución de vivienda cuando el Fondo Nacional de Vivienda lo autorice, después de verificar la presentación de los documentos señalados en el artículo 2.1.1.1.1.5.1.1 de la presente sección.  </w:t>
      </w:r>
    </w:p>
    <w:p w14:paraId="5766CD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ECDF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Igualmente, podrá girarse anticipadamente el subsidio de vivienda de interés social, cuando los hogares beneficiarios autoricen el desembolso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con destino al pago a entidades públicas que hayan otorgado créditos puente para la construcción de las soluciones de vivienda, todo ello en los términos y condiciones que se definan mediante resolución por parte del Ministerio de Vivienda, Ciudad y Territorio.” </w:t>
      </w:r>
    </w:p>
    <w:p w14:paraId="14B6D11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3" w:name="ver_30200414"/>
      <w:bookmarkStart w:id="144" w:name="ver_30069127"/>
      <w:bookmarkEnd w:id="142"/>
      <w:bookmarkEnd w:id="143"/>
    </w:p>
    <w:p w14:paraId="447FAD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2.1.1.1.1.5.1.4. Derogado </w:t>
      </w:r>
    </w:p>
    <w:p w14:paraId="131033C9" w14:textId="6271424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9F5E10"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45" w:name="ver_30069129"/>
      <w:bookmarkEnd w:id="144"/>
      <w:bookmarkEnd w:id="145"/>
      <w:r w:rsidRPr="009342F9">
        <w:rPr>
          <w:rFonts w:ascii="Arial" w:eastAsia="Times New Roman" w:hAnsi="Arial" w:cs="Arial"/>
          <w:b/>
          <w:bCs/>
          <w:color w:val="000000"/>
          <w:lang w:eastAsia="es-CO"/>
        </w:rPr>
        <w:t>SUB-SUBSECCIÓN 2</w:t>
      </w:r>
    </w:p>
    <w:p w14:paraId="4FE886EB"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COMUNES AL GIRO DE SUBSIDIO FAMILIAR DE VIVIENDA</w:t>
      </w:r>
    </w:p>
    <w:p w14:paraId="268CCFFF"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46" w:name="ver_30069130"/>
      <w:bookmarkEnd w:id="146"/>
    </w:p>
    <w:p w14:paraId="03142F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2.1.1.1.1.5.2.1. Restitución del subsidio en caso de remate. En el caso en que la vivienda adquirida o construida con aplicación del Subsidio Familiar de Vivienda fuere objeto de remate judicial, dentro del plazo de cinco (5) años contados a partir de la fecha de expedición del documento que acredita la asignación del Subsidio Familiar de Vivienda y luego deducirse el valor del crédito hipotecario insoluto y sus intereses y las costas correspondientes y demás créditos que gocen de privilegio conforme a la ley, deberá restituirse a la entidad otorgante el saldo, hasta el monto del subsidio otorgado, en valor constante. </w:t>
      </w:r>
    </w:p>
    <w:p w14:paraId="386833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9755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valor constante de restitución de que trata el presente artículo estará determinado por el valor recibido ajustado de acuerdo con el incremento del Índice de Precios al Consumidor, IPC, entre la fecha de recibo del subsidio y la de restitución. </w:t>
      </w:r>
    </w:p>
    <w:p w14:paraId="1A94B38E" w14:textId="33F925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 w:name="ver_30069131"/>
      <w:bookmarkEnd w:id="147"/>
    </w:p>
    <w:p w14:paraId="55B903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2.1.1.1.1.5.2.2. Autorización para enajenación de viviendas de interés social adquiridas con subsidio. No habrá lugar a la restitución del subsidio cuando la entidad otorgante autorice la enajenación de una vivienda adquirida o construida con este, en los términos del artículo 8° de la Ley 3ª de 1991. </w:t>
      </w:r>
    </w:p>
    <w:p w14:paraId="35D5EE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26E8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perjuicio de las solicitudes de autorización para enajenación de las soluciones de vivienda de que trata el presente artículo, el Ministerio de Vivienda, Ciudad y Territorio determinará, mediante resolución, las situaciones en las cuales procederá la autorización de parte de la entidad otorgante para la enajenación de las soluciones de vivienda adquiridas, construidas o mejoradas, con el subsidio de vivienda, antes de transcurrido el término mencionado en el artículo 8° de la Ley 3ª de 1991. </w:t>
      </w:r>
    </w:p>
    <w:p w14:paraId="4EBE4A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479E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registradores de instrumentos públicos que con ocasión de sus funciones tengan conocimiento de enajenaciones de viviendas obtenidas con el Subsidio Familiar de Vivienda dentro del término de que trata el artículo 8° de la Ley 3ª de 1991, deberán poner tal situación en conocimiento de la respectiva entidad otorgante. </w:t>
      </w:r>
    </w:p>
    <w:p w14:paraId="1B3E3E9E" w14:textId="583B4A0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8" w:name="ver_30069132"/>
      <w:bookmarkEnd w:id="148"/>
    </w:p>
    <w:p w14:paraId="3DF4EF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2.1.1.1.1.5.2.3. Supervisión y vigilancia de los recursos del subsidio. El Ministerio de Vivienda, Ciudad y Territorio y las entidades otorgantes podrán definir mecanismos para la supervisión y vigilancia del uso adecuado de los recursos del subsidio familiar de vivienda. </w:t>
      </w:r>
    </w:p>
    <w:p w14:paraId="7891A2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F0752B" w14:textId="2E0885A5" w:rsidR="00FC79C1" w:rsidRPr="009342F9" w:rsidRDefault="00FC79C1" w:rsidP="00FC79C1">
      <w:pPr>
        <w:spacing w:after="0" w:line="240" w:lineRule="auto"/>
        <w:jc w:val="center"/>
        <w:rPr>
          <w:rFonts w:ascii="Arial" w:eastAsia="Times New Roman" w:hAnsi="Arial" w:cs="Arial"/>
          <w:b/>
          <w:bCs/>
          <w:color w:val="000000"/>
          <w:lang w:eastAsia="es-CO"/>
        </w:rPr>
      </w:pPr>
      <w:bookmarkStart w:id="149" w:name="ver_30069133"/>
      <w:bookmarkEnd w:id="149"/>
      <w:r w:rsidRPr="009342F9">
        <w:rPr>
          <w:rFonts w:ascii="Arial" w:eastAsia="Times New Roman" w:hAnsi="Arial" w:cs="Arial"/>
          <w:b/>
          <w:bCs/>
          <w:color w:val="000000"/>
          <w:lang w:eastAsia="es-CO"/>
        </w:rPr>
        <w:t>SUBSECCIÓN 6</w:t>
      </w:r>
    </w:p>
    <w:p w14:paraId="7DCBB381" w14:textId="77777777" w:rsidR="00FC79C1" w:rsidRDefault="00FC79C1" w:rsidP="00FC79C1">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DEL SUBSIDIO FAMILIAR DE VIVIENDA ADMINISTRADO POR LAS CAJAS DE COMPENSACIÓN FAMILIAR</w:t>
      </w:r>
    </w:p>
    <w:p w14:paraId="08B868D1" w14:textId="77777777" w:rsidR="007C7D44" w:rsidRPr="009342F9" w:rsidRDefault="007C7D44" w:rsidP="00FC79C1">
      <w:pPr>
        <w:spacing w:after="0" w:line="240" w:lineRule="auto"/>
        <w:jc w:val="center"/>
        <w:rPr>
          <w:rFonts w:ascii="Arial" w:eastAsia="Times New Roman" w:hAnsi="Arial" w:cs="Arial"/>
          <w:b/>
          <w:bCs/>
          <w:color w:val="000000"/>
          <w:lang w:eastAsia="es-CO"/>
        </w:rPr>
      </w:pPr>
    </w:p>
    <w:p w14:paraId="0AB2679C"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1</w:t>
      </w:r>
    </w:p>
    <w:p w14:paraId="793D7601"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APORTES, CONFORMACIÓN Y MANEJO DE LOS FONDOS PARA EL SUBSIDIO FAMILIAR DE VIVIENDA</w:t>
      </w:r>
    </w:p>
    <w:p w14:paraId="45E4F64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0" w:name="ver_30200383"/>
      <w:bookmarkStart w:id="151" w:name="ver_30069134"/>
      <w:bookmarkEnd w:id="150"/>
    </w:p>
    <w:p w14:paraId="7BC7F9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w:t>
      </w:r>
      <w:proofErr w:type="gramStart"/>
      <w:r w:rsidRPr="009342F9">
        <w:rPr>
          <w:rFonts w:ascii="Arial" w:eastAsia="Times New Roman" w:hAnsi="Arial" w:cs="Arial"/>
          <w:color w:val="000000"/>
          <w:lang w:eastAsia="es-CO"/>
        </w:rPr>
        <w:t>1.Aportes</w:t>
      </w:r>
      <w:proofErr w:type="gramEnd"/>
      <w:r w:rsidRPr="009342F9">
        <w:rPr>
          <w:rFonts w:ascii="Arial" w:eastAsia="Times New Roman" w:hAnsi="Arial" w:cs="Arial"/>
          <w:color w:val="000000"/>
          <w:lang w:eastAsia="es-CO"/>
        </w:rPr>
        <w:t xml:space="preserve"> de los fondos para el Subsidio Familiar de Vivienda de Interés Social. Los aportes de recursos parafiscales que constituyan los Fondos para el Subsidio Familiar de Vivienda de Interés Social (FOVIS), responderán como mínimo a los porcentajes establecidos en las normas vigentes sobre la materia y podrán ser utilizados para la financiación de procesos de acompañamiento social, en la proporción que determine el Ministerio de Vivienda, Ciudad y Territorio, la cual se calculará sobre los recursos efectivamente asignados como Subsidio Familiar de Vivienda en la vigencia inmediatamente anterior.” </w:t>
      </w:r>
    </w:p>
    <w:p w14:paraId="7512B7A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2" w:name="ver_30069135"/>
      <w:bookmarkEnd w:id="151"/>
      <w:bookmarkEnd w:id="152"/>
    </w:p>
    <w:p w14:paraId="5031F6BA" w14:textId="341A6EA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2.1.1.1.1.6.1.2. Constitución de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voluntarios. Las Cajas de Compensación Familiar que no estén obligadas a constituir el Fondo para el Subsidio de Vivienda de Interés Social podrán constituir voluntariamente dicho Fondo, con recursos provenientes del presupuesto de excedentes financieros, presupuesto de inversión o aporte patronal. </w:t>
      </w:r>
    </w:p>
    <w:p w14:paraId="27D30E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CE98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respectiva solicitud de autorización de constitución de los Fondos, o en aquella presentada para el incremento de los aportes, se deberá hacer explícito el porcentaje de aporte el cual no podrá variar durante la respectiva vigencia anual de recaudo del aporte. </w:t>
      </w:r>
    </w:p>
    <w:p w14:paraId="4F2C814C" w14:textId="339474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3" w:name="ver_30069136"/>
      <w:bookmarkEnd w:id="153"/>
    </w:p>
    <w:p w14:paraId="796911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2.1.1.1.1.6.1.3. Régimen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voluntarios. Las Cajas de Compensación Familiar que no estén obligadas y decidan voluntariamente constituir el Fondo para el Subsidio Familiar de Vivienda de Interés Social, se someterán a la reglamentación de los fondos de que trata esta sección. </w:t>
      </w:r>
    </w:p>
    <w:p w14:paraId="0AB1E0BC" w14:textId="521891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4" w:name="ver_30069137"/>
      <w:bookmarkEnd w:id="154"/>
    </w:p>
    <w:p w14:paraId="650743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2.1.1.1.1.6.1.4. Apropiación de los recursos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La Superintendencia de Subsidio Familiar expedirá todos los años, a más tardar el treinta y uno (31) de enero, las certificaciones correspondientes al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nacional y a los </w:t>
      </w:r>
      <w:proofErr w:type="spellStart"/>
      <w:r w:rsidRPr="009342F9">
        <w:rPr>
          <w:rFonts w:ascii="Arial" w:eastAsia="Times New Roman" w:hAnsi="Arial" w:cs="Arial"/>
          <w:color w:val="000000"/>
          <w:lang w:eastAsia="es-CO"/>
        </w:rPr>
        <w:t>cuocientes</w:t>
      </w:r>
      <w:proofErr w:type="spellEnd"/>
      <w:r w:rsidRPr="009342F9">
        <w:rPr>
          <w:rFonts w:ascii="Arial" w:eastAsia="Times New Roman" w:hAnsi="Arial" w:cs="Arial"/>
          <w:color w:val="000000"/>
          <w:lang w:eastAsia="es-CO"/>
        </w:rPr>
        <w:t xml:space="preserve"> particulares y fijará mediante resolución, el porcentaje que le corresponda aportar mensualmente a cada una de las Cajas de Compensación Familiar con destino a su Fondo. </w:t>
      </w:r>
    </w:p>
    <w:p w14:paraId="62B61A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157B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Cajas de Compensación Familiar apropiarán, dentro de los primeros diez días (10) calendario de cada mes, los recursos para sus respectivos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con destino al Subsidio Familiar de Vivienda, aplicando a los recaudos del mes anterior los porcentajes señalados para cada Caja, según lo indicado en la resolución de la Superintendencia del Subsidio Familiar. </w:t>
      </w:r>
    </w:p>
    <w:p w14:paraId="763DD4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1219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Cajas de Compensación Familiar depositarán a más tardar el día doce (12) de cada mes, los aportes del Fondo correspondientes al Subsidio Familiar de Vivienda, en inversiones líquidas en entidades vigiladas por la Superintendencia Financiera de Colombia. </w:t>
      </w:r>
    </w:p>
    <w:p w14:paraId="7A7A38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7029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2.1.1.1.1.6.1.5. Recursos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para el subsidio familiar de vivienda de interés social. Los recursos de los Fondos destinados al Subsidio Familiar de Vivienda de Interés Social estarán constituidos por: </w:t>
      </w:r>
    </w:p>
    <w:p w14:paraId="02E52A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AE87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Las transferencias mensuales que realice la Caja de Compensación Familiar, de acuerdo con los porcentajes sobre los aportes parafiscales establecidos para cada caso y destinados al Subsidio Familiar de Vivienda; </w:t>
      </w:r>
    </w:p>
    <w:p w14:paraId="3E93C2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8E57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capital y los intereses de las inversiones realizadas con recursos de los Fondos para Subsidio Familiar de Vivienda de Interés Social; </w:t>
      </w:r>
    </w:p>
    <w:p w14:paraId="00C93B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F083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Los recursos provenientes de: </w:t>
      </w:r>
    </w:p>
    <w:p w14:paraId="1FF157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B8E5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i. La recuperación de la inversión en los proyectos de vivienda cuya construcción haya sido contratada por la respectiva Caja, con recursos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w:t>
      </w:r>
    </w:p>
    <w:p w14:paraId="384E6C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9777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Los ingresos recibidos por concepto de venta de terrenos adquiridos con recursos de los Fondos, para la construcción de proyectos de vivienda de interés social; </w:t>
      </w:r>
    </w:p>
    <w:p w14:paraId="54C961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A4B3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iii. Los ingresos recibidos por concepto de venta de proyectos de vivienda de interés social adquiridos por las Cajas de Compensación Familiar con recursos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w:t>
      </w:r>
    </w:p>
    <w:p w14:paraId="658C30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2BD3D7"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xml:space="preserve">. La recuperación de las financiaciones de proyectos de vivienda de interés social, con recursos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w:t>
      </w:r>
    </w:p>
    <w:p w14:paraId="026AC9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AFF1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v. La recuperación de cartera hipotecaria y microcrédito inmobiliario que hayan sido originados con recursos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w:t>
      </w:r>
    </w:p>
    <w:p w14:paraId="59DB5B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4D5A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Los rendimientos financieros de los recursos del Fondo colocados en proyectos para promoción de oferta. </w:t>
      </w:r>
    </w:p>
    <w:p w14:paraId="65A602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CA12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recursos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para el Subsidio Familiar de Vivienda de Interés </w:t>
      </w:r>
      <w:proofErr w:type="gramStart"/>
      <w:r w:rsidRPr="009342F9">
        <w:rPr>
          <w:rFonts w:ascii="Arial" w:eastAsia="Times New Roman" w:hAnsi="Arial" w:cs="Arial"/>
          <w:color w:val="000000"/>
          <w:lang w:eastAsia="es-CO"/>
        </w:rPr>
        <w:t>Social,</w:t>
      </w:r>
      <w:proofErr w:type="gramEnd"/>
      <w:r w:rsidRPr="009342F9">
        <w:rPr>
          <w:rFonts w:ascii="Arial" w:eastAsia="Times New Roman" w:hAnsi="Arial" w:cs="Arial"/>
          <w:color w:val="000000"/>
          <w:lang w:eastAsia="es-CO"/>
        </w:rPr>
        <w:t xml:space="preserve"> se invertirán en valores de alta liquidez, en entidades vigiladas por la Superintendencia Financiera de Colombia, asegurando que su rendimiento sea como mínimo el promedio de interés de los últimos doce (12) meses. </w:t>
      </w:r>
    </w:p>
    <w:p w14:paraId="3320624F" w14:textId="77777777" w:rsidR="009342F9" w:rsidRDefault="009342F9" w:rsidP="00FC79C1">
      <w:pPr>
        <w:spacing w:after="0" w:line="240" w:lineRule="auto"/>
        <w:jc w:val="both"/>
        <w:rPr>
          <w:rFonts w:ascii="Arial" w:eastAsia="Times New Roman" w:hAnsi="Arial" w:cs="Arial"/>
          <w:color w:val="000000"/>
          <w:lang w:eastAsia="es-CO"/>
        </w:rPr>
      </w:pPr>
      <w:bookmarkStart w:id="155" w:name="ver_30069139"/>
      <w:bookmarkEnd w:id="155"/>
    </w:p>
    <w:p w14:paraId="7B6B7C78" w14:textId="2792505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2.1.1.1.1.6.1.6. Plan Anual de Ejecución de los Recursos del Fondo. Las Cajas de Compensación Familiar elaborarán un Plan Anual de Ejecución de los recursos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el cual presentarán en enero de cada año al Ministerio de Vivienda, Ciudad y Territorio y a la Superintendencia del Subsidio Familiar. </w:t>
      </w:r>
    </w:p>
    <w:p w14:paraId="6592FB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D303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contendrá en forma discriminada la proyección mensual de ejecución de los recursos apropiados para el Subsidio Familiar de Vivienda, los rendimientos financieros, los recursos por asignar, los recursos por desembolsar, los recursos proyectados en promoción de oferta y los reintegros al Fondo por concepto de vencimientos, renuncias, reembolsos de subsidio, reintegros de promoción de oferta y de cartera por crédito hipotecario y microcrédito inmobiliario. </w:t>
      </w:r>
    </w:p>
    <w:p w14:paraId="3F930334" w14:textId="07DC8DA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6" w:name="ver_30069140"/>
      <w:bookmarkEnd w:id="156"/>
    </w:p>
    <w:p w14:paraId="05EEB5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2.1.1.1.1.6.1.7. Evaluación del Plan Anual de Ejecución de los Recursos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para el Subsidio Familiar de Vivienda. La Superintendencia del Subsidio Familiar, </w:t>
      </w:r>
      <w:proofErr w:type="gramStart"/>
      <w:r w:rsidRPr="009342F9">
        <w:rPr>
          <w:rFonts w:ascii="Arial" w:eastAsia="Times New Roman" w:hAnsi="Arial" w:cs="Arial"/>
          <w:color w:val="000000"/>
          <w:lang w:eastAsia="es-CO"/>
        </w:rPr>
        <w:t>conjuntamente con</w:t>
      </w:r>
      <w:proofErr w:type="gramEnd"/>
      <w:r w:rsidRPr="009342F9">
        <w:rPr>
          <w:rFonts w:ascii="Arial" w:eastAsia="Times New Roman" w:hAnsi="Arial" w:cs="Arial"/>
          <w:color w:val="000000"/>
          <w:lang w:eastAsia="es-CO"/>
        </w:rPr>
        <w:t xml:space="preserve"> el Ministerio de Vivienda, Ciudad y Territorio, realizará trimestralmente la evaluación y el seguimiento del cumplimiento del Plan Anual de Ejecución de los recursos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para el Subsidio Familiar de Vivienda de Interés Social, de acuerdo con los procedimientos de control y evaluación establecidos para el efecto. </w:t>
      </w:r>
    </w:p>
    <w:p w14:paraId="2F3C4D01" w14:textId="4F0A02C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 w:name="ver_30069141"/>
      <w:bookmarkEnd w:id="157"/>
    </w:p>
    <w:p w14:paraId="3762DE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2.1.1.1.1.6.1.8. Remanentes en la asignación del subsidio. Las Cajas de Compensación Familiar deberán aplicar a sus afiliados postulantes en cada vigencia anual, la asignación de la totalidad de los recursos de los respectivos Fondos destinados al Subsidio Familiar de Vivienda de Interés Social incluidos sus rendimientos, con exclusión de los recursos que efectivamente se comprometan en promoción de oferta. Una vez realizado el corte anual en cada una de las entidades otorgantes, los excedentes de recursos se aplicarán, previo concepto favorable del Ministerio de Vivienda, Ciudad y Territorio y aprobación por la Superintendencia del Subsidio Familiar, en la siguiente forma: </w:t>
      </w:r>
    </w:p>
    <w:p w14:paraId="66EE80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BFDE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remanentes de cada una de las Cajas de Compensación Familiar se aplicarán a la segunda prioridad señalada en el artículo 68 de la Ley 49 de 1990, de acuerdo con los criterios que establezca el Ministerio de Vivienda, Ciudad y Territorio l y la Superintendencia del Subsidio Familiar, según la información suministrada por las Cajas de Compensación Familiar con corte a 31 de diciembre de cada vigencia anual. </w:t>
      </w:r>
    </w:p>
    <w:p w14:paraId="69BF50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7522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Si después de este proceso resultaren recursos no utilizados en la segunda prioridad o resultaren excedentes de recursos de Cajas de Compensación Familiar, se aplicarán a la tercera prioridad establecida en el referido artículo 68 de la Ley 49 de 1990, esto es, a los postulantes no afiliados a las Cajas de Compensación, de acuerdo con el orden secuencial de la lista de hogares postulantes calificados entregada por el Fondo Nacional de Vivienda. </w:t>
      </w:r>
    </w:p>
    <w:p w14:paraId="07BC3E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A3E6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Cuando los recursos asignados en segunda y tercera prioridad no sean utilizados dentro de la vigencia del Subsidio, retornarán a la Caja original. </w:t>
      </w:r>
    </w:p>
    <w:p w14:paraId="3B0C00F1" w14:textId="25469D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8" w:name="ver_30069142"/>
      <w:bookmarkEnd w:id="158"/>
    </w:p>
    <w:p w14:paraId="568CF7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2.1.1.1.1.6.1.9. Unidad de Caja para la Administración de los Recursos del Fondo del Subsidio Familiar de Vivienda de Interés Social. Las Cajas de Compensación Familiar podrán utilizar los recursos asignados no pagados del Subsidio Familiar de Vivienda, en la promoción de oferta de vivienda de interés social y en nuevas asignaciones del subsidio, siempre y cuando se garantice una liquidez equivalente al treinta por ciento (30%) para el pago de los subsidios </w:t>
      </w:r>
      <w:proofErr w:type="gramStart"/>
      <w:r w:rsidRPr="009342F9">
        <w:rPr>
          <w:rFonts w:ascii="Arial" w:eastAsia="Times New Roman" w:hAnsi="Arial" w:cs="Arial"/>
          <w:color w:val="000000"/>
          <w:lang w:eastAsia="es-CO"/>
        </w:rPr>
        <w:t>asignados</w:t>
      </w:r>
      <w:proofErr w:type="gramEnd"/>
      <w:r w:rsidRPr="009342F9">
        <w:rPr>
          <w:rFonts w:ascii="Arial" w:eastAsia="Times New Roman" w:hAnsi="Arial" w:cs="Arial"/>
          <w:color w:val="000000"/>
          <w:lang w:eastAsia="es-CO"/>
        </w:rPr>
        <w:t xml:space="preserve"> pero no pagados. </w:t>
      </w:r>
    </w:p>
    <w:p w14:paraId="64F305BB" w14:textId="3060665B" w:rsidR="00FC79C1" w:rsidRPr="009342F9" w:rsidRDefault="00FC79C1" w:rsidP="009342F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9" w:name="ver_30167725"/>
      <w:bookmarkStart w:id="160" w:name="ver_30069143"/>
      <w:bookmarkEnd w:id="159"/>
    </w:p>
    <w:p w14:paraId="5A2FCA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2.1.1.1.1.6.1.10. Promoción de oferta de vivienda de interés social con recursos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Se entenderá por promoción de oferta de vivienda de interés social, el conjunto de actividades que adelanten las Cajas de Compensación Familiar para: </w:t>
      </w:r>
    </w:p>
    <w:p w14:paraId="7685C0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3A78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Desarrollar proyectos de vivienda de interés social contratando la construcción con constructores privados, públicos, Organizaciones No Gubernamentales u Organizaciones Populares de Vivienda. </w:t>
      </w:r>
    </w:p>
    <w:p w14:paraId="522566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CAEE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Financiar oferentes de proyectos y programas de vivienda de interés social en las condiciones que establezca el Consejo Directivo de la respectiva Caja y otorgar créditos hipotecarios y microcréditos para adquisición de vivienda de interés social, en las condiciones establecidas en la Ley 546 de 1999 y demás normas vigentes sobre la materia. </w:t>
      </w:r>
    </w:p>
    <w:p w14:paraId="273161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7BB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Adquirir proyectos de vivienda de interés social. </w:t>
      </w:r>
    </w:p>
    <w:p w14:paraId="205990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FB0F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Comprar y adecuar lotes para adelantar proyectos de vivienda de interés social. </w:t>
      </w:r>
    </w:p>
    <w:p w14:paraId="088A3B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0C40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Destinar recursos en Programas Integrales de Renovación y Redensificación Urbana. </w:t>
      </w:r>
    </w:p>
    <w:p w14:paraId="031265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BCAB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Comprar derechos fiduciarios para desarrollar proyectos de vivienda de interés social” </w:t>
      </w:r>
    </w:p>
    <w:p w14:paraId="1B56F0D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1" w:name="ver_30069144"/>
      <w:bookmarkEnd w:id="160"/>
      <w:bookmarkEnd w:id="161"/>
    </w:p>
    <w:p w14:paraId="716114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2.1.1.1.1.6.1.11. Recursos para promoción de oferta. Las Cajas de Compensación Familiar podrán destinar hasta el cuarenta (40%) por ciento de la proyección total de los recaudos de aporte del FOVIS destinados al Subsidio Familiar de Vivienda, incluyendo los rendimientos y reintegros por renuncias y vencimientos, para desarrollar el conjunto de actividades de </w:t>
      </w:r>
      <w:proofErr w:type="spellStart"/>
      <w:r w:rsidRPr="009342F9">
        <w:rPr>
          <w:rFonts w:ascii="Arial" w:eastAsia="Times New Roman" w:hAnsi="Arial" w:cs="Arial"/>
          <w:color w:val="000000"/>
          <w:lang w:eastAsia="es-CO"/>
        </w:rPr>
        <w:t>que</w:t>
      </w:r>
      <w:proofErr w:type="spellEnd"/>
      <w:r w:rsidRPr="009342F9">
        <w:rPr>
          <w:rFonts w:ascii="Arial" w:eastAsia="Times New Roman" w:hAnsi="Arial" w:cs="Arial"/>
          <w:color w:val="000000"/>
          <w:lang w:eastAsia="es-CO"/>
        </w:rPr>
        <w:t xml:space="preserve"> trata el artículo 2.1.1.1.1.6.1.10 de la presente sección, según la normativa vigente sobre la materia. </w:t>
      </w:r>
    </w:p>
    <w:p w14:paraId="34511B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9448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Consejo Directivo de la respectiva Caja de Compensación Familiar aprobará el uso de los recursos de promoción de oferta de vivienda de interés social, señalando, en el acuerdo correspondiente, los siguientes aspectos y adjuntando los respectivos documentos: </w:t>
      </w:r>
    </w:p>
    <w:p w14:paraId="21A4D4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7F12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la adquisición y desarrollo de proyectos de vivienda de interés social: </w:t>
      </w:r>
    </w:p>
    <w:p w14:paraId="64EA92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F042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El nombre del proyecto y las modalidades de solución de vivienda que el mismo contemple. </w:t>
      </w:r>
    </w:p>
    <w:p w14:paraId="3D2A5D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5E59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El número de soluciones contempladas en el proyecto, el valor de venta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el área por unidad de construcción, la disponibilidad de servicios públicos y el número y fecha de licencia de construcción. </w:t>
      </w:r>
    </w:p>
    <w:p w14:paraId="47AC66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DCD7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El plazo de ejecución del proyecto con su respectivo cronograma. </w:t>
      </w:r>
    </w:p>
    <w:p w14:paraId="223715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33BA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El monto de los recursos aprobados. </w:t>
      </w:r>
    </w:p>
    <w:p w14:paraId="799452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207F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Las fechas de desembolso de los recursos. </w:t>
      </w:r>
    </w:p>
    <w:p w14:paraId="5BD7A3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B1C6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Las fechas de reintegro de los recursos. </w:t>
      </w:r>
    </w:p>
    <w:p w14:paraId="111DEC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F669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El presupuesto y flujo de caja del proyecto. </w:t>
      </w:r>
    </w:p>
    <w:p w14:paraId="5F4589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AE79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el otorgamiento de créditos hipotecarios y microcréditos para la adquisición de vivienda de interés social por parte de los afiliados de la respectiva Caja: </w:t>
      </w:r>
    </w:p>
    <w:p w14:paraId="056F27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5BA3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 proyección del plan anual de ejecución. </w:t>
      </w:r>
    </w:p>
    <w:p w14:paraId="1A9AC3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3AAE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Monto total de los recursos aprobados que se destinarán para otorgar créditos hipotecarios y microcréditos para adquisición de vivienda de interés social. </w:t>
      </w:r>
    </w:p>
    <w:p w14:paraId="6C4950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917B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El valor individual de los créditos hipotecarios y los microcréditos para adquisición de vivienda de interés social. </w:t>
      </w:r>
    </w:p>
    <w:p w14:paraId="0F3280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6AFE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Los sistemas de amortización que se apliquen. </w:t>
      </w:r>
    </w:p>
    <w:p w14:paraId="66A801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5877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Las tasas de interés que se aplicarán según el caso, acordes con la reglamentación vigente sobre la materia, identificando los puntos adicionales de margen de intermediación que les permita a las Cajas cubrir el costo de operación. </w:t>
      </w:r>
    </w:p>
    <w:p w14:paraId="1B0049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119C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El plazo de financiación para cada caso. </w:t>
      </w:r>
    </w:p>
    <w:p w14:paraId="3FA820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F3DF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Los requisitos y garantías que se requieran para la aplicación del crédito hipotecario y el microcrédito para adquisición de vivienda de interés social. </w:t>
      </w:r>
    </w:p>
    <w:p w14:paraId="39DD03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DF0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Las estrategias de recuperación de cartera, estudio de siniestralidad y cumplimiento de las condiciones y exigencias establecidas en la Ley 546 de 1999 y demás normas vigentes sobre la materia. </w:t>
      </w:r>
    </w:p>
    <w:p w14:paraId="7DC053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4A4B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La implementación de procesos administrativos y operativos que permitan subrogar los recursos de promoción de oferta de los numerales 1, 3, y 4 del presente artículo en la colocación de créditos hipotecarios y microcréditos para adquisición de vivienda de interés social. </w:t>
      </w:r>
    </w:p>
    <w:p w14:paraId="7B4A18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967A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Para el otorgamiento de financiación a oferentes de proyectos y programas de vivienda de interés social para sus respectivos afiliados: </w:t>
      </w:r>
    </w:p>
    <w:p w14:paraId="7BF61A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6A5D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 proyección del plan anual de ejecución. </w:t>
      </w:r>
    </w:p>
    <w:p w14:paraId="2A90EA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77D7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Monto total de los recursos aprobados que se destinarán para el otorgamiento de financiación de proyectos de vivienda de interés social. </w:t>
      </w:r>
    </w:p>
    <w:p w14:paraId="54847E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F118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Los requisitos y garantías que se requieren para la aplicación de los montos de financiación de los proyectos de vivienda de interés social. </w:t>
      </w:r>
    </w:p>
    <w:p w14:paraId="3157B1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4AA3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Las estrategias de recuperación de cartera. </w:t>
      </w:r>
    </w:p>
    <w:p w14:paraId="26622D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6F6D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Para la adquisición de lotes para adelantar proyectos de vivienda de interés social: </w:t>
      </w:r>
    </w:p>
    <w:p w14:paraId="10CBCB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57C1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Área total del lote. </w:t>
      </w:r>
    </w:p>
    <w:p w14:paraId="42A1C0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623B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valor del lote a adquirir. </w:t>
      </w:r>
    </w:p>
    <w:p w14:paraId="1D9BF5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3519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Ubicación y definición del lote. </w:t>
      </w:r>
    </w:p>
    <w:p w14:paraId="271860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4A9E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Certificación emitida por la entidad territorial correspondiente en la que conste que el lote a adquirir no se encuentra ubicado en zona de alto riesgo no mitigable. </w:t>
      </w:r>
    </w:p>
    <w:p w14:paraId="62AF1C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D49F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encontrarse parte del terreno ubicado en zona de riesgo mitigable, deberá presentarse copia del respectivo plan de mitigación. </w:t>
      </w:r>
    </w:p>
    <w:p w14:paraId="61F21E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79C6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Certificado de libertad y tradición del lote con vigencia no superior a treinta (3) días calendario. </w:t>
      </w:r>
    </w:p>
    <w:p w14:paraId="7AC2F9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F4DF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Disponibilidad de servicios públicos. </w:t>
      </w:r>
    </w:p>
    <w:p w14:paraId="613498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BD06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Monto de los recursos aprobados. </w:t>
      </w:r>
    </w:p>
    <w:p w14:paraId="239C09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611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Las fechas de desembolso de los recursos. </w:t>
      </w:r>
    </w:p>
    <w:p w14:paraId="193D04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E720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Las fechas de reintegro de los recursos. </w:t>
      </w:r>
    </w:p>
    <w:p w14:paraId="41D5C4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E26C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Para destinar recursos en Programas Integrales de Renovación y Redensificación Urbana: </w:t>
      </w:r>
    </w:p>
    <w:p w14:paraId="496680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5F14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El nombre del proyecto que busque controlar la expansión urbana, reducir el consumo del suelo y apoyar la consolidación de estructura urbana. </w:t>
      </w:r>
    </w:p>
    <w:p w14:paraId="66B13C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7D2E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número de soluciones contempladas en el proyecto. </w:t>
      </w:r>
    </w:p>
    <w:p w14:paraId="355C33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1FC9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El plazo de ejecución del proyecto con su respectivo cronograma. </w:t>
      </w:r>
    </w:p>
    <w:p w14:paraId="377681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63E1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El monto de los recursos aprobados. </w:t>
      </w:r>
    </w:p>
    <w:p w14:paraId="0AC63B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EF48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Las fechas de desembolso y reintegro de los recursos. </w:t>
      </w:r>
    </w:p>
    <w:p w14:paraId="03C064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D9A3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El presupuesto y flujo de caja del proyecto. </w:t>
      </w:r>
    </w:p>
    <w:p w14:paraId="666DF9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0920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Cajas de Compensación Familiar que destinen recursos de promoción de oferta para otorgar créditos hipotecarios y microcréditos a sus afiliados para adquisición de vivienda de interés social, deberán contar con los recursos humanos y tecnológicos necesarios para administrar los créditos hipotecarios y los microcréditos, o en su defecto, deberán contratar estos recursos con un tercero especializado, sin exceder el valor de los costos y gastos administrativos de que trata el artículo 2.1.1.1.1.6.2.4 de la presente sección o las normas que la modifiquen, complementen, adicionen o sustituyan. </w:t>
      </w:r>
    </w:p>
    <w:p w14:paraId="0D33A4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361C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Cajas de Compensación Familiar serán responsables de la administración de los recursos del FOVIS destinados para la adquisición y desarrollo de proyectos de vivienda de interés social y para la adquisición de lotes para adelantar proyectos de vivienda de interés social. </w:t>
      </w:r>
    </w:p>
    <w:p w14:paraId="63F1CB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1020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Cajas serán igualmente responsables de la administración de los recursos del FOVIS destinados para el otorgamiento de crédito hipotecario y microcrédito para la adquisición de vivienda de interés social y para el otorgamiento de financiación de proyectos de vivienda de interés social, de conformidad con lo establecido en la Ley 920 de 2004 y las normas que la reglamenten o modifiquen, en cuanto a la evaluación financiera y evaluación de los deudores, aprobación del crédito, cumplimiento de los requisitos, recaudo de cuotas y demás sumas, así como la recuperación de cartera. </w:t>
      </w:r>
    </w:p>
    <w:p w14:paraId="5BCB54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70B6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Cajas de Compensación Familiar podrán promover la negociación de la cartera hipotecaria, transferir sus créditos, incluyendo las garantías o los derechos sobre los mismos y sus respectivas garantías, a sociedades </w:t>
      </w:r>
      <w:proofErr w:type="spellStart"/>
      <w:r w:rsidRPr="009342F9">
        <w:rPr>
          <w:rFonts w:ascii="Arial" w:eastAsia="Times New Roman" w:hAnsi="Arial" w:cs="Arial"/>
          <w:color w:val="000000"/>
          <w:lang w:eastAsia="es-CO"/>
        </w:rPr>
        <w:t>titularizadoras</w:t>
      </w:r>
      <w:proofErr w:type="spellEnd"/>
      <w:r w:rsidRPr="009342F9">
        <w:rPr>
          <w:rFonts w:ascii="Arial" w:eastAsia="Times New Roman" w:hAnsi="Arial" w:cs="Arial"/>
          <w:color w:val="000000"/>
          <w:lang w:eastAsia="es-CO"/>
        </w:rPr>
        <w:t>, a sociedades fiduciarias en su calidad de administradores de patrimonios autónomos o a otras entidades autorizadas por el Gobierno Nacional, con el fin de que estas emitan títulos para ser colocados en el mercado. </w:t>
      </w:r>
    </w:p>
    <w:p w14:paraId="59170F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C3B6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Superintendencia de Subsidio Familiar ejercerá en cualquier momento sus facultades de inspección, vigilancia y control sobre la utilización de los recursos de que trata este artículo, en los términos establecidos en el artículo 20 de la Ley 789 de 2002 o las normas que lo modifiquen, complementen, adicionen o sustituyan. </w:t>
      </w:r>
    </w:p>
    <w:p w14:paraId="0A533726" w14:textId="20C0438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 w:name="ver_30200384"/>
      <w:bookmarkStart w:id="163" w:name="ver_30069145"/>
      <w:bookmarkStart w:id="164" w:name="ver_30167728"/>
      <w:bookmarkEnd w:id="162"/>
    </w:p>
    <w:p w14:paraId="3577751D" w14:textId="0C2358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2.1.1.1.1.6.1.12.</w:t>
      </w:r>
      <w:r w:rsidR="0009578D">
        <w:rPr>
          <w:rFonts w:ascii="Arial" w:eastAsia="Times New Roman" w:hAnsi="Arial" w:cs="Arial"/>
          <w:color w:val="000000"/>
          <w:lang w:eastAsia="es-CO"/>
        </w:rPr>
        <w:t xml:space="preserve"> </w:t>
      </w:r>
      <w:r w:rsidRPr="009342F9">
        <w:rPr>
          <w:rFonts w:ascii="Arial" w:eastAsia="Times New Roman" w:hAnsi="Arial" w:cs="Arial"/>
          <w:color w:val="000000"/>
          <w:lang w:eastAsia="es-CO"/>
        </w:rPr>
        <w:t>Desembolso y plazos para la promoción de oferta. Los recursos de los FOVIS para el Subsidio Familiar de Vivienda de Interés Social que se destinen a promoción de oferta serán desembolsados, una vez hayan sido aprobados los respectivos proyectos de vivienda de interés social por parte del Consejo Directivo de la respectiva Caja de Compensación Familiar.  </w:t>
      </w:r>
    </w:p>
    <w:p w14:paraId="42D497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D34B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recursos de promoción de oferta destinados para desarrollar o adquirir proyectos de vivienda de interés social y para el otorgamiento de financiación a oferentes de proyectos y programas de vivienda de interés social deberán ser reintegrados al FOVIS en un plazo no mayor a veinticuatro (24) meses, contados a partir de la fecha de su desembolso, este plazo será de sesenta y cinco (65) meses en los casos en que sobre los proyectos desarrollados o adquiridos se aplique el subsidio familiar de vivienda en la modalidad de arrendamiento y arrendamiento con opción de compra, incluido el otorgado en el marco del programa Semillero de Propietarios. Los destinados para adquisición de lotes deberán ser reintegrados al FOVIS en un plazo no mayor a treinta y seis (36) meses, contados a partir de la fecha de su desembolso. Los destinados para programas integrales de renovación y redensificación urbana deberán ser reintegrados al FOVIS en un plazo no mayor a sesenta (60) meses, contados a partir de la fecha de su desembolso. Los destinados para otorgar créditos hipotecarios y microcréditos para adquisición de vivienda de interés social, deberán ser reintegrados al FOVIS en un plazo no mayor a trescientos sesenta (360) meses, contados a partir de la fecha de su desembolso. Los reintegros de los recursos se harán con los incrementos respectivos equivalentes a la variación del IPC.  </w:t>
      </w:r>
    </w:p>
    <w:p w14:paraId="74F175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30C2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Cajas de Compensación Familiar, podrán ampliar el plazo de reintegro al FOVIS de los recursos de promoción de oferta hasta por doce (12) meses adicionales mediante acuerdo expedido por su respectivo Consejo Directivo. Vencidos los términos antes mencionados, se causarán intereses de mora a la máxima tasa de interés permitida por la Superintendencia Financiera de Colombia hasta la fecha en que sean efectivamente reintegrados los recursos al FOVIS, los cuales serán igualmente pagados con recursos propios, sin perjuicio de la sanción por incumplimiento de que trata el parágrafo 1° del presente artículo.  </w:t>
      </w:r>
    </w:p>
    <w:p w14:paraId="5F975F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364D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reintegro efectivo de los recursos en los términos totales de 36, 48, 72, 77 y 372 meses, a los que se hizo alusión en los incisos dos y tres del presente artículo, será requisito indispensable para acceder a nuevos recursos. En el evento en que se presente incumplimiento en los términos y condiciones establecidos en el presente artículo, las Cajas de Compensación Familiar no podrán acceder a nuevos recursos para promoción de oferta.  </w:t>
      </w:r>
    </w:p>
    <w:p w14:paraId="3758FE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1906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Superintendencia del Subsidio Familiar vigilará el cumplimiento de las condiciones establecidas en el presente artículo y los plazos de retorno de los recursos al FOVIS. Adicionalmente, cuando se incumplan los términos establecidos en el presente artículo, podrá exigir, en un plazo no mayor a sesenta (60) días, el reintegro de los recursos, sin perjuicio de las sanciones legales a que haya lugar.” </w:t>
      </w:r>
    </w:p>
    <w:p w14:paraId="744DC575"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69D1E5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5" w:name="ver_30109322"/>
      <w:bookmarkEnd w:id="163"/>
      <w:bookmarkEnd w:id="164"/>
      <w:bookmarkEnd w:id="165"/>
      <w:r w:rsidRPr="009342F9">
        <w:rPr>
          <w:rFonts w:ascii="Arial" w:eastAsia="Times New Roman" w:hAnsi="Arial" w:cs="Arial"/>
          <w:color w:val="000000"/>
          <w:lang w:eastAsia="es-CO"/>
        </w:rPr>
        <w:t>Numeral 1. Distribución de recursos de los Fondos Obligatorios para la Vivienda de Interés Social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de las Cajas de Compensación Familiar, en el Territorio Nacional.</w:t>
      </w:r>
    </w:p>
    <w:p w14:paraId="34A23E7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6" w:name="ver_30167195"/>
      <w:bookmarkStart w:id="167" w:name="ver_30109329"/>
      <w:bookmarkEnd w:id="166"/>
    </w:p>
    <w:p w14:paraId="4F43E2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2.1.1.1.1.6.1.1.1. Destinación de recursos apropiados en el Fondo para el Subsidio Familiar de Vivienda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A partir del mes siguiente a la entrada en vigencia de este numeral y por un término de treinta y seis (36) meses, las Cajas de Compensación Familiar (CCF) con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de recaudo superior al 110%, que adicionalmente estén obligadas a apropiar el 20.5% de los aportes patronales al componente de vivienda, destinarán mensualmente el 15% de los recursos apropiados en el respectivo Fondo para el Subsidio Familiar de Vivienda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para la asignación de subsidios familiares de vivienda urbana en beneficio de hogares afiliados a otras CCF, que oferten proyectos de vivienda de interés social y/o prioritario que resulten seleccionados en las condiciones definidas en el presente Numeral. </w:t>
      </w:r>
    </w:p>
    <w:p w14:paraId="7A44FA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4E97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recursos que se destinen a los propósitos señalados en el presente artículo serán administrados de manera autónoma por cada una de las CCF obligadas a apropiarlos. </w:t>
      </w:r>
    </w:p>
    <w:p w14:paraId="3918B9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8927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Los recursos que se destinen a los propósitos señalados en el presente artículo podrán ser destinados para actividades de promoción de oferta de vivienda de interés social, previstas en el artículo 2.1.1.1.1.6.1.10 de este decreto, solamente en los proyectos que resulten seleccionados de acuerdo con lo establecido en este Numeral, siempre y cuando la CCF posteriormente destine la totalidad de dichos recursos a la asignación de subsidios familiares de vivienda vinculados a los proyectos seleccionados de acuerdo con lo indicado en este numeral. </w:t>
      </w:r>
    </w:p>
    <w:p w14:paraId="1CAF99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9D9C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recursos que se destinen para los propósitos a que se refiere el presente artículo, y que no se encuentren vinculados a la ejecución de proyectos seleccionados de acuerdo con lo establecido en este numeral, dentro de los veinticuatro (24) meses siguientes a la finalización de los treinta y seis (36) meses señalados para la apropiación, deberán destinarse para atender a los hogares afiliados a la CCF que realizó la apropiación, de acuerdo con lo establecido en las normas vigentes. Lo mismo ocurrirá con los subsidios familiares de vivienda que se asignen de acuerdo con lo establecido en este numeral y que por cualquier razón no se legalicen dentro del término de su vigencia. </w:t>
      </w:r>
    </w:p>
    <w:p w14:paraId="147874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0985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Los recursos que, de acuerdo con lo establecido en este artículo, se destinen para la asignación de subsidios familiares de vivienda urbana en beneficio de hogares afiliados a otras CCF, no estarán sujetos a lo establecido en el artículo 2.1.1.1.1.6.1.8 del presente decreto. </w:t>
      </w:r>
    </w:p>
    <w:p w14:paraId="1ACB153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8" w:name="ver_30167197"/>
      <w:bookmarkStart w:id="169" w:name="ver_30109331"/>
      <w:bookmarkEnd w:id="167"/>
      <w:bookmarkEnd w:id="168"/>
    </w:p>
    <w:p w14:paraId="7BFAD1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2.1.1.1.1.6.1.1.2. Selección de proyectos de vivienda de interés social y/o prioritario. Las CCF que resulten obligadas a destinar el 15% de los recursos de sus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para los propósitos señalados en el artículo 2.1.1.1.1.6.1.1.1 de este decreto, realizarán convocatorias tendientes a seleccionar proyectos de vivienda de interés social y/o prioritario, que cumplan las condiciones técnicas y jurídicas definidas por las CCF convocantes, y que se pretendan desarrollar en municipios diferentes a aquellos en que tengan jurisdicción estas últimas. </w:t>
      </w:r>
    </w:p>
    <w:p w14:paraId="60387E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4786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Podrán ser oferentes de proyectos, en las convocatorias antes señaladas, las CCF no obligadas a destinar los recursos de que trata el artículo 2.1.1.1.1.6.1.1.1 de este decreto, siempre y cuando acrediten, ante las CCF convocantes, que cuentan, como mínimo, con los recursos y la capacidad necesarias para garantizar la dotación y operación de los equipamientos públicos mínimos requeridos para el proyecto, en la convocatoria. </w:t>
      </w:r>
    </w:p>
    <w:p w14:paraId="3D043E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DCC7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CCF convocantes serán responsables de verificar la viabilidad técnica, jurídica y financiera de los proyectos de vivienda que se postulen en el marco de los procesos de selección que adelanten, y deberán dar publicidad al proceso de evaluación de los proyectos, así como a los actos de selección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w:t>
      </w:r>
    </w:p>
    <w:p w14:paraId="3ECE03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584A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CCF que actúen como oferentes de proyectos de acuerdo con lo establecido en este numeral, únicamente para la formulación, supervisión y seguimiento de los mismos y hasta por el término de treinta y seis (36) meses contados a partir del mes siguiente a la entrada en vigencia de este numeral, podrán imputar a sus respectivos FOVIS el valor de los costos y gastos operativos en que incurran, sin exceder el 4% del valor correspondiente a las transferencias mensuales por concepto de aportes al FOVIS, con destino al subsidio familiar de vivienda de interés social, adicionales a los recursos a que se refiere el artículo 2.1.1.1.1.6.2.4 de este decreto, y tendrán las mismas condiciones de ejecución que los recursos a que se refiere el citado artículo, sin perjuicio de lo previsto en este decreto. </w:t>
      </w:r>
    </w:p>
    <w:bookmarkEnd w:id="169"/>
    <w:p w14:paraId="46C1AA6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6459040" w14:textId="5129AC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2.1.1.1.1.6.1.1.3. Condiciones de acceso al subsidio familiar de vivienda. La(s) CCF(s) que actúe(n) como oferente(s) de los proyectos, deberá(n) verificar la existencia de hogares, que se encuentren afiliados a las CCF que tengan jurisdicción en el municipio en que se pretenda ejecutar, y que cumplan las condiciones establecidas en este Numeral, y en las demás disposiciones que sean aplicables, para ser beneficiarios de los subsidios familiares de vivienda. De conformidad con esta verificación, deberán definir el número de viviendas del proyecto postulado.  </w:t>
      </w:r>
    </w:p>
    <w:p w14:paraId="35BB8B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EF9C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CCF convocantes revisarán las condiciones de la demanda potencial presentada por el postulante y podrán definir las condiciones en las cuales el número de viviendas del proyecto postulado puede ser modificado.  </w:t>
      </w:r>
    </w:p>
    <w:p w14:paraId="61660A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B439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subsidios familiares de vivienda que se otorguen por parte de las CCF </w:t>
      </w:r>
      <w:proofErr w:type="gramStart"/>
      <w:r w:rsidRPr="009342F9">
        <w:rPr>
          <w:rFonts w:ascii="Arial" w:eastAsia="Times New Roman" w:hAnsi="Arial" w:cs="Arial"/>
          <w:color w:val="000000"/>
          <w:lang w:eastAsia="es-CO"/>
        </w:rPr>
        <w:t>convocantes,</w:t>
      </w:r>
      <w:proofErr w:type="gramEnd"/>
      <w:r w:rsidRPr="009342F9">
        <w:rPr>
          <w:rFonts w:ascii="Arial" w:eastAsia="Times New Roman" w:hAnsi="Arial" w:cs="Arial"/>
          <w:color w:val="000000"/>
          <w:lang w:eastAsia="es-CO"/>
        </w:rPr>
        <w:t xml:space="preserve"> deberán ser aplicados únicamente en la adquisición de las soluciones de vivienda ejecutadas o a ejecutar en el marco de los proyectos que resulten seleccionados de conformidad con lo establecido en este numeral.  </w:t>
      </w:r>
    </w:p>
    <w:p w14:paraId="76FCCB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259C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seleccionados los proyectos, las CCF convocantes definirán a cuál de estas corresponderá la asignación de los subsidios familiares de vivienda de cada uno de ellos.  </w:t>
      </w:r>
    </w:p>
    <w:p w14:paraId="4CF586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2867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todo caso, la CCF a la cual le corresponda la asignación de los subsidios, de acuerdo con lo expuesto, será responsable de garantizar la disponibilidad de recursos para la asignación y desembolso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una vez se cumplan las condiciones señaladas en este Numeral y en las demás normas que resulten aplicables. </w:t>
      </w:r>
    </w:p>
    <w:p w14:paraId="72BA671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0" w:name="ver_30109338"/>
      <w:bookmarkEnd w:id="170"/>
    </w:p>
    <w:p w14:paraId="7412EE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2.1.1.1.1.6.1.1.4. Beneficiarios del subsidio familiar de vivienda. Serán beneficiarios del Subsidio Familiar de Vivienda Urbana asignado en el marco del presente Numeral, los hogares afiliados a las CCF con ingresos no superiores a cuatro (4) Salarios Mínimos Mensuales Legales Vigentes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que cumplan con los requisitos y condiciones establecidas en los artículos 2.1.1.1.1.3.3.1.1. y 2.1.1.1.1.3.3.1.2. del presente decreto.  </w:t>
      </w:r>
    </w:p>
    <w:p w14:paraId="1563B0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86E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monto del subsidio familiar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se establecerá de conformidad con el rango de ingresos del hogar, de conformidad con lo dispuesto en el artículo 2.1.1.1.1.1.8. del Presente decreto o la norma que lo modifique, adicione o sustituya. </w:t>
      </w:r>
    </w:p>
    <w:p w14:paraId="11F3A8A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1" w:name="ver_30167201"/>
      <w:bookmarkStart w:id="172" w:name="ver_30109339"/>
      <w:bookmarkEnd w:id="171"/>
    </w:p>
    <w:p w14:paraId="4B9A28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2.1.1.1.1.6.1.1.5. Valor del subsidio familiar de vivienda. Los subsidios familiares de vivienda se asignarán de conformidad con los ingresos del hogar beneficiario, así:  </w:t>
      </w:r>
    </w:p>
    <w:p w14:paraId="47D2CB8A" w14:textId="77777777" w:rsidR="00C821B4" w:rsidRDefault="00C821B4" w:rsidP="00FC79C1">
      <w:pPr>
        <w:spacing w:after="0" w:line="240" w:lineRule="auto"/>
        <w:jc w:val="both"/>
        <w:rPr>
          <w:rFonts w:ascii="Arial" w:eastAsia="Times New Roman" w:hAnsi="Arial" w:cs="Arial"/>
          <w:color w:val="000000"/>
          <w:lang w:eastAsia="es-CO"/>
        </w:rPr>
      </w:pPr>
    </w:p>
    <w:p w14:paraId="7421A5AD" w14:textId="1D5B04C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A los hogares con ingresos de hasta dos (2) SMLMV, se asignará un subsidio fa</w:t>
      </w:r>
      <w:r w:rsidRPr="009342F9">
        <w:rPr>
          <w:rFonts w:ascii="Arial" w:eastAsia="Times New Roman" w:hAnsi="Arial" w:cs="Arial"/>
          <w:color w:val="000000"/>
          <w:lang w:eastAsia="es-CO"/>
        </w:rPr>
        <w:softHyphen/>
        <w:t>miliar de vivienda por valor de hasta treinta (30) SMLMV;  </w:t>
      </w:r>
    </w:p>
    <w:p w14:paraId="6826E302" w14:textId="77777777" w:rsidR="00C821B4" w:rsidRDefault="00C821B4" w:rsidP="00FC79C1">
      <w:pPr>
        <w:spacing w:after="0" w:line="240" w:lineRule="auto"/>
        <w:jc w:val="both"/>
        <w:rPr>
          <w:rFonts w:ascii="Arial" w:eastAsia="Times New Roman" w:hAnsi="Arial" w:cs="Arial"/>
          <w:color w:val="000000"/>
          <w:lang w:eastAsia="es-CO"/>
        </w:rPr>
      </w:pPr>
    </w:p>
    <w:p w14:paraId="49DDCEEA" w14:textId="7CD73C0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A los hogares con ingresos superiores a dos (2) y hasta cuatro (4) SMLMV, se asignará un subsidio familiar de vivienda por valor de hasta veinte (20) SMLMV.  </w:t>
      </w:r>
    </w:p>
    <w:p w14:paraId="3F8968DC" w14:textId="77777777" w:rsidR="00C821B4" w:rsidRDefault="00C821B4" w:rsidP="00FC79C1">
      <w:pPr>
        <w:spacing w:after="0" w:line="240" w:lineRule="auto"/>
        <w:jc w:val="both"/>
        <w:rPr>
          <w:rFonts w:ascii="Arial" w:eastAsia="Times New Roman" w:hAnsi="Arial" w:cs="Arial"/>
          <w:color w:val="000000"/>
          <w:lang w:eastAsia="es-CO"/>
        </w:rPr>
      </w:pPr>
    </w:p>
    <w:p w14:paraId="5D57C497" w14:textId="36DFB7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subsidio familiar de vivienda al que hace referencia el presente artículo podrá aplicarse únicamente para la adquisición de vivienda de interés social urbana nueva. </w:t>
      </w:r>
    </w:p>
    <w:p w14:paraId="0B1DD00B"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CE2950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3" w:name="ver_30167208"/>
      <w:bookmarkStart w:id="174" w:name="ver_30109341"/>
      <w:bookmarkEnd w:id="172"/>
      <w:bookmarkEnd w:id="173"/>
      <w:r w:rsidRPr="009342F9">
        <w:rPr>
          <w:rFonts w:ascii="Arial" w:eastAsia="Times New Roman" w:hAnsi="Arial" w:cs="Arial"/>
          <w:color w:val="000000"/>
          <w:lang w:eastAsia="es-CO"/>
        </w:rPr>
        <w:t>Artículo 2.1.1.1.1.6.1.1.6. Postulación al subsidio familiar de vivienda. El proceso de postulación al subsidio familiar de vivienda de que trata este numeral, será realizado por la CCF a la que se encuentre afiliado el hogar y que sea oferente del proyecto de vivienda que haya resultado seleccionado de conformidad con lo establecido en este numeral, con excepción de lo establecido en el artículo 2.1.1.1.1.6.1.1.10 de este decreto.  </w:t>
      </w:r>
    </w:p>
    <w:p w14:paraId="34B35D2F" w14:textId="77777777" w:rsidR="00C821B4" w:rsidRDefault="00C821B4" w:rsidP="00FC79C1">
      <w:pPr>
        <w:spacing w:after="0" w:line="240" w:lineRule="auto"/>
        <w:jc w:val="both"/>
        <w:rPr>
          <w:rFonts w:ascii="Arial" w:eastAsia="Times New Roman" w:hAnsi="Arial" w:cs="Arial"/>
          <w:color w:val="000000"/>
          <w:lang w:eastAsia="es-CO"/>
        </w:rPr>
      </w:pPr>
    </w:p>
    <w:p w14:paraId="5B7C2640" w14:textId="15889B1D"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información de las postulaciones será remitida a las CCF convocantes, dentro de los doce (12) meses siguientes a la suscripción del convenio entre las CCF convocantes y oferentes, acompañada de una certificación de auditoría interna respectiva, en que se dé constancia que todos los hogares postulantes cumplieron con los requisitos establecidos en el presente numeral y los señalados en los artículos 2.1.1.1.1.3.3.1.1 y 2.1.1.1.1.3.3.1.2 del presente decreto o las normas que lo modifiquen, adicionen o sustituya.  </w:t>
      </w:r>
    </w:p>
    <w:p w14:paraId="1AF48D29" w14:textId="77777777" w:rsidR="009342F9" w:rsidRPr="009342F9" w:rsidRDefault="009342F9" w:rsidP="00FC79C1">
      <w:pPr>
        <w:spacing w:after="0" w:line="240" w:lineRule="auto"/>
        <w:jc w:val="both"/>
        <w:rPr>
          <w:rFonts w:ascii="Arial" w:eastAsia="Times New Roman" w:hAnsi="Arial" w:cs="Arial"/>
          <w:color w:val="000000"/>
          <w:lang w:eastAsia="es-CO"/>
        </w:rPr>
      </w:pPr>
    </w:p>
    <w:p w14:paraId="44D456FE" w14:textId="0EB310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número de hogares postulados supere el número de viviendas del proyecto seleccionado, la CCF encargada de asignar los subsidios calificará las postulaciones presentadas, utilizando la fórmula establecida en el artículo 2.1.1.1.1.4.1.3 del presente decreto, para determinar cuáles son los hogares que deberán ser beneficiarios de la asignación.  </w:t>
      </w:r>
    </w:p>
    <w:p w14:paraId="067E8C3F"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211A1DC6" w14:textId="3FD7009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caso de renuncias al subsidio familiar de vivienda, los oferentes podrán solicitar la sustitución de los hogares ante la Caja de Compensación Familiar otorgante del mismo, con aquellos que se encuentren postulados y calificados o con los resultantes de nuevas postulaciones.  </w:t>
      </w:r>
    </w:p>
    <w:p w14:paraId="363E6112"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1F504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CCF convocantes podrán prorrogar el plazo establecido para la remisión de las postulaciones, sin que en ningún caso exceda de veinticuatro (24) meses contados a partir de la suscripción del convenio entre las CCF convocantes y oferentes, por solicitud de las CCF oferentes y aprobada por las CCF convocantes”.  </w:t>
      </w:r>
    </w:p>
    <w:p w14:paraId="004AEA3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5" w:name="ver_30109343"/>
      <w:bookmarkEnd w:id="174"/>
      <w:bookmarkEnd w:id="175"/>
    </w:p>
    <w:p w14:paraId="550761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2.1.1.1.1.6.1.1.7. Vigencia del subsidio familiar de vivienda. La vigencia de los subsidios familiares de vivienda otorgados de conformidad con lo dispuesto en el presente Numeral será la señalada en el artículo 2.1.1.1.1.4.2.5 del presente decreto. La asignación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deberá realizarse a más tardar cuatro (4) meses antes del plazo previsto para la terminación de las viviendas, de acuerdo con lo establecido en la convocatoria realizada de acuerdo con lo dispuesto en el artículo 2.1.1.1.1.6.1.1.2 de este decreto. </w:t>
      </w:r>
    </w:p>
    <w:p w14:paraId="4B05A17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6" w:name="ver_30109346"/>
      <w:bookmarkEnd w:id="176"/>
    </w:p>
    <w:p w14:paraId="32106B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2.1.1.1.1.6.1.1.8. Inspección, vigilancia y control. La Superintendencia de Subsidio Familiar ejercerá, en cualquier momento, sus facultades de inspección, vigilancia y control sobre la aplicación de recursos de que trata el presente Numeral. </w:t>
      </w:r>
    </w:p>
    <w:p w14:paraId="76C1F2A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7" w:name="ver_30109347"/>
      <w:bookmarkEnd w:id="177"/>
    </w:p>
    <w:p w14:paraId="0987E4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2.1.1.1.1.6.1.1.9. Aplicación de la sección 2.1.1.1.1 del presente decreto. Se dará aplicación a lo dispuesto en las demás disposiciones de la sección 2.1.1.1.1 del presente decreto y las normas que la modifiquen, adicionen o sustituyan, siempre y cuando no contraríen las disposiciones del presente Numeral”. </w:t>
      </w:r>
    </w:p>
    <w:p w14:paraId="3D4608F8"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47FCD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2.1.1.1.1.6.1.1.10. Asignación de subsidios familiares de vivienda a afiliados de otras Cajas de Compensación Familiar. En el evento de no existir suficientes hogares que cumplan con los requisitos establecidos en el artículo 2.1.1.1.1.6.1.1.4 del presente decreto afiliados a la CCF oferente, esta podrá asignar subsidios familiares de vivienda a hogares afiliados a otra CCF de la región, siempre y cuando la CCF oferente adelante los trámites de postulación establecidos en el artículo 2.1.1.1.1.6.1.1.6 del presente decreto </w:t>
      </w:r>
    </w:p>
    <w:p w14:paraId="11145FD3" w14:textId="55ACE1CA" w:rsidR="00FC79C1" w:rsidRPr="009342F9" w:rsidRDefault="00FC79C1" w:rsidP="00FC79C1">
      <w:pPr>
        <w:spacing w:after="0" w:line="240" w:lineRule="auto"/>
        <w:jc w:val="center"/>
        <w:rPr>
          <w:rFonts w:ascii="Arial" w:eastAsia="Times New Roman" w:hAnsi="Arial" w:cs="Arial"/>
          <w:b/>
          <w:bCs/>
          <w:color w:val="000000"/>
          <w:lang w:eastAsia="es-CO"/>
        </w:rPr>
      </w:pPr>
      <w:bookmarkStart w:id="178" w:name="ver_30069146"/>
      <w:bookmarkEnd w:id="178"/>
    </w:p>
    <w:p w14:paraId="28AE1D40" w14:textId="46038BBB"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2</w:t>
      </w:r>
    </w:p>
    <w:p w14:paraId="3AA4D96C"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SEGUIMIENTO A LA EJECUCIÓN DE LOS RECURSOS DE LOS FONDOS PARA EL SUBSIDIO FAMILIAR DE VIVIENDA DE INTERÉS SOCIAL DE LAS CAJAS DE COMPENSACIÓN FAMILIAR</w:t>
      </w:r>
    </w:p>
    <w:p w14:paraId="6135CE6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9" w:name="ver_30069147"/>
      <w:bookmarkEnd w:id="179"/>
    </w:p>
    <w:p w14:paraId="683C8B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2.1.1.1.1.6.2.1. Obligación de reporte. Las Cajas de Compensación Familiar reportarán obligatoriamente a la Superintendencia del Subsidio Familiar, en las condiciones y fechas que esta defina, los estados financieros con el visto bueno de los respectivos revisores fiscales y la información estadística de la vigencia anterior que para el efecto solicite dicha entidad. </w:t>
      </w:r>
    </w:p>
    <w:p w14:paraId="75C47D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14EF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recursos parafiscales administrados por las Cajas de Compensación Familiar y destinados a proyectos de inversión en vivienda, independiente de los recursos del respectivo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deberán ser reportados trimestralmente a la Superintendencia de Subsidio Familiar especificando los servicios que ofrecen a sus afiliados y el estado de ejecución de los proyectos que adelante, el valor de la vivienda y el número de afiliados beneficiarios de la vivienda discriminado por rango de ingresos. </w:t>
      </w:r>
    </w:p>
    <w:p w14:paraId="42E3653D" w14:textId="24844F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0" w:name="ver_30069148"/>
      <w:bookmarkEnd w:id="180"/>
    </w:p>
    <w:p w14:paraId="28AFB2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2.1.1.1.1.6.2.2. Reporte de la gestión administrativa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Las Cajas de Compensación Familiar presentarán a la Superintendencia del Subsidio Familiar dentro de los veinte (20) días siguientes al vencimiento de cada trimestre calendario, informes consolidados sobre la gestión de administración por ellas realizada respecto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discriminando las diferentes apropiaciones de ley, conforme a los formatos que para el efecto expida la mencionada Superintendencia. </w:t>
      </w:r>
    </w:p>
    <w:p w14:paraId="774C5F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F87F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informes deberán contener como mínimo, lo siguiente: </w:t>
      </w:r>
    </w:p>
    <w:p w14:paraId="23402E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4FB4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El balance y estado de resultado y flujo de fondos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w:t>
      </w:r>
    </w:p>
    <w:p w14:paraId="3CC5D6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B575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El monto de las apropiaciones mensuales para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discriminando los recursos correspondientes al Subsidio de Vivienda de Interés Social y al resto de apropiaciones; </w:t>
      </w:r>
    </w:p>
    <w:p w14:paraId="287144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6068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El portafolio de inversiones de los recursos para el Subsidio Familiar de Vivienda con sus respectivos rendimientos y vigencias; </w:t>
      </w:r>
    </w:p>
    <w:p w14:paraId="3987CB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857E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El monto de los recursos del Subsidio Familiar de Vivienda reintegrados por concepto de promoción de oferta; </w:t>
      </w:r>
    </w:p>
    <w:p w14:paraId="014DFB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BFA4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Los reintegros por vencimientos, renuncias y reembolsos del Subsidio Familiar de Vivienda; </w:t>
      </w:r>
    </w:p>
    <w:p w14:paraId="7E0A51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EE29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El monto correspondiente a las asignaciones del Subsidio Familiar de Vivienda, pagos de subsidios, subsidios por pagar, desembolsos de promoción de oferta y el monto destinado a los gastos administrativos del fondo, discriminando el valor de la vivienda, la modalidad de asignación e ingresos del hogar postulante; </w:t>
      </w:r>
    </w:p>
    <w:p w14:paraId="07C726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0B5C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g) El monto correspondiente a los recursos destinados a crédito hipotecario y microcrédito de vivienda provenientes de los recursos de la línea de redescuento de Findeter y de otros fondos diferentes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w:t>
      </w:r>
    </w:p>
    <w:p w14:paraId="14DDC3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A513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h) Nombre de los proyectos o lotes para vivienda de interés social, su ubicación, número de viviendas y valor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área por unidad de construcción, monto de los recursos aprobados y fechas de desembolso y reintegro de los recursos. </w:t>
      </w:r>
    </w:p>
    <w:p w14:paraId="49D8D7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CE4F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Cajas de Compensación Familiar deberán reportar a la Superintendencia del Subsidio Familiar, dentro de los diez (10) primeros días de cada mes, las asignaciones del subsidio familiar de vivienda por número y valor, por modalidad de vivienda, por nivel de ingreso y por municipios, realizadas durante el mes inmediatamente anterior. La Superintendencia del Subsidio Familiar deberá consolidar la información y remitir la misma dentro de los diez (10) días siguientes al Ministerio de Vivienda, Ciudad y Territorio. </w:t>
      </w:r>
    </w:p>
    <w:p w14:paraId="6BBAFA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2B4E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Las Cajas de Compensación Familiar deberán informar trimestralmente a la Superintendencia del Subsidio Familiar, sobre los recursos destinados a otorgar crédito o microcréditos para ser aplicados en proyectos de vivienda, así constituyan recursos independientes del respectivo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y sobre aquellos aplicados a la inversión en proyectos de vivienda u otros servicios o inversiones relacionadas con el sector habitacional que ofrezcan a sus afiliados o a terceros, de conformidad con lo establecido en la ley. En el caso de recursos destinados a otorgar crédito o microcrédito, el informe deberá señalar expresamente cuáles de ellos constituyeron recursos complementarios al subsidio familiar de vivienda de interés social. Así mismo, reportarán los recursos provenientes de los cupos de redescuento asignados a cada Caja de Compensación Familiar por la Financiera de Desarrollo Territorial, Findeter, y su utilización en la financiación de crédito hipotecario o microcrédito para la vivienda de interés social. </w:t>
      </w:r>
    </w:p>
    <w:p w14:paraId="3B70D1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1201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informe incluirá el estado de ejecución de los proyectos de vivienda que adelanten, el valor de la vivienda a los que han sido aplicados los recursos, así como el número de afiliados beneficiarios de la vivienda discriminados por ingresos, de conformidad con los requisitos que se establezcan para el Sistema Nacional de Información de Vivienda y para el Sistema de Información del Subsidio. </w:t>
      </w:r>
    </w:p>
    <w:p w14:paraId="37CE65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07A0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del Subsidio Familiar deberá consolidar la información y remitir la misma dentro de los diez (10) días siguientes al Ministerio de Vivienda, Ciudad y Territorio. </w:t>
      </w:r>
    </w:p>
    <w:p w14:paraId="74D6886D" w14:textId="77777777" w:rsidR="009342F9" w:rsidRDefault="009342F9" w:rsidP="00FC79C1">
      <w:pPr>
        <w:spacing w:after="0" w:line="240" w:lineRule="auto"/>
        <w:jc w:val="both"/>
        <w:rPr>
          <w:rFonts w:ascii="Arial" w:eastAsia="Times New Roman" w:hAnsi="Arial" w:cs="Arial"/>
          <w:color w:val="000000"/>
          <w:lang w:eastAsia="es-CO"/>
        </w:rPr>
      </w:pPr>
      <w:bookmarkStart w:id="181" w:name="ver_30069149"/>
      <w:bookmarkEnd w:id="181"/>
    </w:p>
    <w:p w14:paraId="060079F4" w14:textId="3D7962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2.1.1.1.1.6.2.3. Seguimiento a la gestión administrativa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La Superintendencia del Subsidio Familiar evaluará trimestralmente, de acuerdo con los informes de que trata el artículo anterior, la gestión de las Cajas de Compensación Familiar en la participación de la ejecución de la Política Nacional de Vivienda de Interés Social. </w:t>
      </w:r>
    </w:p>
    <w:p w14:paraId="0EF50A3C" w14:textId="73DE9A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2" w:name="ver_30069150"/>
      <w:bookmarkEnd w:id="182"/>
    </w:p>
    <w:p w14:paraId="699655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2.1.1.1.1.6.2.4. De los recursos para la administración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Las Cajas de Compensación Familiar podrán imputar a sus respectivos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el valor de los costos y gastos administrativos en que incurran en el cumplimiento de sus obligaciones legales y reglamentarias, sin exceder el 5% del valor correspondiente a las transferencias mensuales por concepto de aportes al Fondo con destino al Subsidio Familiar de Vivienda de Interés Social. </w:t>
      </w:r>
    </w:p>
    <w:p w14:paraId="2E9FB6DC" w14:textId="77777777" w:rsidR="009342F9" w:rsidRDefault="009342F9" w:rsidP="00FC79C1">
      <w:pPr>
        <w:spacing w:after="0" w:line="240" w:lineRule="auto"/>
        <w:jc w:val="both"/>
        <w:rPr>
          <w:rFonts w:ascii="Arial" w:eastAsia="Times New Roman" w:hAnsi="Arial" w:cs="Arial"/>
          <w:color w:val="000000"/>
          <w:lang w:eastAsia="es-CO"/>
        </w:rPr>
      </w:pPr>
      <w:bookmarkStart w:id="183" w:name="ver_30069151"/>
      <w:bookmarkEnd w:id="183"/>
    </w:p>
    <w:p w14:paraId="24E7032E" w14:textId="5F6B33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2.1.1.1.1.6.2.5. Desarrollo de programas de vivienda con recursos de la reserva para vivienda definida en el artículo 69 de la Ley 49 de 1990. Los recursos provenientes de la reserva de vivienda de que trata el artículo 69 de la Ley 49 de 1990 y sus correspondientes rendimientos deberán ser destinados por las respectivas Cajas de Compensación Familiar a programas de vivienda, con destino a afiliados con ingresos familiares iguales o inferiores a cuatro salarios mínimos mensuales legales vigentes (4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todo ello conforme a las facultades previas y/o posteriores que sobre el particular pueda ejercer la Superintendencia del Subsidio Familiar dentro de su ámbito de competencia. </w:t>
      </w:r>
    </w:p>
    <w:p w14:paraId="75AE85FE" w14:textId="60738A5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4" w:name="ver_30069152"/>
      <w:bookmarkEnd w:id="184"/>
    </w:p>
    <w:p w14:paraId="435755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2.1.1.1.1.6.2.6. Reporte de información consolidada. La Superintendencia del Subsidio Familiar deberá consolidar la información remitida por las Cajas de Compensación Familiar, conforme a lo dispuesto en la presente </w:t>
      </w:r>
      <w:proofErr w:type="spellStart"/>
      <w:r w:rsidRPr="009342F9">
        <w:rPr>
          <w:rFonts w:ascii="Arial" w:eastAsia="Times New Roman" w:hAnsi="Arial" w:cs="Arial"/>
          <w:color w:val="000000"/>
          <w:lang w:eastAsia="es-CO"/>
        </w:rPr>
        <w:t>sub-subsección</w:t>
      </w:r>
      <w:proofErr w:type="spellEnd"/>
      <w:r w:rsidRPr="009342F9">
        <w:rPr>
          <w:rFonts w:ascii="Arial" w:eastAsia="Times New Roman" w:hAnsi="Arial" w:cs="Arial"/>
          <w:color w:val="000000"/>
          <w:lang w:eastAsia="es-CO"/>
        </w:rPr>
        <w:t xml:space="preserve">, y remitir un ejemplar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al Ministerio de Vivienda, Ciudad y Territorio, a más tardar dentro del mes siguiente a la fecha de recepción de la misma. </w:t>
      </w:r>
    </w:p>
    <w:p w14:paraId="48FCC300" w14:textId="46276F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5" w:name="ver_30069153"/>
      <w:bookmarkEnd w:id="185"/>
    </w:p>
    <w:p w14:paraId="665CFD3D" w14:textId="6CA31F83"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7</w:t>
      </w:r>
    </w:p>
    <w:p w14:paraId="186C0BF1"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SISTEMA DE INFORMACIÓN DEL SUBSIDIO FAMILIAR DE VIVIENDA</w:t>
      </w:r>
    </w:p>
    <w:p w14:paraId="0412DCE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6" w:name="ver_30069154"/>
      <w:bookmarkEnd w:id="186"/>
    </w:p>
    <w:p w14:paraId="62B1D7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2.1.1.1.1.7.1. Sistema de Información del Subsidio Familiar de Vivienda. Es el mecanismo definido por el Ministerio de Vivienda, Ciudad y Territorio y administrado por el Fondo Nacional de Vivienda, que comprende la información de oferta y demanda de subsidios. </w:t>
      </w:r>
    </w:p>
    <w:p w14:paraId="25D3A8E2" w14:textId="053280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7" w:name="ver_30069155"/>
      <w:bookmarkEnd w:id="187"/>
    </w:p>
    <w:p w14:paraId="4402A3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2.1.1.1.1.7.2. Características básicas del Sistema de Información del Subsidio. El Ministerio de Vivienda, Ciudad y Territorio es la entidad competente para definir las condiciones de suministro de la información que deberán aportar al Sistema de Información del Subsidio las entidades públicas y privadas. </w:t>
      </w:r>
    </w:p>
    <w:p w14:paraId="344323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B595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Este Sistema de Información del Subsidio deberá incluir como mínimo: </w:t>
      </w:r>
    </w:p>
    <w:p w14:paraId="673EE6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0C71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El módulo de demanda, con los registros de los ahorradores y los postulantes; </w:t>
      </w:r>
    </w:p>
    <w:p w14:paraId="3F790F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5E9C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módulo de oferta, con toda la información de los planes de soluciones de vivienda a las cuales los beneficiarios podrán aplicar sus subsidios, incluyendo un Registro de Oferentes, y </w:t>
      </w:r>
    </w:p>
    <w:p w14:paraId="2293CF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863B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Una base de datos con la información actualizada de la totalidad de subsidios asignados con anterioridad por el ICT, el </w:t>
      </w:r>
      <w:proofErr w:type="spellStart"/>
      <w:r w:rsidRPr="009342F9">
        <w:rPr>
          <w:rFonts w:ascii="Arial" w:eastAsia="Times New Roman" w:hAnsi="Arial" w:cs="Arial"/>
          <w:color w:val="000000"/>
          <w:lang w:eastAsia="es-CO"/>
        </w:rPr>
        <w:t>Inurbe</w:t>
      </w:r>
      <w:proofErr w:type="spellEnd"/>
      <w:r w:rsidRPr="009342F9">
        <w:rPr>
          <w:rFonts w:ascii="Arial" w:eastAsia="Times New Roman" w:hAnsi="Arial" w:cs="Arial"/>
          <w:color w:val="000000"/>
          <w:lang w:eastAsia="es-CO"/>
        </w:rPr>
        <w:t xml:space="preserve"> - en liquidación, la Caja Agraria hoy en liquidación, el Banco Agrario, el Fondo Nacional de Vivienda, las Cajas de Compensación Familiar, la Caja Promotora de Vivienda Militar, el FOREC - en liquidación y FOCAFÉ y los que se asignen a partir del 12 de junio de 2009 por las entidades otorgantes. </w:t>
      </w:r>
    </w:p>
    <w:p w14:paraId="07B524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4327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entrega de la información para las entidades relacionadas con el sistema de asignación del Subsidio Familiar de Vivienda de Interés Social será de obligatorio cumplimiento, en los períodos y con las especificaciones que defina el Ministerio de Vivienda, Ciudad y Territorio. </w:t>
      </w:r>
    </w:p>
    <w:p w14:paraId="6A5761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3924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intermediarios que accedan a la línea de redescuento para financiación de vivienda de interés social de Findeter establecidos en el Decreto Único Sectorial de Hacienda y Crédito Público, para la financiación de operaciones de crédito o microcrédito inmobiliario, reportarán al Sistema de Información del Subsidio las operaciones realizadas, en los periodos y con las especificaciones que defina el Ministerio de Vivienda, Ciudad y Territorio. </w:t>
      </w:r>
    </w:p>
    <w:p w14:paraId="6917B4F3" w14:textId="77777777" w:rsid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8" w:name="ver_30069156"/>
      <w:bookmarkEnd w:id="188"/>
    </w:p>
    <w:p w14:paraId="61E2C1EF" w14:textId="168435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2.1.1.1.1.7.3. Financiación del Sistema de Información del Subsidio. El Sistema de Información del Subsidio se financiará con un aporte del cero punto cinco por ciento (0.5%) de los recursos del presupuesto anual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de las Cajas de Compensación Familiar. </w:t>
      </w:r>
    </w:p>
    <w:p w14:paraId="5336DC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C411D4"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Igualmente</w:t>
      </w:r>
      <w:proofErr w:type="gramEnd"/>
      <w:r w:rsidRPr="009342F9">
        <w:rPr>
          <w:rFonts w:ascii="Arial" w:eastAsia="Times New Roman" w:hAnsi="Arial" w:cs="Arial"/>
          <w:color w:val="000000"/>
          <w:lang w:eastAsia="es-CO"/>
        </w:rPr>
        <w:t xml:space="preserve"> de los aportes destinados para tal fin en las entidades otorgantes del Subsidio Familiar de Vivienda. </w:t>
      </w:r>
    </w:p>
    <w:p w14:paraId="2870CBEA" w14:textId="61741A9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9" w:name="ver_30069157"/>
      <w:bookmarkEnd w:id="189"/>
    </w:p>
    <w:p w14:paraId="0A4B9C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2.1.1.1.1.7.4. Consolidación de la información. Para efectos de consolidación de la información de los subsidios asignados con anterioridad al funcionamiento de este sistema, el Fondo Nacional de Vivienda, el </w:t>
      </w:r>
      <w:proofErr w:type="spellStart"/>
      <w:r w:rsidRPr="009342F9">
        <w:rPr>
          <w:rFonts w:ascii="Arial" w:eastAsia="Times New Roman" w:hAnsi="Arial" w:cs="Arial"/>
          <w:color w:val="000000"/>
          <w:lang w:eastAsia="es-CO"/>
        </w:rPr>
        <w:t>Inurbe</w:t>
      </w:r>
      <w:proofErr w:type="spellEnd"/>
      <w:r w:rsidRPr="009342F9">
        <w:rPr>
          <w:rFonts w:ascii="Arial" w:eastAsia="Times New Roman" w:hAnsi="Arial" w:cs="Arial"/>
          <w:color w:val="000000"/>
          <w:lang w:eastAsia="es-CO"/>
        </w:rPr>
        <w:t xml:space="preserve"> - en liquidación, las Cajas de Compensación Familiar, el Banco Agrario, la Caja Promotora de Vivienda Militar y el Fondo para la Reconstrucción y Desarrollo Social del Eje Cafetero, FOREC, - en liquidación, entregarán las bases de datos, en medio digital y en un formato previamente definido, a la entidad Operadora del Sistema de Información del Subsidio de Vivienda de Interés Social, en un plazo no mayor a treinta (30) días calendario a partir de la solicitud de la entidad operadora. </w:t>
      </w:r>
    </w:p>
    <w:p w14:paraId="715A6F87" w14:textId="72568F2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0" w:name="ver_30069158"/>
      <w:bookmarkEnd w:id="190"/>
    </w:p>
    <w:p w14:paraId="35757B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2.1.1.1.1.7.5. El registro de postulantes en el Sistema de Información del Subsidio. Las entidades otorgantes del Subsidio Familiar de Vivienda de Interés Social reportarán al operador del Sistema de Información del Subsidio, los registros de los postulantes que cumplan con las condiciones establecidas en la presente sección para ser beneficiarios del subsidio. Igualmente, reportará la calificación obtenida por dichos postulantes. </w:t>
      </w:r>
    </w:p>
    <w:p w14:paraId="34113366" w14:textId="451E65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1" w:name="ver_30069159"/>
      <w:bookmarkEnd w:id="191"/>
    </w:p>
    <w:p w14:paraId="12ED93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2.1.1.1.1.7.6. Información de beneficiarios del subsidio. Una vez se publique la asignación de subsidios por parte de las entidades otorgantes, estas reportarán tal información al sistema en los plazos y condiciones que defina el operador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375FE73B" w14:textId="424AE54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2" w:name="ver_30069160"/>
      <w:bookmarkEnd w:id="192"/>
    </w:p>
    <w:p w14:paraId="75368E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2.1.1.1.1.7.7. Registro de la Oferta en el Sistema de Información. Una vez se declare la elegibilidad de los planes y proyectos, la información básica de los mismos se incorporará al Módulo de Oferta del sistema de información. </w:t>
      </w:r>
    </w:p>
    <w:p w14:paraId="48F6CA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C538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Será función de las entidades otorgantes del Subsidio Familiar de Vivienda de Interés Social velar por la oportuna, amplia y transparente divulgación de esta oferta, de tal manera que los postulantes y beneficiarios del subsidio dispongan de una suficiente información, que les permita comparar y escoger libremente su solución de vivienda. </w:t>
      </w:r>
    </w:p>
    <w:p w14:paraId="69CF8A2A" w14:textId="3BF0877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3" w:name="ver_30069161"/>
      <w:bookmarkEnd w:id="193"/>
    </w:p>
    <w:p w14:paraId="59F45E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2.1.1.1.1.7.8. De las bases de datos del Sistema de Información del Subsidio. Las bases de datos de oferta y demanda del Sistema de Información del </w:t>
      </w:r>
      <w:proofErr w:type="gramStart"/>
      <w:r w:rsidRPr="009342F9">
        <w:rPr>
          <w:rFonts w:ascii="Arial" w:eastAsia="Times New Roman" w:hAnsi="Arial" w:cs="Arial"/>
          <w:color w:val="000000"/>
          <w:lang w:eastAsia="es-CO"/>
        </w:rPr>
        <w:t>Subsidio,</w:t>
      </w:r>
      <w:proofErr w:type="gramEnd"/>
      <w:r w:rsidRPr="009342F9">
        <w:rPr>
          <w:rFonts w:ascii="Arial" w:eastAsia="Times New Roman" w:hAnsi="Arial" w:cs="Arial"/>
          <w:color w:val="000000"/>
          <w:lang w:eastAsia="es-CO"/>
        </w:rPr>
        <w:t xml:space="preserve"> serán públicas y el acceso a ellas será definido por el Fondo Nacional de Vivienda. </w:t>
      </w:r>
    </w:p>
    <w:p w14:paraId="1DBC001F" w14:textId="191159DA" w:rsidR="00FC79C1" w:rsidRPr="009342F9" w:rsidRDefault="00FC79C1" w:rsidP="009342F9">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94" w:name="ver_30069162"/>
      <w:bookmarkEnd w:id="194"/>
    </w:p>
    <w:p w14:paraId="2CE9A58B" w14:textId="3DB68292"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8</w:t>
      </w:r>
    </w:p>
    <w:p w14:paraId="1A8086C3"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COMPLEMENTARIAS</w:t>
      </w:r>
    </w:p>
    <w:p w14:paraId="4FBEA25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5" w:name="ver_30069163"/>
      <w:bookmarkEnd w:id="195"/>
    </w:p>
    <w:p w14:paraId="5F6679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2.1.1.1.1.8.1. Banco de Materiales. El Fondo Nacional de Vivienda o las entidades operadoras autorizadas por este en los términos del Decreto-ley 555 de 2003, implementarán un Banco de Materiales Nacional con el fin de contar con los proveedores necesarios que permitan optimizar el recurso del subsidio familiar de vivienda. Las condiciones del Banco de Materiales serán reglamentadas a través de la resolución que para tal efecto expida el Ministerio de Vivienda, Ciudad y Territorio. </w:t>
      </w:r>
    </w:p>
    <w:p w14:paraId="3AE0E663" w14:textId="63CE2BBE" w:rsidR="00FC79C1" w:rsidRPr="009342F9" w:rsidRDefault="00FC79C1" w:rsidP="009342F9">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p>
    <w:p w14:paraId="60F324DA" w14:textId="77777777" w:rsidR="00FC79C1" w:rsidRPr="009342F9" w:rsidRDefault="00FC79C1" w:rsidP="00FC79C1">
      <w:pPr>
        <w:spacing w:after="0" w:line="240" w:lineRule="auto"/>
        <w:jc w:val="center"/>
        <w:rPr>
          <w:rFonts w:ascii="Arial" w:eastAsia="Times New Roman" w:hAnsi="Arial" w:cs="Arial"/>
          <w:b/>
          <w:bCs/>
          <w:color w:val="000000"/>
          <w:lang w:eastAsia="es-CO"/>
        </w:rPr>
      </w:pPr>
      <w:bookmarkStart w:id="196" w:name="ver_30069164"/>
      <w:bookmarkEnd w:id="196"/>
      <w:r w:rsidRPr="009342F9">
        <w:rPr>
          <w:rFonts w:ascii="Arial" w:eastAsia="Times New Roman" w:hAnsi="Arial" w:cs="Arial"/>
          <w:b/>
          <w:bCs/>
          <w:color w:val="000000"/>
          <w:lang w:eastAsia="es-CO"/>
        </w:rPr>
        <w:t>SECCIÓN 2</w:t>
      </w:r>
    </w:p>
    <w:p w14:paraId="6AD9A492" w14:textId="77777777" w:rsidR="00FC79C1" w:rsidRDefault="00FC79C1" w:rsidP="00FC79C1">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SUBSIDIO FAMILIAR DE VIVIENDA PARA POBLACIÓN EN SITUACIÓN DE DESPLAZAMIENTO</w:t>
      </w:r>
    </w:p>
    <w:p w14:paraId="18C5B5F4" w14:textId="77777777" w:rsidR="007C7D44" w:rsidRPr="009342F9" w:rsidRDefault="007C7D44" w:rsidP="00FC79C1">
      <w:pPr>
        <w:spacing w:after="0" w:line="240" w:lineRule="auto"/>
        <w:jc w:val="center"/>
        <w:rPr>
          <w:rFonts w:ascii="Arial" w:eastAsia="Times New Roman" w:hAnsi="Arial" w:cs="Arial"/>
          <w:b/>
          <w:bCs/>
          <w:color w:val="000000"/>
          <w:lang w:eastAsia="es-CO"/>
        </w:rPr>
      </w:pPr>
    </w:p>
    <w:p w14:paraId="3A8B6C07"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11BC0D1B" w14:textId="77777777" w:rsidR="00FC79C1" w:rsidRPr="009342F9" w:rsidRDefault="00FC79C1" w:rsidP="00FC79C1">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GENERALIDADES DEL SUBSIDIO FAMILIAR DE VIVIENDA PARA POBLACIÓN EN SITUACIÓN DE DESPLAZAMIENTO</w:t>
      </w:r>
    </w:p>
    <w:p w14:paraId="764F800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7" w:name="ver_30069165"/>
      <w:bookmarkEnd w:id="197"/>
    </w:p>
    <w:p w14:paraId="62EE6C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 Del subsidio familiar de vivienda para población desplazada. Tal como lo establece el artículo 6° de la Ley 3ª de 1991, el Subsidio Familiar de Vivienda es un aporte estatal en dinero o especie, otorgado por una sola vez al beneficiario con el objeto de facilitarle una solución de vivienda de interés social, sin cargo de restitución, siempre que el beneficiario cumpla con las condiciones que se establecen en la Ley 3ª de 1991 y aquellas que la modifiquen o adicionen. </w:t>
      </w:r>
    </w:p>
    <w:p w14:paraId="6FD37E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95C1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población desplazada tendrá acceso al subsidio familiar de vivienda en las condiciones que se establecen en la presente subsección. </w:t>
      </w:r>
    </w:p>
    <w:p w14:paraId="043BD119" w14:textId="77777777" w:rsidR="009342F9" w:rsidRDefault="009342F9" w:rsidP="00FC79C1">
      <w:pPr>
        <w:spacing w:after="0" w:line="240" w:lineRule="auto"/>
        <w:jc w:val="both"/>
        <w:rPr>
          <w:rFonts w:ascii="Arial" w:eastAsia="Times New Roman" w:hAnsi="Arial" w:cs="Arial"/>
          <w:color w:val="000000"/>
          <w:lang w:eastAsia="es-CO"/>
        </w:rPr>
      </w:pPr>
      <w:bookmarkStart w:id="198" w:name="ver_30069166"/>
      <w:bookmarkEnd w:id="198"/>
    </w:p>
    <w:p w14:paraId="65C86861" w14:textId="6302F9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2.1.1.1.2.1.2. Otorgantes del subsidio. Será otorgante del Subsidio Familiar de Vivienda de que trata esta subsección, el Fondo Nacional de Vivienda. </w:t>
      </w:r>
    </w:p>
    <w:p w14:paraId="545937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389E7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9" w:name="ver_30069167"/>
      <w:bookmarkEnd w:id="199"/>
      <w:r w:rsidRPr="009342F9">
        <w:rPr>
          <w:rFonts w:ascii="Arial" w:eastAsia="Times New Roman" w:hAnsi="Arial" w:cs="Arial"/>
          <w:color w:val="000000"/>
          <w:lang w:eastAsia="es-CO"/>
        </w:rPr>
        <w:t>Artículo 2.1.1.1.2.1.3. Postulantes. Serán potenciales beneficiarios, del subsidio de que trata la presente subsección, los hogares que cumplan las siguientes condiciones: </w:t>
      </w:r>
    </w:p>
    <w:p w14:paraId="7C248A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ECFA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Estar conformados por personas que sean desplazadas en los términos del artículo 1° de la Ley 387 de 1997 y cumplan con los requisitos previstos en el artículo 32 de la misma ley. </w:t>
      </w:r>
    </w:p>
    <w:p w14:paraId="3E4134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80C3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Estar debidamente registradas en el Registro Único de Víctimas a que se refiere el Decreto Único del Sector de Inclusión Social y Reconciliación. </w:t>
      </w:r>
    </w:p>
    <w:p w14:paraId="0004A6CE" w14:textId="0F1F53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0" w:name="ver_30069168"/>
      <w:bookmarkEnd w:id="200"/>
    </w:p>
    <w:p w14:paraId="4D7FDC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2.1.1.1.2.1.4. Asignación del subsidio familiar de vivienda para población desplazada. La asignación del subsidio familiar de vivienda para población </w:t>
      </w:r>
      <w:proofErr w:type="gramStart"/>
      <w:r w:rsidRPr="009342F9">
        <w:rPr>
          <w:rFonts w:ascii="Arial" w:eastAsia="Times New Roman" w:hAnsi="Arial" w:cs="Arial"/>
          <w:color w:val="000000"/>
          <w:lang w:eastAsia="es-CO"/>
        </w:rPr>
        <w:t>desplazada,</w:t>
      </w:r>
      <w:proofErr w:type="gramEnd"/>
      <w:r w:rsidRPr="009342F9">
        <w:rPr>
          <w:rFonts w:ascii="Arial" w:eastAsia="Times New Roman" w:hAnsi="Arial" w:cs="Arial"/>
          <w:color w:val="000000"/>
          <w:lang w:eastAsia="es-CO"/>
        </w:rPr>
        <w:t xml:space="preserve"> se realizará exclusivamente a través de programas que desarrollen los siguientes componentes: </w:t>
      </w:r>
    </w:p>
    <w:p w14:paraId="3D4BD4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262C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Retorno. Se facilitará y promoverá el retorno voluntario de las familias al municipio de ocurrencia del desplazamiento inicial, siempre y cuando las condiciones de orden público lo permitan, según el pronunciamiento del Comité para la atención y reparación integral a las víctimas del municipio o distrito de origen. La Unidad Administrativa Especial de Atención y Reparación Integral a las Víctimas y los entes territoriales coordinarán la ejecución de los programas de retorno. </w:t>
      </w:r>
    </w:p>
    <w:p w14:paraId="5084CC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974A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programas dirigidos al retorno deberán tener en cuenta lo dispuesto en la estrategia de consolidación y estabilización socioeconómica del Plan Nacional para la Atención y Reparación Integral a las Víctimas. Para efectos del retorno voluntario de la población desplazada de que trata el Decreto Único del Sector de Inclusión Social y Reconciliación el Comité Municipal o Distrital de Atención y Reparación Integral a las Víctimas, del municipio de origen del desplazamiento, se pronunciará sobre la existencia o no de las condiciones de orden público que permitan el retorno, con base en los informes de la zona de expulsión, los procesos de retorno individuales o colectivos que se hayan dado en la zona, previo concepto de la respectiva autoridad del Ministerio Público del lugar. El pronunciamiento del Comité podrá ser recurrido por el postulante ante el Comité Departamental de Atención Integral a la Población Desplazada, el cual contará con treinta (30) días calendario para pronunciarse sobre la solicitud del interesado. </w:t>
      </w:r>
    </w:p>
    <w:p w14:paraId="740591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B6CC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Reubicación. Mediante este componente se facilitará la reubicación de los hogares desplazados en municipios distintos al de origen del desplazamiento, cuando no sea posible su retorno. </w:t>
      </w:r>
    </w:p>
    <w:p w14:paraId="0125CB0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1" w:name="ver_30069169"/>
      <w:bookmarkEnd w:id="201"/>
    </w:p>
    <w:p w14:paraId="21E9F7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2.1.1.1.2.1.5. Aplicación del subsidio familiar de vivienda. El Subsidio Familiar de Vivienda otorgado a la población en situación de desplazamiento, podrá ser aplicado, tanto en suelo urbano como en suelo rural, en las siguientes modalidades: </w:t>
      </w:r>
    </w:p>
    <w:p w14:paraId="27BC3E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C818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Mejoramiento de vivienda para hogares propietarios, poseedores u ocupantes. </w:t>
      </w:r>
    </w:p>
    <w:p w14:paraId="4661DB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2443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Construcción en sitio propio para hogares que ostenten la propiedad de un lote de terreno en suelo urbano. </w:t>
      </w:r>
    </w:p>
    <w:p w14:paraId="112FCA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6C69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Adquisición de vivienda nueva o usada para hogares no propietarios y para hogares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siendo propietarios, no puedan volver al lugar donde tengan su propiedad. </w:t>
      </w:r>
    </w:p>
    <w:p w14:paraId="671F14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68EA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Arrendamiento de vivienda, para hogares no propietarios y para hogares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siendo propietarios, no puedan volver al lugar donde tengan su propiedad. </w:t>
      </w:r>
    </w:p>
    <w:p w14:paraId="3FAB58A2" w14:textId="5C1BBEF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740B8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2" w:name="ver_30069170"/>
      <w:bookmarkEnd w:id="202"/>
    </w:p>
    <w:p w14:paraId="1DEA26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2.1.1.1.2.1.6. Plan de acción zonal para la población desplazada. Con el objeto de cumplir los criterios y objetivos del Programa de Restablecimiento, previsto en el Plan Nacional para la Atención y Reparación Integral a las Víctimas, se promoverá la formulación de un Plan de Acción Zonal, PAZ, con la participación de la población afectada. A partir de la concertación efectuada con la población desplazada, sobre el retorno o la reubicación, el Plan de Acción Zonal definirá una estrategia para la aplicación del Subsidio Familiar de Vivienda previsto en la presente subsección, previo diagnóstico de las necesidades habitacionales de los desplazados, elaborado por el respectivo Comité municipal o distrital de Atención y Reparación Integral a las Víctimas, en coordinación con –la Unidad Administrativa Especial de Atención y Reparación Integral a las Víctimas. </w:t>
      </w:r>
    </w:p>
    <w:p w14:paraId="3A6C0E3F" w14:textId="77777777" w:rsid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3" w:name="ver_30069171"/>
      <w:bookmarkEnd w:id="203"/>
    </w:p>
    <w:p w14:paraId="4CF8CD55" w14:textId="2BF3937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2.1.1.1.2.1.7. Contenidos del plan de acción zonal. Los Planes de Acción Zonal deberán estructurarse con base en los siguientes criterios: </w:t>
      </w:r>
    </w:p>
    <w:p w14:paraId="7FEA26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CDF0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Vulnerabilidad poblacional. En este tema se evaluarán las características de la población desplazada de acuerdo con las siguientes variables: </w:t>
      </w:r>
    </w:p>
    <w:p w14:paraId="7B8EA7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B5E7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Número de hogares postulantes con jefatura femenina de familia. </w:t>
      </w:r>
    </w:p>
    <w:p w14:paraId="1F7C3D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504F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Número de personas de los hogares postulantes. </w:t>
      </w:r>
    </w:p>
    <w:p w14:paraId="301393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13DE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Presencia de discapacitados, de personas de la tercera edad o de menores de edad en los hogares postulantes. </w:t>
      </w:r>
    </w:p>
    <w:p w14:paraId="67558C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0368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Hacinamiento actual de los hogares, considerado como un número mayor de tres (3) personas por habitación. </w:t>
      </w:r>
    </w:p>
    <w:p w14:paraId="15D835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8FDF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Grado de escolaridad del jefe o jefes del hogar. </w:t>
      </w:r>
    </w:p>
    <w:p w14:paraId="049041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204C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Impacto en el territorio actual. Se tendrá en cuenta la localización actual de los hogares desplazados en zonas de alto riesgo, las zonas de mayor concentración de hogares desplazados y la existencia de programas locales de atención. </w:t>
      </w:r>
    </w:p>
    <w:p w14:paraId="4B10D6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0483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Integralidad. Los planes de acción incluirán programas complementarios de generación de ingresos, atención a la población vulnerable, mejoramiento de la infraestructura física, que se adelanten por entidades del orden internacional, nacional, departamental y local, públicas y privadas, dentro del marco de la consolidación y estabilización socioeconómica. </w:t>
      </w:r>
    </w:p>
    <w:p w14:paraId="2841CE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9CF6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Concurrencia. Los planes de acción incluirán, en lo posible, programas y recursos internacionales, nacionales y locales, que procuren la financiación de las soluciones habitacionales </w:t>
      </w:r>
    </w:p>
    <w:p w14:paraId="1E8B016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4" w:name="ver_30210163"/>
      <w:bookmarkStart w:id="205" w:name="ver_30069172"/>
      <w:bookmarkEnd w:id="204"/>
    </w:p>
    <w:p w14:paraId="55C1108D" w14:textId="5C4C621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2.1.1.1.2.1.8. Tipos de solución habitacional a los que se destina el subsidio de vivienda. Para efectos de lo previsto en la presente subsección, las soluciones de vivienda en las cuales se puede aplicar el subsidio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deberán cumplir, en lo que no sea contrario con la presente subsección, con lo señalado en la sección 2.1.1.1.1 del presente decreto o las normas que lo modifiquen, complementen, adicionen o sustituyan.  </w:t>
      </w:r>
    </w:p>
    <w:p w14:paraId="795BF028" w14:textId="77777777" w:rsidR="009342F9" w:rsidRPr="009342F9" w:rsidRDefault="009342F9" w:rsidP="00FC79C1">
      <w:pPr>
        <w:spacing w:after="0" w:line="240" w:lineRule="auto"/>
        <w:jc w:val="both"/>
        <w:rPr>
          <w:rFonts w:ascii="Arial" w:eastAsia="Times New Roman" w:hAnsi="Arial" w:cs="Arial"/>
          <w:color w:val="000000"/>
          <w:lang w:eastAsia="es-CO"/>
        </w:rPr>
      </w:pPr>
    </w:p>
    <w:p w14:paraId="6AA4C6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valor de las soluciones habitacionales nuevas o usadas, en las áreas urbanas incluyendo el valor del lote, no podrá superar los noventa (90) salarios mínimos legales mensuales vigentes.  </w:t>
      </w:r>
    </w:p>
    <w:p w14:paraId="0D2BF2BE"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4E4E5F26" w14:textId="1252CA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construcción en sitio propio, el valor de la solución habitacional en áreas </w:t>
      </w:r>
      <w:proofErr w:type="gramStart"/>
      <w:r w:rsidRPr="009342F9">
        <w:rPr>
          <w:rFonts w:ascii="Arial" w:eastAsia="Times New Roman" w:hAnsi="Arial" w:cs="Arial"/>
          <w:color w:val="000000"/>
          <w:lang w:eastAsia="es-CO"/>
        </w:rPr>
        <w:t>urbanas,</w:t>
      </w:r>
      <w:proofErr w:type="gramEnd"/>
      <w:r w:rsidRPr="009342F9">
        <w:rPr>
          <w:rFonts w:ascii="Arial" w:eastAsia="Times New Roman" w:hAnsi="Arial" w:cs="Arial"/>
          <w:color w:val="000000"/>
          <w:lang w:eastAsia="es-CO"/>
        </w:rPr>
        <w:t xml:space="preserve"> no podrá superar los noventa (90) salarios mínimos legales mensuales vigentes.  </w:t>
      </w:r>
    </w:p>
    <w:p w14:paraId="03C9927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6" w:name="ver_30069173"/>
      <w:bookmarkEnd w:id="205"/>
      <w:bookmarkEnd w:id="206"/>
    </w:p>
    <w:p w14:paraId="670483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2.1.1.1.2.1.9. Subsidio a la vivienda usada. Para el caso de la población desplazada, el subsidio de vivienda se podrá destinar a la adquisición de vivienda usada, siempre y cuando dicha solución no se encuentre localizada en zonas de riesgo, ni en áreas urbanas o rurales no legalizadas del respectivo municipio y se acredite la titularidad del derecho de dominio en cabeza del vendedor, mediante certificado de tradición y libertad en el que conste, además, que el bien se encuentra libre de cualquier gravamen o limitación a la propiedad. En todo caso se debe observar el límite previsto en el inciso tercero del artículo anterior. </w:t>
      </w:r>
    </w:p>
    <w:p w14:paraId="3343D5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5077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certificado de tradición y libertad de que trata el presente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deberá tener una fecha de expedición no superior a tres (3) meses, contados a partir de la fecha de presentación de la solicitud. </w:t>
      </w:r>
    </w:p>
    <w:p w14:paraId="3474CD57" w14:textId="13A737A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 w:name="ver_30069174"/>
      <w:bookmarkEnd w:id="207"/>
    </w:p>
    <w:p w14:paraId="7FF652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2.1.1.1.2.1.10. Subsidio al mejoramiento de vivienda. Se entiende por mejoramiento de vivienda, la modalidad definida en el artículo 2.1.1.1.1.1.2 numeral 2.6.4. del presente decreto o las normas que lo modifiquen, complementen, adicionen o sustituyan. </w:t>
      </w:r>
    </w:p>
    <w:p w14:paraId="21894EBB" w14:textId="7708022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8" w:name="ver_30069175"/>
      <w:bookmarkEnd w:id="208"/>
    </w:p>
    <w:p w14:paraId="2B9E2B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2.1.1.1.2.1.11. Subsidio al arrendamiento. Para el caso de población desplazada, el subsidio familiar de vivienda podrá otorgarse para el pago del arrendamiento de un inmueble, dentro de las condiciones establecidas por esta subsección, en cuyo caso este se pagará en instalamentos, durante un plazo máximo de 24 meses. </w:t>
      </w:r>
    </w:p>
    <w:p w14:paraId="6DFAD0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11B2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entidades otorgantes del Subsidio Familiar de Vivienda desembolsarán en forma anticipada la totalidad del subsidio a la Cuenta de Ahorro Programado, CAP, del beneficiario, una vez presentada la Declaración </w:t>
      </w:r>
      <w:proofErr w:type="spellStart"/>
      <w:r w:rsidRPr="009342F9">
        <w:rPr>
          <w:rFonts w:ascii="Arial" w:eastAsia="Times New Roman" w:hAnsi="Arial" w:cs="Arial"/>
          <w:color w:val="000000"/>
          <w:lang w:eastAsia="es-CO"/>
        </w:rPr>
        <w:t>Extrajuicio</w:t>
      </w:r>
      <w:proofErr w:type="spellEnd"/>
      <w:r w:rsidRPr="009342F9">
        <w:rPr>
          <w:rFonts w:ascii="Arial" w:eastAsia="Times New Roman" w:hAnsi="Arial" w:cs="Arial"/>
          <w:color w:val="000000"/>
          <w:lang w:eastAsia="es-CO"/>
        </w:rPr>
        <w:t xml:space="preserve"> en la cual se compromete a la aplicación del subsidio familiar de vivienda para el arrendamiento de una solución de vivienda. </w:t>
      </w:r>
    </w:p>
    <w:p w14:paraId="23EE5C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7155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recursos del subsidio familiar de vivienda permanecerán en forma inmovilizada en la cuenta de ahorro programado, hasta el momento en que el beneficiario acredite ante la entidad otorgante del subsidio familiar de vivienda o su operador si los hubiese, la suscripción del respectivo contrato de arrendamiento de la solución de vivienda, presentando copia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Evento en el cual los cánones de arrendamiento serán movilizados semestralmente de manera anticipada directamente al arrendador del inmueble previa constancia de vigencia del contrato que deberá ser suscrita por el beneficiario del subsidio y por el arrendador de la solución de vivienda. </w:t>
      </w:r>
    </w:p>
    <w:p w14:paraId="38D803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1B6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Semestralmente se hará una relación de actualización de los contratos de arrendamientos que se encuentren vigentes para efectos de la movilización de los recursos. En todo caso, en el evento de demostrarse que para los procesos de desembolso y movilización del recurso se presentó información falsa o fraudulenta se impondrán las sanciones a que haya lugar de acuerdo con lo dispuesto en la Ley. </w:t>
      </w:r>
    </w:p>
    <w:p w14:paraId="129E45DB" w14:textId="412B339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 w:name="ver_30069176"/>
      <w:bookmarkEnd w:id="209"/>
    </w:p>
    <w:p w14:paraId="5CEAAF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2.1.1.1.2.1.12. Condiciones especiales del subsidio de vivienda para arrendamiento. Al vencimiento del contrato de arrendamiento, los beneficiarios del subsidio familiar de vivienda, podrán continuar aplicando el subsidio familiar de vivienda para arrendamiento hasta completar los 24 meses, o podrán acceder a la diferencia entre el subsidio familiar de vivienda para arrendamiento y el valor del subsidio previsto para alguna de las opciones de solución de vivienda contempladas en la presente subsección, siempre y cuando reúnan los requisitos establecidos para acceder a estos últimos; y en caso de resultar una porción no utilizada del subsidio de arrendamiento, esta podrá destinarse al acceso a la solución de vivienda. En el evento que el beneficiario no opte por ninguna de las dos opciones anteriormente señaladas, la porción del subsidio familiar de vivienda no utilizada que se encuentra inmovilizada en la cuenta de ahorro programado será restituida a la entidad otorgante del subsidio. </w:t>
      </w:r>
    </w:p>
    <w:p w14:paraId="27B3ADC5" w14:textId="77777777" w:rsid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 w:name="ver_30069177"/>
      <w:bookmarkEnd w:id="210"/>
    </w:p>
    <w:p w14:paraId="28503FA9" w14:textId="75C1D2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2.1.1.1.2.1.13. Valor del subsidio. Para la población en situación de desplazamiento el valor del subsidio familiar de vivienda asignado por el Fondo Nacional de Vivienda –FONVIVIENDA– aplicable tanto en suelo urbano, será el siguiente: </w:t>
      </w:r>
    </w:p>
    <w:p w14:paraId="29A704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7772DF" w14:textId="4314C317"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2248169B" wp14:editId="4FB9000E">
            <wp:extent cx="5452110" cy="1518285"/>
            <wp:effectExtent l="0" t="0" r="0" b="5715"/>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2"/>
                    <pic:cNvPicPr/>
                  </pic:nvPicPr>
                  <pic:blipFill>
                    <a:blip r:embed="rId9">
                      <a:extLst>
                        <a:ext uri="{28A0092B-C50C-407E-A947-70E740481C1C}">
                          <a14:useLocalDpi xmlns:a14="http://schemas.microsoft.com/office/drawing/2010/main" val="0"/>
                        </a:ext>
                      </a:extLst>
                    </a:blip>
                    <a:stretch>
                      <a:fillRect/>
                    </a:stretch>
                  </pic:blipFill>
                  <pic:spPr>
                    <a:xfrm>
                      <a:off x="0" y="0"/>
                      <a:ext cx="5452110" cy="151828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0C7E8C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DC6E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hogares beneficiarios del subsidio familiar de vivienda asignado a la población en situación de desplazamiento por el Fondo Nacional de Vivienda que al 16 de diciembre de 2009 no lo hubieran aplicado, podrán solicitar el ajuste del subsidio asignado, hasta alcanzar el valor indicado en salarios mínimos mensuales legales en el presente artículo para la respectiva modalidad de adquisición de vivienda nueva, adquisición de vivienda usada, construcción en sitio propio y mejoramiento de vivienda. Para efectos del desembolso e independientemente de que los subsidios a los que se refiere el presente artículo hayan sido asignados en años anteriores al 2009, su cuantía será calculada con base en el valor del salario mínimo mensual legal vigente para el año 2009. </w:t>
      </w:r>
    </w:p>
    <w:p w14:paraId="3C8282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CED8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ajuste del valor adicional y actualización del valor del subsidio familiar de vivienda a salarios mínimos mensuales legales vigentes del año 2009, de que trata el presente parágrafo, operará siempre y cuando el hogar beneficiario tramite su cobro incorporando los nuevos valores del subsidio familiar de vivienda, y cumpla con la totalidad de los requisitos señalados en los artículos 2.1.1.1.1.5.1.1, 2.1.1.1.1.5.1.2 y 2.1.1.1.1.5.1.3 del presente decreto, o las normas que lo modifiquen, adicionen o sustituyan, según sea el caso, y sujeto a la disponibilidad de recursos. Una vez asignado el ajuste del valor adicional y actualización del subsidio familiar de vivienda por parte del Fondo Nacional de Vivienda, se dará aplicación a lo dispuesto por el artículo 2.1.1.1.2.1.25 del presente decreto. </w:t>
      </w:r>
    </w:p>
    <w:p w14:paraId="1B5AA6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BE1D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El ajuste y actualización del subsidio familiar de vivienda asignado a la población en situación de desplazamiento conforme se señala en el presente artículo, no provocará la modificación de las demás condiciones de asignación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3B8844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BFEA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hogares beneficiarios del subsidio familiar de vivienda asignado a la población en situación de desplazamiento por el Fondo Nacional de Vivienda antes del 16 de diciembre de 2009, que se encuentren vinculados a proyectos de vivienda en ejecución y que en virtud del artículo 2.1.1.1.1.5.1.2 del presente decreto solicitaron el desembolso del subsidio a encargo fiduciario, podrán solicitar el ajuste en el valor del subsidio asignado hasta alcanzar el valor indicado en la presente subsección, para la modalidad de adquisición de vivienda nueva. </w:t>
      </w:r>
    </w:p>
    <w:p w14:paraId="5E87C3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574E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Ministerio de Vivienda, Ciudad y Territorio mediante resolución establecerá los requisitos y condiciones para que sea procedente el proceso de actualización y valor adicional de los subsidios familiares de vivienda asignados a la población en situación de desplazamiento de que trata el presente artículo. </w:t>
      </w:r>
    </w:p>
    <w:p w14:paraId="6A574F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1" w:name="ver_30069178"/>
      <w:bookmarkEnd w:id="211"/>
    </w:p>
    <w:p w14:paraId="328398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2.1.1.1.2.1.14. Modalidades de postulación al subsidio. Para la población desplazada, la postulación al subsidio de vivienda podrá ser individual o colectiva. Se denomina postulación individual aquella en la cual un hogar, en forma independiente, solicita el subsidio para alguna de las soluciones de vivienda previstas en la presente subsección. Se denomina postulación colectiva aquella en la cual un grupo de hogares solicita el subsidio para su aplicación a soluciones de vivienda que conforman un proyecto en el que participan los postulantes. </w:t>
      </w:r>
    </w:p>
    <w:p w14:paraId="5AB999F2" w14:textId="254C57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 w:name="ver_30069179"/>
      <w:bookmarkEnd w:id="212"/>
    </w:p>
    <w:p w14:paraId="1D53B1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2.1.1.1.2.1.15. Distribución territorial de los subsidios de vivienda para la población desplazada. La distribución territorial de los recursos, para el otorgamiento del subsidio, se realizará de acuerdo con los coeficientes de distribución que establezca el Ministerio de Vivienda, Ciudad y Territorio en el área urbana, atendiendo en todos los casos los siguientes criterios: </w:t>
      </w:r>
    </w:p>
    <w:p w14:paraId="2ED249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632F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Departamentos con mayor número de desplazados de acuerdo con el Registro Único de Víctimas de la Unidad Administrativa Especial de Atención y Reparación Integral a las Víctimas. </w:t>
      </w:r>
    </w:p>
    <w:p w14:paraId="7C10CE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C846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Departamentos donde el desplazamiento tenga mayor impacto con relación a su estado de pobreza, de acuerdo con el NBI departamental, calculado a partir de las proyecciones demográficas del DANE para el año de postulación. </w:t>
      </w:r>
    </w:p>
    <w:p w14:paraId="3D4E42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4A0A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Departamentos y municipios con mayor demanda de subsidios habitacionales para programas de retorno. </w:t>
      </w:r>
    </w:p>
    <w:p w14:paraId="798C44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2890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terminado el proceso de postulación, el Ministerio de Vivienda, Ciudad y Territorio, con base en la información entregada por las entidades correspondientes, establecerá para el sector urbano los cupos departamentales de recursos del subsidio de vivienda. </w:t>
      </w:r>
    </w:p>
    <w:p w14:paraId="504C19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83E1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la distribución de los recursos se tendrán en cuenta solo los departamentos con postulaciones aceptadas. </w:t>
      </w:r>
    </w:p>
    <w:p w14:paraId="47144754" w14:textId="5DCE929C" w:rsidR="00FC79C1" w:rsidRPr="009342F9" w:rsidRDefault="00FC79C1" w:rsidP="009342F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3" w:name="ver_30069180"/>
      <w:bookmarkEnd w:id="213"/>
    </w:p>
    <w:p w14:paraId="700133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2.1.1.1.2.1.16. Criterios de calificación de las postulaciones y asignación de los subsidios de vivienda de interés social urbana. La calificación para las postulaciones y asignación del subsidio de vivienda, en el caso de la población desplazada, se realizará de acuerdo con la ponderación de las siguientes variables: </w:t>
      </w:r>
    </w:p>
    <w:p w14:paraId="790FD2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FB6C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Modalidad de aplicación del subsidio familiar de vivienda (MA): Adquisición de vivienda nueva o usada; mejoramiento de vivienda; construcción en sitio propio. </w:t>
      </w:r>
    </w:p>
    <w:p w14:paraId="3E7F95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A348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Composición familiar (CF): Hace referencia al número de miembros que conforman el hogar postulante. </w:t>
      </w:r>
    </w:p>
    <w:p w14:paraId="762F53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A704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Composición étnica (CE): Hace referencia a hogares desplazados de minorías étnicas como: Negritudes, afrocolombianos, palenqueros, raizales, indígenas, ROM o Gitanos. </w:t>
      </w:r>
    </w:p>
    <w:p w14:paraId="726290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5FF7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Única Jefatura (UJ): Hogares dependientes de un solo miembro, mujer u hombre cabeza de hogar. </w:t>
      </w:r>
    </w:p>
    <w:p w14:paraId="5EA2C9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0E0F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Hogares con miembros vulnerables (HMV): Hogares con menores de edad, adultos mayores de sesenta y cinco (65) años, y personas con discapacidad. </w:t>
      </w:r>
    </w:p>
    <w:p w14:paraId="0477AC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2F01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Hogares inscritos en Planes de Vivienda (P): Hogares que hacen parte de planes de vivienda. </w:t>
      </w:r>
    </w:p>
    <w:p w14:paraId="6C4A67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7D6B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Hogares incluidos en la Red para la Superación de la Pobreza Extrema Unidos, UNIDOS. </w:t>
      </w:r>
    </w:p>
    <w:p w14:paraId="4FA178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A8E7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Dependencia económica (DE): Es la relación entre la sumatoria de niños, discapacitados y adultos mayores sobre el total de números de miembros del hogar. </w:t>
      </w:r>
    </w:p>
    <w:p w14:paraId="6ABC63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36C3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Tiempo en situación de desplazamiento (TD): Hace referencia a los años que el hogar ha estado en condición de desplazado. </w:t>
      </w:r>
    </w:p>
    <w:p w14:paraId="3717B453" w14:textId="77777777" w:rsid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4" w:name="ver_30069181"/>
      <w:bookmarkEnd w:id="214"/>
    </w:p>
    <w:p w14:paraId="468EDD6F" w14:textId="6EB8801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2.1.1.1.2.1.17. Fórmula para la calificación y asignación de los subsidios de vivienda de interés social urbana para población desplazada. La Fórmula para la calificación y asignación de los subsidios de vivienda para población desplazada es: </w:t>
      </w:r>
    </w:p>
    <w:p w14:paraId="71D1BC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3DFCAD" w14:textId="444B7AFF"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429805EF" wp14:editId="00FB454E">
            <wp:extent cx="5166996" cy="3502025"/>
            <wp:effectExtent l="0" t="0" r="0" b="3175"/>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1"/>
                    <pic:cNvPicPr/>
                  </pic:nvPicPr>
                  <pic:blipFill>
                    <a:blip r:embed="rId10">
                      <a:extLst>
                        <a:ext uri="{28A0092B-C50C-407E-A947-70E740481C1C}">
                          <a14:useLocalDpi xmlns:a14="http://schemas.microsoft.com/office/drawing/2010/main" val="0"/>
                        </a:ext>
                      </a:extLst>
                    </a:blip>
                    <a:stretch>
                      <a:fillRect/>
                    </a:stretch>
                  </pic:blipFill>
                  <pic:spPr>
                    <a:xfrm>
                      <a:off x="0" y="0"/>
                      <a:ext cx="5166996" cy="350202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72F12E4D" w14:textId="3F9C0554" w:rsidR="00FC79C1" w:rsidRPr="009342F9" w:rsidRDefault="00FC79C1" w:rsidP="00FC79C1">
      <w:pPr>
        <w:spacing w:after="0" w:line="240" w:lineRule="auto"/>
        <w:jc w:val="both"/>
        <w:rPr>
          <w:rFonts w:ascii="Arial" w:eastAsia="Times New Roman" w:hAnsi="Arial" w:cs="Arial"/>
          <w:color w:val="000000"/>
          <w:lang w:eastAsia="es-CO"/>
        </w:rPr>
      </w:pPr>
      <w:r w:rsidRPr="3DD719FF">
        <w:rPr>
          <w:rFonts w:ascii="Arial" w:eastAsia="Times New Roman" w:hAnsi="Arial" w:cs="Arial"/>
          <w:color w:val="000000" w:themeColor="text1"/>
          <w:lang w:eastAsia="es-CO"/>
        </w:rPr>
        <w:t>  </w:t>
      </w:r>
      <w:r w:rsidR="48ABE02E">
        <w:rPr>
          <w:noProof/>
        </w:rPr>
        <w:drawing>
          <wp:inline distT="0" distB="0" distL="0" distR="0" wp14:anchorId="5D28828E" wp14:editId="5E271067">
            <wp:extent cx="5520690" cy="7867013"/>
            <wp:effectExtent l="0" t="0" r="3810" b="635"/>
            <wp:docPr id="30" name="Imagen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0"/>
                    <pic:cNvPicPr/>
                  </pic:nvPicPr>
                  <pic:blipFill>
                    <a:blip r:embed="rId11">
                      <a:extLst>
                        <a:ext uri="{28A0092B-C50C-407E-A947-70E740481C1C}">
                          <a14:useLocalDpi xmlns:a14="http://schemas.microsoft.com/office/drawing/2010/main" val="0"/>
                        </a:ext>
                      </a:extLst>
                    </a:blip>
                    <a:stretch>
                      <a:fillRect/>
                    </a:stretch>
                  </pic:blipFill>
                  <pic:spPr>
                    <a:xfrm>
                      <a:off x="0" y="0"/>
                      <a:ext cx="5520690" cy="7867013"/>
                    </a:xfrm>
                    <a:prstGeom prst="rect">
                      <a:avLst/>
                    </a:prstGeom>
                  </pic:spPr>
                </pic:pic>
              </a:graphicData>
            </a:graphic>
          </wp:inline>
        </w:drawing>
      </w:r>
      <w:r w:rsidRPr="3DD719FF">
        <w:rPr>
          <w:rFonts w:ascii="Arial" w:eastAsia="Times New Roman" w:hAnsi="Arial" w:cs="Arial"/>
          <w:color w:val="000000" w:themeColor="text1"/>
          <w:lang w:eastAsia="es-CO"/>
        </w:rPr>
        <w:t> </w:t>
      </w:r>
    </w:p>
    <w:p w14:paraId="298A43E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5" w:name="ver_30069182"/>
      <w:bookmarkEnd w:id="215"/>
    </w:p>
    <w:p w14:paraId="385C8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2.1.1.1.2.1.18. Puntaje promedio en las postulaciones colectivas. En el caso de las postulaciones colectivas, el puntaje de cada uno de sus miembros será el promedio del grupo, obtenido mediante la suma de los puntos de cada uno de los integrantes postulantes dividida por el número de postulantes miembros del grupo. </w:t>
      </w:r>
    </w:p>
    <w:p w14:paraId="4CDB2F17" w14:textId="42733A8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6" w:name="ver_30069183"/>
      <w:bookmarkEnd w:id="216"/>
    </w:p>
    <w:p w14:paraId="0FAA53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2.1.1.1.2.1.19. Requisitos que deben presentar las entidades oferentes de programas de vivienda para desplazados, en postulación colectiva. Los oferentes que deseen participar en la presentación de programas de vivienda para desplazados en proyectos de adquisición de vivienda nueva, mejoramiento de vivienda y construcción en sitio propio, que se realicen con base en la presente política, deberán acreditar ante el Fondo Nacional de Vivienda - FONVIVIENDA, para el caso del sector urbano, los siguientes requisitos: </w:t>
      </w:r>
    </w:p>
    <w:p w14:paraId="144CA7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B9DA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Estar legalmente constituida e inscrita en la Cámara de Comercio respectiva; </w:t>
      </w:r>
    </w:p>
    <w:p w14:paraId="03FCA7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B438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Estar inscrita en el Registro Único de Proponentes; </w:t>
      </w:r>
    </w:p>
    <w:p w14:paraId="32DD83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FA5B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Demostrar una capacidad financiera de contratación, igual o mayor al valor total del proyecto presentado para declaratoria de elegibilidad; </w:t>
      </w:r>
    </w:p>
    <w:p w14:paraId="7D9DB0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8EFE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Demostrar una experiencia mínima de dos (2) años en gestión y promoción de vivienda; </w:t>
      </w:r>
    </w:p>
    <w:p w14:paraId="79D80C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6F91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Estar sometida a auditoría externa. </w:t>
      </w:r>
    </w:p>
    <w:p w14:paraId="031B85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EC7F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experiencia mínima, exigida a la entidad, se podrá suplir con la demostración de 10 años de experiencia específica en gestión y promoción de vivienda, por parte del representante legal de la entidad oferente. </w:t>
      </w:r>
    </w:p>
    <w:p w14:paraId="78E90A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3FC8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las Organizaciones Populares de Vivienda no cumplan con los requisitos establecidos en los literales c) y d), éstos se podrán suplir con un aval de un organismo de segundo grado –Federación de Vivienda– legalmente reconocida, la contratación de una entidad privada o la constitución de una unión temporal que cumpla, además, con los requisitos exigidos de capacidad de contratación y de tiempo de experiencia. La organización de segundo grado, la entidad contratada o la unión temporal, responderán solidariamente en todos los aspectos, ante la entidad otorgante del subsidio, por la postulación realizada por las Organizaciones Populares de Vivienda. </w:t>
      </w:r>
    </w:p>
    <w:p w14:paraId="6D0B69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E627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tal caso, el valor del proyecto afectará la capacidad financiera residual de contratación de la organización de segundo grado, la entidad contratada o la unión temporal. </w:t>
      </w:r>
    </w:p>
    <w:p w14:paraId="3D8162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A5B2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Las entidades territoriales o las unidades administrativas, dependencias, entidades, entes u oficinas que cumplan con las funciones de implantar las políticas de vivienda de interés social en el municipio o distrito, participarán, por derecho propio, como oferentes en programas de vivienda para desplazados con postulación colectiva. </w:t>
      </w:r>
    </w:p>
    <w:p w14:paraId="04D80989" w14:textId="53E173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7" w:name="ver_30069184"/>
      <w:bookmarkEnd w:id="217"/>
    </w:p>
    <w:p w14:paraId="6EF28C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2.1.1.1.2.1.20. Financiación del subsidio de vivienda. La financiación de la política de vivienda para la población desplazada se atenderá con cargo a los recursos que se asignen, para tal propósito, por parte del Gobierno Nacional. </w:t>
      </w:r>
    </w:p>
    <w:p w14:paraId="2970A4F1" w14:textId="7DBD97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8" w:name="ver_30069185"/>
      <w:bookmarkEnd w:id="218"/>
    </w:p>
    <w:p w14:paraId="617488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2.1.1.1.2.1.21. Esquema de operación institucional. El esquema de operación se ajustará al Plan Nacional para la Atención y Reparación Integral a las Víctimas, concentrando la coordinación de la ejecución en la Unidad Administrativa Especial de Atención y Reparación Integral a las Víctimas, con un esquema flexible de ejecución en el ámbito regional y local, que involucre a las entidades territoriales en acciones de su responsabilidad y permita la participación de las entidades públicas, el sector privado, agencias internacionales, ONG y organizaciones de población de desplazada en la ejecución de cada una de las acciones. </w:t>
      </w:r>
    </w:p>
    <w:p w14:paraId="4EACD1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F3EE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operación en el territorio tendrá como escenario de trabajo el Comité Municipal o Distrital de Atención y Reparación Integral a las Víctimas. No obstante, las entidades que los conforman tendrán a su cargo la incorporación del tema al interior de sus políticas sectoriales y en los foros en que ellas se desarrollen, tales como: POT, Plan de Desarrollo Municipal, Comité de Planeación Territorial Departamental, Planes de Vivienda Social de los Fondos de Vivienda Municipales y del Banco Agrario, promoviendo para ello los talleres de concertación que sean necesarios. </w:t>
      </w:r>
    </w:p>
    <w:p w14:paraId="2D7EDF74" w14:textId="6602B9D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9" w:name="ver_30069186"/>
      <w:bookmarkEnd w:id="219"/>
    </w:p>
    <w:p w14:paraId="774F27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2.1.1.1.2.1.22. Comisión intersectorial para el seguimiento de la política de vivienda urbana para población desplazada. Créase la Comisión Intersectorial para el seguimiento e implantación de la política de vivienda urbana para la atención a la población desplazada, con el objeto de evaluar la ejecución y el impacto de esta y recomendar los ajustes necesarios, para lograr los objetivos establecidos en la política nacional de atención integral a la población desplazada y en la presente subsección. </w:t>
      </w:r>
    </w:p>
    <w:p w14:paraId="32A67D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2D03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Comisión Intersectorial estará integrada así: </w:t>
      </w:r>
    </w:p>
    <w:p w14:paraId="31EABE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9B1F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w:t>
      </w:r>
      <w:proofErr w:type="gramStart"/>
      <w:r w:rsidRPr="009342F9">
        <w:rPr>
          <w:rFonts w:ascii="Arial" w:eastAsia="Times New Roman" w:hAnsi="Arial" w:cs="Arial"/>
          <w:color w:val="000000"/>
          <w:lang w:eastAsia="es-CO"/>
        </w:rPr>
        <w:t>Ministro</w:t>
      </w:r>
      <w:proofErr w:type="gramEnd"/>
      <w:r w:rsidRPr="009342F9">
        <w:rPr>
          <w:rFonts w:ascii="Arial" w:eastAsia="Times New Roman" w:hAnsi="Arial" w:cs="Arial"/>
          <w:color w:val="000000"/>
          <w:lang w:eastAsia="es-CO"/>
        </w:rPr>
        <w:t xml:space="preserve"> del Interior o su delegado, quien lo presidirá. </w:t>
      </w:r>
    </w:p>
    <w:p w14:paraId="7B0B94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3B85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Ministro de Vivienda, Ciudad y Territorio o su delegado. </w:t>
      </w:r>
    </w:p>
    <w:p w14:paraId="347C49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1105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w:t>
      </w:r>
      <w:proofErr w:type="gramStart"/>
      <w:r w:rsidRPr="009342F9">
        <w:rPr>
          <w:rFonts w:ascii="Arial" w:eastAsia="Times New Roman" w:hAnsi="Arial" w:cs="Arial"/>
          <w:color w:val="000000"/>
          <w:lang w:eastAsia="es-CO"/>
        </w:rPr>
        <w:t>Director</w:t>
      </w:r>
      <w:proofErr w:type="gramEnd"/>
      <w:r w:rsidRPr="009342F9">
        <w:rPr>
          <w:rFonts w:ascii="Arial" w:eastAsia="Times New Roman" w:hAnsi="Arial" w:cs="Arial"/>
          <w:color w:val="000000"/>
          <w:lang w:eastAsia="es-CO"/>
        </w:rPr>
        <w:t xml:space="preserve"> del Departamento para la Prosperidad Social o su delegado. </w:t>
      </w:r>
    </w:p>
    <w:p w14:paraId="6B1F9A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6F11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Director Ejecutivo del Fondo Nacional de Vivienda o su delegado. </w:t>
      </w:r>
    </w:p>
    <w:p w14:paraId="5E0CB3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5052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Gerente del Banco Agrario o su delegado. </w:t>
      </w:r>
    </w:p>
    <w:p w14:paraId="2C7440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E501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Secretaría Técnica del Comité Intersectorial será realizada por la Unidad Administrativa Especial de Atención y Reparación Integral a las Víctimas. </w:t>
      </w:r>
    </w:p>
    <w:p w14:paraId="26841A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F69D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Cada uno de los integrantes del comité, en relación con su respectivo sector, responderá por la realización de las acciones necesarias para evaluar la ejecución y el impacto de la política de vivienda urbana para la atención a la población desplazada, recomendará los ajustes necesarios y presentará a la comisión un informe trimestral sobre el tema. </w:t>
      </w:r>
    </w:p>
    <w:p w14:paraId="6C12448C" w14:textId="69B9945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20" w:name="ver_30069187"/>
      <w:bookmarkEnd w:id="220"/>
    </w:p>
    <w:p w14:paraId="13DCA2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2.1.1.1.2.1.2.3. Responsabilidades de las entidades nacionales con respecto a la política de vivienda para desplazados. Corresponde a las entidades nacionales, en su respectivo ámbito de competencia y de acuerdo con los objetivos establecidos en el Plan Nacional de Atención y Reparación Integral a las Víctimas, articular la acción gubernamental en vivienda para la población desplazada, en el marco de los principios y objetivos definidos por la Ley 387 de 1997. </w:t>
      </w:r>
    </w:p>
    <w:p w14:paraId="125A7F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EC50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Unidad Administrativa Especial de Atención y Reparación Integral a las Víctimas coordinará las acciones emprendidas y tendrá las siguientes responsabilidades, además de las previstas en el Decreto Único del Sector de Inclusión Social y Reconciliación: </w:t>
      </w:r>
    </w:p>
    <w:p w14:paraId="68CE49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DC7B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Elaborar el diagnóstico de la situación de la población desplazada en los municipios donde se presente el fenómeno. </w:t>
      </w:r>
    </w:p>
    <w:p w14:paraId="417255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9CD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Promover la elaboración del Plan de Acción Zonal por parte de los Comités de Atención Integral a la Población Desplazada. </w:t>
      </w:r>
    </w:p>
    <w:p w14:paraId="421F85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599A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Elaborar las propuestas de estabilización socioeconómica en la perspectiva del retorno o la reubicación, de acuerdo con la situación objetiva de las familias desplazadas. </w:t>
      </w:r>
    </w:p>
    <w:p w14:paraId="5E9050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7283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En coordinación con el Ministerio de Vivienda, Ciudad y Territorio, realizar el seguimiento y la evaluación de impacto en los procesos de estabilización socioeconómica, generado por la aplicación de los planes y programas adelantados por la política de vivienda establecida en la presente subsección. </w:t>
      </w:r>
    </w:p>
    <w:p w14:paraId="012559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E0B2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1.5 Hacer seguimiento y evaluación de impacto respecto de la implementación y puesta en marcha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172306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C541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Al Fondo Nacional de Vivienda le corresponde promover y evaluar los programas especiales de vivienda para atender las necesidades de la población en situación de desplazamiento, para lo cual deberá: (Modificado por el Decreto 4911 de 2009, artículo 6).  </w:t>
      </w:r>
    </w:p>
    <w:p w14:paraId="6B7686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1F02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Prestar asistencia técnica a las entidades y autoridades del nivel territorial en la formulación de sus Planes de Acción Zonal. </w:t>
      </w:r>
    </w:p>
    <w:p w14:paraId="69A260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55EE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Sensibilizar a las administraciones locales en la problemática habitacional de los desplazados y fomentar la coordinación y concurrencia de los diferentes actores en la solución del problema. </w:t>
      </w:r>
    </w:p>
    <w:p w14:paraId="1CAE4D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E008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Efectuar la asistencia técnica a entidades territoriales, organizaciones no gubernamentales y organizaciones de vivienda popular, en el diseño y ejecución de los proyectos habitacionales dirigidos a la población desplazada. </w:t>
      </w:r>
    </w:p>
    <w:p w14:paraId="5EA00C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16A5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Prestar asistencia técnica a las entidades territoriales, a los ejecutores de los programas y a la población desplazada, en el proceso de postulación al subsidio familiar de vivienda para dicha población. </w:t>
      </w:r>
    </w:p>
    <w:p w14:paraId="28D61C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0A47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Asignar los subsidios de vivienda urbana para la población desplazada de acuerdo con la presente subsección. </w:t>
      </w:r>
    </w:p>
    <w:p w14:paraId="5A6859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33A7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 Establecer las garantías necesarias para el giro pronto y oportuno de los recursos del subsidio establecido en la presente subsección. </w:t>
      </w:r>
    </w:p>
    <w:p w14:paraId="08AD40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97E8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2.7 Realizar el seguimiento, evaluación y control a los planes, programas y proyectos de vivienda para población desplazada por la violencia. </w:t>
      </w:r>
    </w:p>
    <w:p w14:paraId="53B49A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91C7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2.8 Acopiar y enviar la información sobre los proyectos de vivienda para la población desplazada, de acuerdo con los requerimientos y la periodicidad establecida por el Departamento para la Prosperidad Social. </w:t>
      </w:r>
    </w:p>
    <w:p w14:paraId="3DB0DF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75D9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Ministerio de Vivienda, Ciudad y Territorio diseñará y adoptará las medidas que garanticen a la población desplazada su acceso a planes, programas y proyectos integrales de desarrollo urbano. Para ello deberá: </w:t>
      </w:r>
    </w:p>
    <w:p w14:paraId="551512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6D00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En coordinación con el Departamento Nacional de Planeación y el Departamento para la Prosperidad Social, establecer los lineamientos de política de vivienda aplicables a la población desplazada. </w:t>
      </w:r>
    </w:p>
    <w:p w14:paraId="04B33C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2064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En coordinación con el Departamento Nacional de Planeación y el Departamento para la Prosperidad Social, identificar y establecer las líneas de recursos y proyectar y gestionar las necesidades de éstos en cada vigencia fiscal, para atender los requerimientos de vivienda de la población desplazada, de acuerdo con los planes de acción zonal. </w:t>
      </w:r>
    </w:p>
    <w:p w14:paraId="54BF47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2A9D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Establecer los cupos indicativos de recursos que permita la distribución territorial de los subsidios de vivienda para población desplazada, de acuerdo con los criterios definidos en el artículo 2.1.1.2.1.14 de la presente subsección y a través de la siguiente fórmula: </w:t>
      </w:r>
    </w:p>
    <w:p w14:paraId="02E977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A4777D" w14:textId="28144923"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76256E87" wp14:editId="3195FE9B">
            <wp:extent cx="5495288" cy="974725"/>
            <wp:effectExtent l="0" t="0" r="0"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9"/>
                    <pic:cNvPicPr/>
                  </pic:nvPicPr>
                  <pic:blipFill>
                    <a:blip r:embed="rId12">
                      <a:extLst>
                        <a:ext uri="{28A0092B-C50C-407E-A947-70E740481C1C}">
                          <a14:useLocalDpi xmlns:a14="http://schemas.microsoft.com/office/drawing/2010/main" val="0"/>
                        </a:ext>
                      </a:extLst>
                    </a:blip>
                    <a:stretch>
                      <a:fillRect/>
                    </a:stretch>
                  </pic:blipFill>
                  <pic:spPr>
                    <a:xfrm>
                      <a:off x="0" y="0"/>
                      <a:ext cx="5495288" cy="97472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2D88D5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7BE67B" w14:textId="2CF27D64"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150E354B" wp14:editId="42271F2F">
            <wp:extent cx="5400040" cy="2268855"/>
            <wp:effectExtent l="0" t="0" r="0" b="0"/>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13">
                      <a:extLst>
                        <a:ext uri="{28A0092B-C50C-407E-A947-70E740481C1C}">
                          <a14:useLocalDpi xmlns:a14="http://schemas.microsoft.com/office/drawing/2010/main" val="0"/>
                        </a:ext>
                      </a:extLst>
                    </a:blip>
                    <a:stretch>
                      <a:fillRect/>
                    </a:stretch>
                  </pic:blipFill>
                  <pic:spPr>
                    <a:xfrm>
                      <a:off x="0" y="0"/>
                      <a:ext cx="5400040" cy="226885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2D45F9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7F282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21" w:name="ver_30069188"/>
      <w:bookmarkEnd w:id="221"/>
    </w:p>
    <w:p w14:paraId="59348B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2.1.1.1.2.1.24. Participación de los entes territoriales en la política habitacional para población desplazada. En aplicación del principio de concurrencia en la acción, de los diferentes niveles del Estado, los departamentos, municipios o distritos, contribuirán con recursos económicos, físicos o logísticos, para ejecutar la política habitacional para población desplazada. </w:t>
      </w:r>
    </w:p>
    <w:p w14:paraId="4FC584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7CB6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 los oferentes definidos en el artículo 2.1.1.1.1.1.2 numeral 2.7 del presente decreto y en el Decreto Único del Sector de Inclusión Social y Reconciliación, los programas de vivienda para población desplazada podrán ser presentados por los municipios, distritos o departamentos o por una Organización no Gubernamental o una Organización Popular de Vivienda que tenga el aval del respectivo municipio o distrito. </w:t>
      </w:r>
    </w:p>
    <w:p w14:paraId="366898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BBE6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entidades públicas de orden municipal, distrital y departamental, a fin de generar alternativas que incentiven el desarrollo y ejecución de proyectos de vivienda para población en situación de desplazamiento, gestionarán la habilitación de terrenos para la construcción de nuevas viviendas, apoyarán los programas de mejoramiento de vivienda o titulación de bienes inmuebles ocupados con vivienda de interés social e implementarán cualquier mecanismo subsidiario encaminado a dignificar las condiciones de su vivienda. </w:t>
      </w:r>
    </w:p>
    <w:p w14:paraId="747BA6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B7B9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las entidades públicas del orden municipal, distrital y departamental, en las cuales exista población desplazada asignada con el subsidio familiar de vivienda nueva, sin aplicar en razón a la carencia de proyectos declarados elegibles, la respectiva entidad municipal, distrital o departamental podrá, de conformidad con las normas de contratación administrativa, contratar la construcción del urbanismo y de las viviendas donde se aplicarán los subsidios familiares de vivienda otorgados por el Gobierno Nacional, para lo cual podrá destinar recursos complementarios. </w:t>
      </w:r>
    </w:p>
    <w:p w14:paraId="1150BF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D30A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entidades públicas del orden municipal, distrital y departamental deberán informar, con la periodicidad establecida por el Fondo Nacional de Vivienda y la Unidad Administrativa Especial de Atención y Reparación Integral a las Víctimas, la demanda de la población desplazada en materia de vivienda y las acciones realizadas por dichas entidades para asegurar su atención. </w:t>
      </w:r>
    </w:p>
    <w:p w14:paraId="52F58A58" w14:textId="74ECA86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22" w:name="ver_30069189"/>
      <w:bookmarkEnd w:id="222"/>
    </w:p>
    <w:p w14:paraId="30C936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2.1.1.1.2.1.25. Desembolso a Cuentas de Ahorro Programado, CAP. En los casos de subsidios familiares de vivienda para adquisición de vivienda nueva, usada, mejoramiento de vivienda y construcción en sitio propio de que trata la presente subsección, asignados a la población desplazada, las entidades otorgantes del Subsidio Familiar de Vivienda desembolsarán en forma anticipada la totalidad del subsidio a la Cuenta de Ahorro Programado, CAP, del beneficiario, contra la presentación de la Declaración </w:t>
      </w:r>
      <w:proofErr w:type="spellStart"/>
      <w:r w:rsidRPr="009342F9">
        <w:rPr>
          <w:rFonts w:ascii="Arial" w:eastAsia="Times New Roman" w:hAnsi="Arial" w:cs="Arial"/>
          <w:color w:val="000000"/>
          <w:lang w:eastAsia="es-CO"/>
        </w:rPr>
        <w:t>Extrajuicio</w:t>
      </w:r>
      <w:proofErr w:type="spellEnd"/>
      <w:r w:rsidRPr="009342F9">
        <w:rPr>
          <w:rFonts w:ascii="Arial" w:eastAsia="Times New Roman" w:hAnsi="Arial" w:cs="Arial"/>
          <w:color w:val="000000"/>
          <w:lang w:eastAsia="es-CO"/>
        </w:rPr>
        <w:t xml:space="preserve"> en la cual se compromete a la aplicación del subsidio familiar de vivienda para la modalidad a la cual fue asignado. En todo caso, en el evento de demostrarse que para los procesos de desembolso y movilización del recurso se presentó información falsa o fraudulenta se impondrán las sanciones a que haya lugar de acuerdo con lo dispuesto en la ley. </w:t>
      </w:r>
    </w:p>
    <w:p w14:paraId="324063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2C55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movilización del Subsidio Familiar de Vivienda se efectuará en los términos y condiciones establecidos en esta subsección y las normas que lo modifiquen, sustituyan o adicionen. </w:t>
      </w:r>
    </w:p>
    <w:p w14:paraId="096748D4" w14:textId="15D7CD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23" w:name="ver_30069190"/>
      <w:bookmarkEnd w:id="223"/>
    </w:p>
    <w:p w14:paraId="52FD2A2B" w14:textId="16850D98"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554795B4"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PROMOCIÓN PARA DEMANDA Y OFERTA</w:t>
      </w:r>
    </w:p>
    <w:p w14:paraId="3646EB5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24" w:name="ver_30069191"/>
      <w:bookmarkEnd w:id="224"/>
    </w:p>
    <w:p w14:paraId="59BE3C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2.1.1.1.2.2.1. Promoción de oferta y demanda. De los recursos del Presupuesto Nacional destinados para la Política de Vivienda para la Población Desplazada y la generación de soluciones habitacionales a través del Fondo Nacional de Vivienda, se podrá destinar hasta el treinta por ciento (30%) para Promoción de Demanda y Oferta, y se entenderá por este concepto el desarrollo del siguiente conjunto de actividades: </w:t>
      </w:r>
    </w:p>
    <w:p w14:paraId="7223A5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85D0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Desarrollo integral, institucional e implementación de las Unidades de Gestión Regional - UGR. </w:t>
      </w:r>
    </w:p>
    <w:p w14:paraId="14A153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FB29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Diseños y estudios específicos para el desarrollo de las propuestas urbanísticas y arquitectónicas de los proyectos de vivienda que vinculen a población en situación de desplazamiento. </w:t>
      </w:r>
    </w:p>
    <w:p w14:paraId="3D78E9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A359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Trámites de notariado y registro sobre los bienes adquiridos con el Subsidio Familiar de Vivienda. </w:t>
      </w:r>
    </w:p>
    <w:p w14:paraId="2FB12A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C9D3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Estudios para la estructuración económica, social, financiera y jurídica de proyectos de vivienda que vinculen a población en situación de desplazamiento. </w:t>
      </w:r>
    </w:p>
    <w:p w14:paraId="6BCFD8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AFF1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Obras de urbanismo básico tales como la construcción de las obras de infraestructura de servicios públicos y vías. </w:t>
      </w:r>
    </w:p>
    <w:p w14:paraId="3BBF2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1F08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Desarrollo de proyectos de vivienda de interés social para población en situación de desplazamiento, en los cuales los recursos para la generación de soluciones habitacionales podrán destinarse como fuente para la estructuración financiera de los proyectos, de conformidad con lo dispuesto en el artículo 5 de la Ley 3ª de 1991, a través del Fondo Nacional de Vivienda, en los términos establecidos en el artículo 12 del Decreto-ley 555 de 2003. </w:t>
      </w:r>
    </w:p>
    <w:p w14:paraId="559C97DD" w14:textId="3604E69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25" w:name="ver_30069192"/>
      <w:bookmarkEnd w:id="225"/>
    </w:p>
    <w:p w14:paraId="737ACF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2.1.1.1.2.2.2. Aplicación del subsidio. La población en situación de desplazamiento beneficiaria del Subsidio Familiar de Vivienda otorgado por el Gobierno a través del Fondo Nacional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podrá aplicar el beneficio en cualquier municipio del país o tipo de solución de vivienda, tanto en zona urbana como rural, independiente de la modalidad a la cual se postuló o en la cual le fue asignado el subsidio. </w:t>
      </w:r>
    </w:p>
    <w:p w14:paraId="49756A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88AC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población desplazada perteneciente a comunidades indígenas, comunidades negras o afrocolombianas podrá adquirir, construir o mejorar soluciones de vivienda en propiedades colectivas, conforme a los mandatos constitucionales y legales, tradiciones y sistemas de derecho propio de cada comunidad. </w:t>
      </w:r>
    </w:p>
    <w:p w14:paraId="6E4BE1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09BC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población en situación de desplazamiento beneficiaria del subsidio otorgado por el Gobierno Nacional, a través del Fondo Nacional de Vivienda, podrá aplicarlo en zona rural, haciendo efectivo el desembolso a través de la Caja de Compensación Familiar o el operador autorizado, a través del cual se presentó la solicitud del subsidio, conforme a los procedimientos establecidos por la sección 2.1.1.1.1 del presente decreto en materia de vivienda urbana. </w:t>
      </w:r>
    </w:p>
    <w:p w14:paraId="40966B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A696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aplicación en zona rural del Subsidio Familiar de Vivienda otorgado por el Fondo Nacional de Vivienda, en las modalidades de vivienda nueva, mejoramiento o construcción en sitio propio, se deberá contar con la respectiva licencia de construcción, modificación o adecuación, según corresponda. </w:t>
      </w:r>
    </w:p>
    <w:p w14:paraId="42D9D2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6C09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aplicación del Subsidio Familiar de Vivienda otorgado por el Fondo Nacional de Vivienda en zona rural, en la modalidad de vivienda usada, la Caja de Compensación Familiar o el operador autorizado, a través del cual se presentó la solicitud del subsidio, emitirá el correspondiente certificado de habitabilidad, sin costo para el beneficiario. En el evento en que la Caja de Compensación Familiar o el operador autorizado manifieste por escrito la imposibilidad de emitir dicho certificado, la Gobernación o el municipio donde se encuentre ubicada la vivienda, podrá otorgar el correspondiente certificado de habitabilidad, sin costo para el beneficiario, con la anuencia del agente del Ministerio Público. </w:t>
      </w:r>
    </w:p>
    <w:p w14:paraId="00BD1C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FB39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población en situación de desplazamiento beneficiaria del subsidio otorgado por el Gobierno Nacional, a través del Fondo Nacional de Vivienda, podrá modificar la modalidad a la cual se postuló, y para tal fin, deberá hacer efectivo el desembolso en la Caja de Compensación Familiar o en el operador autorizado a través del cual presentó la solicitud del subsidio, conforme a los procedimientos establecidos por el Fondo Nacional de Vivienda, a través de Resolución. </w:t>
      </w:r>
    </w:p>
    <w:p w14:paraId="4DE2B5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6BB3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se podrá entender la aceptación de la modificación de la modalidad como un aumento del valor del subsidio que ha sido asignado por el Fondo Nacional de Vivienda y en todo caso, se deberá verificar el cumplimiento de los requisitos propios de la nueva modalidad. </w:t>
      </w:r>
    </w:p>
    <w:p w14:paraId="77DF73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7150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Población en Situación de Desplazamiento podrá aplicar el Subsidio Familiar de Vivienda en la modalidad de adquisición de vivienda nueva o usada, siempre y cuando dicha solución no se encuentre localizada en zonas de alto riesgo, cuente con disponibilidad de servicios públicos domiciliarios de acueducto, alcantarillado y energía eléctrica y vías de acceso en el caso de vivienda urbana; y de agua o acceso a una fuente de suministro y alcantarillado convencional o alternativo en el caso de vivienda rural. Estas condiciones deberán ser certificadas por el municipio o Distrito en donde se encuentre ubicado el inmueble. </w:t>
      </w:r>
    </w:p>
    <w:p w14:paraId="60285E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AF4E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vivienda usada, igualmente deberá acreditarse la titularidad del derecho de dominio en cabeza del vendedor, mediante certificado de tradición y libertad en el que conste, además que el bien se encuentra libre de cualquier gravamen o limitación a la propiedad; este certificado deberá tener una fecha de expedición no superior a tres (3) meses, contados a partir de la fecha de presentación de la solicitud. </w:t>
      </w:r>
    </w:p>
    <w:p w14:paraId="6B659D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57A0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deberá contarse con un certificado de habitabilidad expedido por la Caja de Compensación Familiar o el operador en que se postuló el hogar beneficiario, sin costo para el beneficiario por el primer certificado solicitado. </w:t>
      </w:r>
    </w:p>
    <w:p w14:paraId="010FDCEC" w14:textId="0AE706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26" w:name="ver_30069193"/>
      <w:bookmarkEnd w:id="226"/>
    </w:p>
    <w:p w14:paraId="589AF5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2.1.1.1.2.2.3. Aplicación de subsidios familiares de vivienda en macroproyectos de interés social nacional. Los hogares beneficiarios de Subsidios Familiares de Vivienda, asignados por el Fondo Nacional de Vivienda, a través de convocatorias diferentes a las que se realicen en el marco de los Macroproyectos de Interés Social Nacional - MISN, podrán aplicarlos para adquirir una solución habitacional en los MISN adoptados por el Ministerio de Vivienda, Ciudad y Territorio, siempre que acrediten los recursos complementarios para el cierre financiero. </w:t>
      </w:r>
    </w:p>
    <w:p w14:paraId="4BD43F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8552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la aplicación del Subsidio Familiar de Vivienda antes señalado, el hogar beneficiario deberá autorizar el giro de la totalidad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por parte de la entidad donde se encuentre depositado, al patrimonio autónomo mediante el cual se desarrolle el respectivo Macroproyecto y suscribir la correspondiente promesa de compraventa con la entidad fiduciaria representante de dicho patrimonio autónomo o el gestor del mismo. Los recursos así girados se destinarán a la ejecución integral del Macroproyecto, a partir de su ingreso al patrimonio autónomo. </w:t>
      </w:r>
    </w:p>
    <w:p w14:paraId="1DBD25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5FC1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legalización de dicho Subsidio Familiar de Vivienda se hará una vez se culmine y transfiera la solución habitacional, mediante la correspondiente escritura pública, la cual deberá ser debidamente registrada y en ella se hará constar que parte del precio de la adquisición es el Subsidio Familiar de Vivienda. En consecuencia, tendrá las restricciones de que trata la Ley 3ª de 1991. </w:t>
      </w:r>
    </w:p>
    <w:p w14:paraId="009017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DA0A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 el Subsidio Familiar de Vivienda asignado se encuentra vinculado a un proyecto de vivienda, el beneficiario sólo podrá adquirir una solución habitacional en un Macroproyecto, previa desvinculación del proyecto, mediante la resciliación del contrato de promesa de compraventa, o con autorización expresa del oferente del proyecto. </w:t>
      </w:r>
    </w:p>
    <w:p w14:paraId="71D8BA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6998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si los recursos ya fueron girados al encargo fiduciario constituido por el oferente, este y el hogar beneficiario deberán autorizar el giro de los recursos al patrimonio autónomo constituido para el desarrollo del Macroproyecto. </w:t>
      </w:r>
    </w:p>
    <w:p w14:paraId="480D8A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8621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 anterior no aplicará si el oferente del </w:t>
      </w:r>
      <w:proofErr w:type="gramStart"/>
      <w:r w:rsidRPr="009342F9">
        <w:rPr>
          <w:rFonts w:ascii="Arial" w:eastAsia="Times New Roman" w:hAnsi="Arial" w:cs="Arial"/>
          <w:color w:val="000000"/>
          <w:lang w:eastAsia="es-CO"/>
        </w:rPr>
        <w:t>proyecto,</w:t>
      </w:r>
      <w:proofErr w:type="gramEnd"/>
      <w:r w:rsidRPr="009342F9">
        <w:rPr>
          <w:rFonts w:ascii="Arial" w:eastAsia="Times New Roman" w:hAnsi="Arial" w:cs="Arial"/>
          <w:color w:val="000000"/>
          <w:lang w:eastAsia="es-CO"/>
        </w:rPr>
        <w:t xml:space="preserve"> no ha iniciado la construcción de las viviendas durante los dos (2) años siguientes a la asignación del Subsidio Familiar de Vivienda. En este caso sólo se requerirá la autorización del hogar beneficiario para destinar el subsidio a la adquisición de una vivienda nueva en un Macroproyecto de Interés Social Nacional. </w:t>
      </w:r>
    </w:p>
    <w:p w14:paraId="16BEC6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CFD2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En el evento de cobro contra escritura, la entidad financiera depositaria de los recursos del </w:t>
      </w:r>
      <w:proofErr w:type="gramStart"/>
      <w:r w:rsidRPr="009342F9">
        <w:rPr>
          <w:rFonts w:ascii="Arial" w:eastAsia="Times New Roman" w:hAnsi="Arial" w:cs="Arial"/>
          <w:color w:val="000000"/>
          <w:lang w:eastAsia="es-CO"/>
        </w:rPr>
        <w:t>subsidio,</w:t>
      </w:r>
      <w:proofErr w:type="gramEnd"/>
      <w:r w:rsidRPr="009342F9">
        <w:rPr>
          <w:rFonts w:ascii="Arial" w:eastAsia="Times New Roman" w:hAnsi="Arial" w:cs="Arial"/>
          <w:color w:val="000000"/>
          <w:lang w:eastAsia="es-CO"/>
        </w:rPr>
        <w:t xml:space="preserve"> los girará directamente al patrimonio autónomo constituido para el desarrollo del Macroproyecto, previa autorización del hogar beneficiario. </w:t>
      </w:r>
    </w:p>
    <w:p w14:paraId="41A22948" w14:textId="19BBF9A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27" w:name="ver_30069194"/>
      <w:bookmarkEnd w:id="227"/>
    </w:p>
    <w:p w14:paraId="051678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2.1.1.1.2.2.4. Atención inmediata mediante soluciones de vivienda prefabricadas que cumplan con normas sismorresistentes. En aplicación a lo dispuesto en artículo 6° de la Ley 3ª de 1991, las entidades públicas de orden municipal, departamental o distrital a fin de atender de manera inmediata a los hogares que se encuentran en situación de desplazamiento, podrán destinar los recursos del subsidio familiar de vivienda a la adquisición, montaje, instalación y entrega de viviendas prefabricadas que cumplan con las disposiciones de las normas colombianas de diseño y construcción sismorresistente. </w:t>
      </w:r>
    </w:p>
    <w:p w14:paraId="4A258C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8207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el haber sido beneficiario de la solución habitacional establecida en el presente artículo, inhabilitará al hogar para postularse al subsidio familiar de vivienda otorgado a la población en situación de desplazamiento por el Gobierno Nacional, pero para acceder a este último, deberá haber hecho entrega a la respectiva entidad pública del orden municipal, distrital o departamental, de la solución habitacional prefabricada, para que la misma pueda ser otorgada a otro hogar. </w:t>
      </w:r>
    </w:p>
    <w:p w14:paraId="206E74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8308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asignación de los subsidios para su aplicación según el presente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se realizará de acuerdo con los procedimientos establecidos en la subsección 2.1.1.1.2.1 y sección 2.1.1.1.1 del presente decreto. </w:t>
      </w:r>
    </w:p>
    <w:p w14:paraId="3A5633EF" w14:textId="35A0E46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28" w:name="ver_30069195"/>
      <w:bookmarkEnd w:id="228"/>
    </w:p>
    <w:p w14:paraId="181330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2.1.1.1.2.2.5. Postulación, asignación y aplicación del subsidio familiar de vivienda otorgado por el fondo nacional de vivienda a la población en situación de desplazamiento. En lo que no sea contrario con lo establecido en la subsección 2.1.1.1.2.1 del presente decreto, la postulación, asignación y aplicación del subsidio familiar de vivienda para población en situación de desplazamiento se realizará siguiendo los procedimientos, requisitos y condiciones establecidos en la sección 2.1.1.1.1 del presente decreto. </w:t>
      </w:r>
    </w:p>
    <w:p w14:paraId="67C849F2" w14:textId="5178C3C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C9B99C"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29" w:name="ver_30069196"/>
      <w:bookmarkEnd w:id="229"/>
      <w:r w:rsidRPr="009342F9">
        <w:rPr>
          <w:rFonts w:ascii="Arial" w:eastAsia="Times New Roman" w:hAnsi="Arial" w:cs="Arial"/>
          <w:b/>
          <w:bCs/>
          <w:color w:val="000000"/>
          <w:lang w:eastAsia="es-CO"/>
        </w:rPr>
        <w:t>SUBSECCIÓN 3</w:t>
      </w:r>
    </w:p>
    <w:p w14:paraId="1AE25058"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CRITERIOS ESPECIALES DE ATENCIÓN PRIORITARIA</w:t>
      </w:r>
    </w:p>
    <w:p w14:paraId="7730FC0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30" w:name="ver_30069197"/>
      <w:bookmarkEnd w:id="230"/>
    </w:p>
    <w:p w14:paraId="2D42BF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2.1.1.1.2.3.1. Atención prioritaria. Los hogares postulados y calificados en las convocatorias para el Subsidio Familiar de Vivienda de Interés Social abiertas por el Fondo Nacional de Vivienda con cargo a los recursos para población en situación de desplazamiento, que no hayan sido beneficiarios del subsidio, habiendo cumplido con todos los requisitos establecidos para tal fin, podrán ser atendidos de manera prioritaria hasta completar la totalidad de la asignación a dichos hogares, de conformidad con el procedimiento que para el efecto establezca el Ministerio de Vivienda, Ciudad y Territorio. </w:t>
      </w:r>
    </w:p>
    <w:p w14:paraId="74AE6C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93F4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dispuesto en el presente artículo operará siempre y cuando exista disponibilidad de recursos y se dé cumplimiento a las normas del Estatuto Orgánico del Presupuesto. </w:t>
      </w:r>
    </w:p>
    <w:p w14:paraId="610516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2D6B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Criterios para la asignación prioritaria de subsidios familiares de vivienda a hogares calificados dentro de las convocatorias abiertas por el Fondo Nacional de Vivienda para la atención de población en situación de desplazamiento. Para efectos de la atención prioritaria de que trata el presente artículo, la entidad otorgante aplicará, en su orden, los siguientes criterios en la asignación del subsidio familiar de vivienda: </w:t>
      </w:r>
    </w:p>
    <w:p w14:paraId="389497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8544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Hogares inscritos en planes de vivienda elegibles que cuenten con cupos disponibles determinados mediante acto administrativo por parte de la entidad otorgante. La asignación se efectuará en orden secuencial descendente, conforme a los puntajes de calificación obtenidos. </w:t>
      </w:r>
    </w:p>
    <w:p w14:paraId="0EAE0A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C36A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hogares inscritos en planes de vivienda que no resulten asignados por insuficiencia de cupos </w:t>
      </w:r>
      <w:proofErr w:type="gramStart"/>
      <w:r w:rsidRPr="009342F9">
        <w:rPr>
          <w:rFonts w:ascii="Arial" w:eastAsia="Times New Roman" w:hAnsi="Arial" w:cs="Arial"/>
          <w:color w:val="000000"/>
          <w:lang w:eastAsia="es-CO"/>
        </w:rPr>
        <w:t>disponibles,</w:t>
      </w:r>
      <w:proofErr w:type="gramEnd"/>
      <w:r w:rsidRPr="009342F9">
        <w:rPr>
          <w:rFonts w:ascii="Arial" w:eastAsia="Times New Roman" w:hAnsi="Arial" w:cs="Arial"/>
          <w:color w:val="000000"/>
          <w:lang w:eastAsia="es-CO"/>
        </w:rPr>
        <w:t xml:space="preserve"> serán asignados en orden secuencial descendente, conforme a los puntajes de calificación obtenidos, cuando se presenten renuncias a cupos dentro del plan de vivienda respectivo. </w:t>
      </w:r>
    </w:p>
    <w:p w14:paraId="74EA3C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106C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Hogares vinculados al programa de ahorro programado contractual con evaluación crediticia favorable en cualquier entidad financiera con la que la entidad otorgante haya suscrito convenios para el efecto, la asignación se efectuará en orden secuencial descendente, conforme a los puntajes de calificación obtenidos por los hogares. </w:t>
      </w:r>
    </w:p>
    <w:p w14:paraId="662A55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2B74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efecto la entidad otorgante solicitará a la entidad financiera responsable del programa de ahorro programado contractual con evaluación crediticia favorable, la información respectiva, antes de los procesos de asignación en la bolsa especial para población en situación de desplazamiento. </w:t>
      </w:r>
    </w:p>
    <w:p w14:paraId="7B2879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C9FD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hogares que no se encuentren en las dos situaciones antes previstas, serán asignados con los recursos disponibles restantes, conforme al puntaje de calificación obtenido en orden secuencial descendente. (Adicionado por el Decreto 4213 de 2011, artículo 3).  </w:t>
      </w:r>
    </w:p>
    <w:p w14:paraId="2C461F99" w14:textId="7992754D" w:rsidR="00FC79C1" w:rsidRPr="009342F9" w:rsidRDefault="00FC79C1" w:rsidP="009342F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36E8DB"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31" w:name="ver_30069198"/>
      <w:bookmarkEnd w:id="231"/>
      <w:r w:rsidRPr="009342F9">
        <w:rPr>
          <w:rFonts w:ascii="Arial" w:eastAsia="Times New Roman" w:hAnsi="Arial" w:cs="Arial"/>
          <w:b/>
          <w:bCs/>
          <w:color w:val="000000"/>
          <w:lang w:eastAsia="es-CO"/>
        </w:rPr>
        <w:t>SECCIÓN 3</w:t>
      </w:r>
    </w:p>
    <w:p w14:paraId="6A8FDCD8" w14:textId="77777777" w:rsidR="00FC79C1"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SUBSIDIO FAMILIAR DE VIVIENDA FENÓMENO DE LA NIÑA 2010-2011</w:t>
      </w:r>
    </w:p>
    <w:p w14:paraId="2BA173DB" w14:textId="77777777" w:rsidR="007C7D44" w:rsidRPr="009342F9" w:rsidRDefault="007C7D44" w:rsidP="005A1FCF">
      <w:pPr>
        <w:spacing w:after="0" w:line="240" w:lineRule="auto"/>
        <w:jc w:val="center"/>
        <w:rPr>
          <w:rFonts w:ascii="Arial" w:eastAsia="Times New Roman" w:hAnsi="Arial" w:cs="Arial"/>
          <w:b/>
          <w:bCs/>
          <w:color w:val="000000"/>
          <w:lang w:eastAsia="es-CO"/>
        </w:rPr>
      </w:pPr>
    </w:p>
    <w:p w14:paraId="2C1828A8"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35DC74DF"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OBJETO</w:t>
      </w:r>
    </w:p>
    <w:p w14:paraId="657C5F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32" w:name="ver_30069199"/>
      <w:bookmarkEnd w:id="232"/>
    </w:p>
    <w:p w14:paraId="6F6AD4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2.1.1.1.3.1.1. Objeto. Con fundamento en lo dispuesto en el Decreto-ley 4832 de 2010, la presente sección reglamenta la disposición, asignación y ejecución de recursos que a partir de la celebración por parte del Fondo Nacional de Vivienda, FONVIVIENDA, de contratos de fiducia mercantil para la constitución de Patrimonios Autónomos Matrices (PAM), serán direccionados a Patrimonios Autónomos Derivados (PAD) en los que a través de las gerencias integrales de que trata esta sección se desarrollarán proyectos de vivienda urbana de interés social nueva. Dichos proyectos deberán ser estructurados y/o ejecutados para la atención de vivienda urbana de interés social nueva a los hogares afectados por el Fenómeno de La Niña 2010-2011 y aquellos ubicados en zonas de riesgo en los términos establecidos en la presente sección. </w:t>
      </w:r>
    </w:p>
    <w:p w14:paraId="560C28F7" w14:textId="16BC99B8"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33" w:name="ver_30069200"/>
      <w:bookmarkEnd w:id="233"/>
    </w:p>
    <w:p w14:paraId="4B702CDD" w14:textId="093875CF"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29760030" w14:textId="6BE65459"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PATRIMONIO AUTÓNOMO MATRIZ (PAM)</w:t>
      </w:r>
    </w:p>
    <w:p w14:paraId="2EF20C7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34" w:name="ver_30069201"/>
      <w:bookmarkEnd w:id="234"/>
    </w:p>
    <w:p w14:paraId="16D572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2.1.1.1.3.2.1. Patrimonio Autónomo Matriz (PAM). El Director del Fondo Nacional de Vivienda, FONVIVIENDA, en aplicación de lo dispuesto en el artículo 2° del Decreto-ley 4832 de 2010, podrá celebrar en forma directa contratos de Fiducia Mercantil con el propósito de constituir Patrimonios Autónomos Matrices (PAM) en su condición de fideicomitente, a los cuales se girarán los recursos para la ejecución de actividades de generar proyectos de vivienda urbana de interés social nueva destinada a la atención de los hogares afectados por el Fenómeno de La Niña 2010-2011 y aquellos que se encuentren ubicados en zonas de riesgo conforme a lo dispuesto en la presente sección. </w:t>
      </w:r>
    </w:p>
    <w:p w14:paraId="159270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00EF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efectos de lo anterior el </w:t>
      </w:r>
      <w:proofErr w:type="gramStart"/>
      <w:r w:rsidRPr="009342F9">
        <w:rPr>
          <w:rFonts w:ascii="Arial" w:eastAsia="Times New Roman" w:hAnsi="Arial" w:cs="Arial"/>
          <w:color w:val="000000"/>
          <w:lang w:eastAsia="es-CO"/>
        </w:rPr>
        <w:t>Director</w:t>
      </w:r>
      <w:proofErr w:type="gramEnd"/>
      <w:r w:rsidRPr="009342F9">
        <w:rPr>
          <w:rFonts w:ascii="Arial" w:eastAsia="Times New Roman" w:hAnsi="Arial" w:cs="Arial"/>
          <w:color w:val="000000"/>
          <w:lang w:eastAsia="es-CO"/>
        </w:rPr>
        <w:t xml:space="preserve"> de FONVIVIENDA podrá constituir uno o varios patrimonios autónomos de los que trata este artículo si ello fuere necesario para atender con mayor celeridad, eficiencia y eficacia las zonas del país en las que se encuentre ubicada la población que será atendida conforme a lo establecido en la presente sección. </w:t>
      </w:r>
    </w:p>
    <w:p w14:paraId="18C691BE" w14:textId="3AC0E96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35" w:name="ver_30069202"/>
      <w:bookmarkEnd w:id="235"/>
    </w:p>
    <w:p w14:paraId="14D1F4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2.1.1.1.3.2.2. </w:t>
      </w:r>
      <w:proofErr w:type="gramStart"/>
      <w:r w:rsidRPr="009342F9">
        <w:rPr>
          <w:rFonts w:ascii="Arial" w:eastAsia="Times New Roman" w:hAnsi="Arial" w:cs="Arial"/>
          <w:color w:val="000000"/>
          <w:lang w:eastAsia="es-CO"/>
        </w:rPr>
        <w:t>Recursos a transferir</w:t>
      </w:r>
      <w:proofErr w:type="gramEnd"/>
      <w:r w:rsidRPr="009342F9">
        <w:rPr>
          <w:rFonts w:ascii="Arial" w:eastAsia="Times New Roman" w:hAnsi="Arial" w:cs="Arial"/>
          <w:color w:val="000000"/>
          <w:lang w:eastAsia="es-CO"/>
        </w:rPr>
        <w:t xml:space="preserve"> a los Patrimonios Autónomos matrices (PAM). A los Patrimonios Autónomos Matrices (PAM) de que trata esta sección se podrán transferir los siguientes bienes: </w:t>
      </w:r>
    </w:p>
    <w:p w14:paraId="55A266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3D8E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Recursos incorporados en el Presupuesto General de la Nación para el Fondo Nacional de Vivienda, FONVIVIENDA. Estos recursos serán destinados, de una parte, al reconocimiento de los gastos de estructuración y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los proyectos de vivienda urbana de interés social nueva conforme se establece el numeral 1 del artículo 2.1.1.1.3.2.3de la presente sección, y, de otra, a la individualización, en los términos del numeral 2 del citado artículo 2.1.1.1.3.2.3, de subsidios familiares de vivienda a los hogares damnificados por el Fenómeno de La Niña 2010-2011, y aquellos ubicados en zonas de riesgo según lo establecido en este sentido en la presente sección. </w:t>
      </w:r>
    </w:p>
    <w:p w14:paraId="1E9BE4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99EB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Recursos asignados por el Fondo Nacional de Calamidades. </w:t>
      </w:r>
    </w:p>
    <w:p w14:paraId="74F6EC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E0FD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bienes señalados en los artículos 4° y 5° del Decreto-ley 4832 de 2010. </w:t>
      </w:r>
    </w:p>
    <w:p w14:paraId="35700B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6860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Otros recursos que conforme a la normatividad vigente pueden ser aportados a dicho Patrimonio. </w:t>
      </w:r>
    </w:p>
    <w:p w14:paraId="0D4F16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122C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personas distintas a FONVIVIENDA que aporten bienes al Patrimonio Autónomo Matriz (PAM) en los términos de los artículos 4° y 5° del Decreto-ley 4832 de 2010 no adquirirán por tal hecho la condición de Fideicomitentes. </w:t>
      </w:r>
    </w:p>
    <w:p w14:paraId="2B02DD3F" w14:textId="366E79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36" w:name="ver_30069203"/>
      <w:bookmarkEnd w:id="236"/>
    </w:p>
    <w:p w14:paraId="27EE8B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2.1.1.1.3.2.3. Principales funciones del Patrimonio Autónomo Matriz (PAM). Sin perjuicio de los derechos y obligaciones establecidos por la normatividad vigente en materia de fiducia mercantil y aquellos que sean definidos en el contrato que se suscriba para su constitución, los Patrimonios Autónomos Matrices (PAM) podrán desarrollar, entre otras, las siguientes actividades: </w:t>
      </w:r>
    </w:p>
    <w:p w14:paraId="057286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8E999D" w14:textId="2932200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Pagar las sumas de dinero causadas por concepto de la estructuración y/o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los proyectos de vivienda urbana de interés social nueva que hayan sido estructurados y/o viabilizados conforme a lo dispuesto en los artículos 2.1.1.1.3.3.1, 2.1.1.1.3.3.2 y 2.1.1.1.3.3.3 de la presente sección, siempre que dichos proyectos cuenten con intervención o participación directa de entidades territoriales representada en gestión y promoción de las viviendas, aporte de terrenos o de recursos complementarios en dinero o en otros bienes, o participación en los mecanismos de seguimiento y control, entre otros. </w:t>
      </w:r>
    </w:p>
    <w:p w14:paraId="1AA7E8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90BB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Como resultado del procedimiento establecido en el artículo 2.1.1.1.3.3.5 de la presente sección, efectuar el giro a los Patrimonios Autónomos Derivados (PAD) de las sumas de dinero que serán individualizadas como subsidios familiares de vivienda mediante asignación por parte del Fondo Nacional de Vivienda, FONVIVIENDA, a hogares damnificados por el Fenómeno de La Niña 2010- 2011, y a aquellos ubicados en zonas de riesgo en los términos de la presente sección, y que serán destinadas por dichos patrimonios a las actividades a que se refieren los numerales 1, 4, 5 y 6 del artículo 1° del Decreto-ley 4832 de 2010. El giro de los recursos se realizará de la siguiente forma: </w:t>
      </w:r>
    </w:p>
    <w:p w14:paraId="696559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1C44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El equivalente al 30% del valor total de los cupos que el Fondo Nacional de Vivienda FONVIVIENDA determine para el proyecto conforme a lo establecido en el 2.1.1.1.3.3.5 de la presente sección será girado por el Patrimonio Autónomo Matriz (PAM) al Patrimonio Autónomo Derivado (PAD) cuando este acredite a aquel el cumplimiento de los siguientes requisitos: </w:t>
      </w:r>
    </w:p>
    <w:p w14:paraId="078B6A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9090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Presentación de certificado de viabilidad del proyecto expedido por las entidades habilitadas para ello conforme a lo dispuesto en este capítulo; </w:t>
      </w:r>
    </w:p>
    <w:p w14:paraId="66F54F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F7A6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Constitución del Patrimonio Autónomo Derivado (PAD) a más tardar dentro de los dos (2) meses siguientes a la fecha de definición de los cupos a los que se refiere el 2.1.1.1.3.3.5 de la presente sección; </w:t>
      </w:r>
    </w:p>
    <w:p w14:paraId="16B5EE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8B0D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iii) Entrega del cronograma de obras del proyecto de que trata la letra b) del artículo 2.1.1.1.3.3.3 del de la presente sección, aprobado por el comité fiduciario del Patrimonio Autónomo Derivado (PAD); </w:t>
      </w:r>
    </w:p>
    <w:p w14:paraId="5DA2E3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F58630"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Entrega del documento que acredite la existencia de vínculo contractual del Patrimonio Autónomo Derivado (PAD) con el Gerente Integral y el Interventor del proyecto; </w:t>
      </w:r>
    </w:p>
    <w:p w14:paraId="0229BB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FD87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 Acreditar la constitución de las pólizas de seguro a las que se refiere el artículo 2.1.1.1.3.5.1 de la presente sección. </w:t>
      </w:r>
    </w:p>
    <w:p w14:paraId="3A39C7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B63E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El equivalente al 50% del valor total de los cupos asignados para el proyecto se girará por los valores que solicite el Patrimonio Autónomo Derivado (PAD) y que apruebe el Comité Fiduciario del Patrimonio Autónomo Matriz (PAM), previo el cumplimiento de los siguientes requisitos: </w:t>
      </w:r>
    </w:p>
    <w:p w14:paraId="4B77A3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BC24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Resoluciones expedidas por el Fondo Nacional de Vivienda, FONVIVIENDA, mediante las cuales se hayan individualizado los subsidios de vivienda a favor de los hogares en un número equivalente a la totalidad de los cupos definidos para el proyecto conforme a lo dispuesto en el artículo 2.1.1.1.3.3.5 de esta sección; </w:t>
      </w:r>
    </w:p>
    <w:p w14:paraId="17DDC2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7372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Certificación expedida por la Sociedad Fiduciaria vocera del Patrimonio Autónomo Derivado (PAD) en la que conste que dicho Patrimonio Autónomo o quien contractualmente se haya establecido, ha suscrito con los hogares beneficiarios de los subsidios las respectivas promesas de compraventa o los contratos previos para la adquisición del dominio de las viviendas del proyecto del caso; </w:t>
      </w:r>
    </w:p>
    <w:p w14:paraId="34FFDF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265B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iii. Verificación del avance de obra frente al cronograma de obras, conforme a la certificación que para tales efectos emita el interventor del proyecto, y verificación de dicho avance por parte del Patrimonio Autónomo Matriz (PAM) o la entidad contratada por este para tales efectos; </w:t>
      </w:r>
    </w:p>
    <w:p w14:paraId="7596BE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17347B"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Acreditar la constitución de las pólizas de seguro a las que se refiere el artículo 2.1.1.1.3.5.1de la presente sección. </w:t>
      </w:r>
    </w:p>
    <w:p w14:paraId="1C450F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6E94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El 20% restante de los cupos definidos será girado por el Patrimonio Autónomo Matriz (PAM) cuando el Fondo Nacional de Vivienda, FONVIVIENDA, o el operador que este designe, haya recibido a satisfacción los siguientes documentos: </w:t>
      </w:r>
    </w:p>
    <w:p w14:paraId="4D44F2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183B8B" w14:textId="1070957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2.3.1</w:t>
      </w:r>
      <w:r w:rsidR="00E63A77">
        <w:rPr>
          <w:rFonts w:ascii="Arial" w:eastAsia="Times New Roman" w:hAnsi="Arial" w:cs="Arial"/>
          <w:color w:val="000000"/>
          <w:lang w:eastAsia="es-CO"/>
        </w:rPr>
        <w:t xml:space="preserve">. </w:t>
      </w:r>
      <w:r w:rsidRPr="009342F9">
        <w:rPr>
          <w:rFonts w:ascii="Arial" w:eastAsia="Times New Roman" w:hAnsi="Arial" w:cs="Arial"/>
          <w:color w:val="000000"/>
          <w:lang w:eastAsia="es-CO"/>
        </w:rPr>
        <w:t>Copia de la escritura pública contentiva del título de adquisición de la vivienda y un ejemplar del certificado de tradición y libertad que acredite la transferencia del dominio con una vigencia no mayor a treinta (30) días, que permitan evidenciar la adquisición de la vivienda por el hogar beneficiario del subsidio. De no contarse con el certificado de tradición y libertad del inmueble podrá acompañarse la copia del recibo de caja de la solicitud de registro del respectivo documento ante la Oficina de Registro de Instrumentos Públicos correspondiente, la copia auténtica de la escritura pública sometida a registro que permita evidenciar la existencia de título traslaticio del dominio de la vivienda a favor del hogar y la garantía que llegare a definir el Ministerio de Vivienda, Ciudad y Territorio. El Patrimonio Autónomo Derivado (PAD) será responsable por el desarrollo y cabal ejecución de las actividades necesarias para la debida inscripción de la escritura pública en el folio de matrícula inmobiliaria correspondiente. </w:t>
      </w:r>
    </w:p>
    <w:p w14:paraId="61B126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2F2D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2.3.2. Copia del documento que acredita la asignación del Subsidio Familiar de Vivienda al hogar, con autorización de cobro por parte del beneficiario. </w:t>
      </w:r>
    </w:p>
    <w:p w14:paraId="00EC05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9818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2.3.3. Certificado de existencia y recibo a satisfacción de la vivienda, en el que se especifique que la misma cumple con las condiciones señaladas en la postulación y en la asignación correspondiente, debidamente suscrito por el oferente y por el beneficiario del subsidio o por quien hubiere sido autorizado por este para tales efectos. </w:t>
      </w:r>
    </w:p>
    <w:p w14:paraId="5AE68B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74C5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2.3.4. En caso de reubicación de hogares localizados en zonas de riesgo conforme a lo establecido en la presente sección, para efectos del desembolso del subsidio familiar de vivienda en el 20% de que aquí se trata, adicionalmente el hogar propietario deberá demostrar la transferencia del derecho de dominio y posesión del inmueble desalojado a la respectiva entidad territorial mediante la presentación del certificado de libertad y tradición en el que conste la citada transferencia. En el caso de hogares ocupantes, estos deberán acreditar la entrega de la tenencia material del inmueble a la Alcaldía del municipio donde esté ubicado el inmueble, mediante certificación expedida por dicha autoridad. </w:t>
      </w:r>
    </w:p>
    <w:p w14:paraId="6FC065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FDB2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 la autorización, adoptada por decisión unánime de los miembros del Comité Fiduciario y conforme a las directrices y lineamientos que mediante resolución defina el Ministerio de Vivienda, Ciudad y Territorio, realizar las siguientes actividades con el fin primordial de atender a los hogares afectados en sus viviendas por el Fenómeno de La Niña 2010-2011 y/o aquellos ubicados en zonas de riesgo conforme a lo dispuesto en la presente sección: </w:t>
      </w:r>
    </w:p>
    <w:p w14:paraId="19BC3D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823A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Adquirir lotes de terreno a cualquier título para ser destinados al desarrollo de proyectos de vivienda urbana de interés social nueva. La transferencia de estos inmuebles podrá efectuarse directamente al Patrimonio Autónomo Matriz (PAM) o al Patrimonio Autónomo Derivado (PAD) que aquel determine. </w:t>
      </w:r>
    </w:p>
    <w:p w14:paraId="500E62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DD63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Destinar recursos para la adquisición de materiales para la ejecución de obras de urbanismo y construcción de los proyectos que desarrollarán los Patrimonios Autónomos Derivados (PAD). </w:t>
      </w:r>
    </w:p>
    <w:p w14:paraId="124050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5DB8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Construir y/o adquirir viviendas urbanas de interés social ya construidas o en proceso de construcción. </w:t>
      </w:r>
    </w:p>
    <w:p w14:paraId="4E749F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0B00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Asumir los gastos que se generen por los trámites de notariado y registro por concepto de actos de adquisición de lotes de terreno que formen parte de Patrimonios Autónomos Derivados (PAD) y de la transferencia posterior de las viviendas a los hogares beneficiarios siempre que dichos patrimonios autónomos hayan sido constituidos por entidades territoriales departamentales o municipales y/o con bienes transferidos por entidades del orden nacional. </w:t>
      </w:r>
    </w:p>
    <w:p w14:paraId="20288E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E453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Efectuar labores de control y seguimiento sobre el giro de los recursos, avances de obra de cada proyecto según el cronograma presentado para conceder la viabilidad del proyecto, sobre el cumplimiento de las obligaciones adquiridas por las gerencias integrales en los contratos que las vinculen a los Patrimonios Autónomos Derivados (PAD), y sobre la ejecución de los proyectos de vivienda urbana de interés social nueva en los cuales se aplicarán los recursos destinados a la atención de los damnificados por el fenómeno de La Niña 2010- 2011, y aquellos hogares ubicados en zonas de riesgo en los términos de la presente sección. </w:t>
      </w:r>
    </w:p>
    <w:p w14:paraId="28683E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390C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ejecutar las actividades de control y seguimiento aquí previstas, según lo dispuesto por el parágrafo del artículo 2° del Decreto-ley 4832 de 2010, el Patrimonio Autónomo Matriz (PAM) podrá celebrar convenios con el Fondo Financiero de Proyectos de Desarrollo FONADE, y/o con entidades, instituciones u organizaciones públicas o privadas de cualquier naturaleza jurídica especializadas en el seguimiento, control y/o interventoría de proyectos de vivienda. </w:t>
      </w:r>
    </w:p>
    <w:p w14:paraId="219D7C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C0CC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Comité Fiduciario del Patrimonio Autónomo Matriz (PAM) estará conformado por los miembros del Consejo Directivo del Fondo Nacional de Vivienda, FONVIVIENDA. Podrá constituir un comité asesor que apoye al Comité Fiduciario y al Patrimonio Autónomo Matriz (PAM) en el cumplimiento de sus funciones. Estará integrado por al menos tres (3) miembros designados por el Comité Fiduciario y contratados por el Patrimonio Autónomo Matriz (PAM) que cuenten con experiencia mínima de cinco (5) años en temas relacionados con estructuración, evaluación técnica, legal, social y financiera de proyectos de vivienda. </w:t>
      </w:r>
    </w:p>
    <w:p w14:paraId="4C806D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E4E7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ejecución de las actividades de carácter técnico y operativo necesarias para dar cumplimiento con la totalidad o parte de lo dispuesto en el presente artículo 2.1.1.1.3.2.3 podrán ser adelantadas con el apoyo del Fondo Nacional de Vivienda FONVIVIENDA, o de la persona jurídica, consorcio o unión temporal con quien dicho Fondo celebre convenio para tales efectos. </w:t>
      </w:r>
    </w:p>
    <w:p w14:paraId="699CF6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9E80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Para todos los efectos legales las trasferencias de recursos de FONVIVIENDA o de las entidades territoriales a los Patrimonios Autónomos Matrices (PAM) y de estos a los Patrimonios Autónomos Derivados (PAD) se tendrán como mecanismos de ejecución del Presupuesto General de la Nación. </w:t>
      </w:r>
    </w:p>
    <w:p w14:paraId="6CC437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9E50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4°. Los rendimientos financieros que llegaren a producir los recursos de FONVIVIENDA transferidos a los Patrimonios Autónomos Matrices (PAM) y a los Patrimonios Autónomos Derivados (PAD) </w:t>
      </w:r>
      <w:proofErr w:type="gramStart"/>
      <w:r w:rsidRPr="009342F9">
        <w:rPr>
          <w:rFonts w:ascii="Arial" w:eastAsia="Times New Roman" w:hAnsi="Arial" w:cs="Arial"/>
          <w:color w:val="000000"/>
          <w:lang w:eastAsia="es-CO"/>
        </w:rPr>
        <w:t>le</w:t>
      </w:r>
      <w:proofErr w:type="gramEnd"/>
      <w:r w:rsidRPr="009342F9">
        <w:rPr>
          <w:rFonts w:ascii="Arial" w:eastAsia="Times New Roman" w:hAnsi="Arial" w:cs="Arial"/>
          <w:color w:val="000000"/>
          <w:lang w:eastAsia="es-CO"/>
        </w:rPr>
        <w:t xml:space="preserve"> pertenecerán a estos, y se destinarán a las finalidades establecidas en cada uno de los contratos de fiducia mercantil que los generan. </w:t>
      </w:r>
    </w:p>
    <w:p w14:paraId="5A85F6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595F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En concordancia con lo dispuesto en el artículo 2.1.1.1.3.5.1 de la presente sección, las pólizas de seguro mencionadas en los numerales 2.1, y 2.2 del presente artículo deberán corresponder al 110% del valor de cada uno de los giros realizados por concepto de subsidio familiar de vivienda al Patrimonio Autónomo Derivado (PAD) del caso. </w:t>
      </w:r>
    </w:p>
    <w:p w14:paraId="5FB658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6C90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6°. Los recursos del Presupuesto General de la Nación girados a los patrimonios autónomos mencionados en la presente sección, que no se encuentren amparando obligaciones a 31 de diciembre de 2014 serán reintegrados con sus correspondientes rendimientos financieros al Ministerio de Hacienda y Crédito Público dentro de los tres (3) meses siguientes a la fecha aquí indicada. Para efectos de lo aquí previsto, debe tenerse en cuenta que: </w:t>
      </w:r>
    </w:p>
    <w:p w14:paraId="6CFC75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392A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Los rendimientos financieros originados en los recursos aportados por las entidades públicas a los patrimonios autónomos de que aquí se trata sólo podrán destinarse al cumplimiento de la finalidad prevista para dichos patrimonios una vez se utilicen integralmente los recursos que los han generado; </w:t>
      </w:r>
    </w:p>
    <w:p w14:paraId="282262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305F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Las sociedades fiduciarias voceras de los patrimonios autónomos deberán identificar y contabilizar los rendimientos financieros producidos por los recursos entregados de manera independiente, teniendo en cuenta la época de su causación y los recursos que los originaron. </w:t>
      </w:r>
    </w:p>
    <w:p w14:paraId="5796A6C3" w14:textId="7544C8E2"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37" w:name="ver_30069204"/>
      <w:bookmarkEnd w:id="237"/>
    </w:p>
    <w:p w14:paraId="543FEBFF" w14:textId="45BF511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334D6FDA" w14:textId="7E3ED895"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ESTRUCTURACIÓN Y VIABILIDAD DE PROYECTOS</w:t>
      </w:r>
    </w:p>
    <w:p w14:paraId="3CC8CC59"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38" w:name="ver_30069205"/>
      <w:bookmarkEnd w:id="238"/>
    </w:p>
    <w:p w14:paraId="7E5437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2.1.1.1.3.3.1. Estructurador de proyectos. Es la persona natural o jurídica, pública o privada, que realizará los estudios, diseños y demás actividades necesarias para la definición técnica, financiera, jurídica, y social del proyecto, y en general de todos los elementos que harán posible la ejecución de proyectos de vivienda urbana de interés social nueva enfocados en la atención de la población damnificada por el Fenómeno de La Niña 2010-2011, y aquella ubicada en zonas de riesgo acorde a los lineamientos de la presente sección. </w:t>
      </w:r>
    </w:p>
    <w:p w14:paraId="7FD349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CA9C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 la definición de los aspectos antes enunciados, en la estructuración deberán establecerse con precisión las funciones, condiciones de idoneidad y demás requisitos y roles que deberá cumplir quien vaya a ejecutar la Gerencia Integral de los proyectos de vivienda de interés social. </w:t>
      </w:r>
    </w:p>
    <w:p w14:paraId="62D7EF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915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 previsto en el numeral 1 del artículo 2.1.1.1.3.2.3 de la presente sección será aplicable a los estructuradores, personas naturales o jurídicas, con las que el Fondo Nacional de Vivienda, FONVIVIENDA, suscriba convenios para desarrollar las actividades previstas en el presente artículo. </w:t>
      </w:r>
    </w:p>
    <w:p w14:paraId="472E4BE6" w14:textId="3477DAD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39" w:name="ver_30069206"/>
      <w:bookmarkEnd w:id="239"/>
    </w:p>
    <w:p w14:paraId="562291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2.1.1.1.3.3.2. </w:t>
      </w:r>
      <w:proofErr w:type="spellStart"/>
      <w:r w:rsidRPr="009342F9">
        <w:rPr>
          <w:rFonts w:ascii="Arial" w:eastAsia="Times New Roman" w:hAnsi="Arial" w:cs="Arial"/>
          <w:color w:val="000000"/>
          <w:lang w:eastAsia="es-CO"/>
        </w:rPr>
        <w:t>Viabilizador</w:t>
      </w:r>
      <w:proofErr w:type="spellEnd"/>
      <w:r w:rsidRPr="009342F9">
        <w:rPr>
          <w:rFonts w:ascii="Arial" w:eastAsia="Times New Roman" w:hAnsi="Arial" w:cs="Arial"/>
          <w:color w:val="000000"/>
          <w:lang w:eastAsia="es-CO"/>
        </w:rPr>
        <w:t>. Es la persona jurídica encargada de emitir concepto de viabilidad sobre los componentes técnicos, económicos, financieros, jurídicos, y sociales y, en general sobre todos los elementos que hacen posible la ejecución de los proyectos de vivienda urbana de interés social nueva enfocados a la atención de la población damnificada por el Fenómeno de La Niña 2010-2011, y aquella ubicada en zonas de riesgo en los términos de esta sección, todo ello, en concordancia con lo establecido en el artículo 2.1.1.1.3.3.3 de la presente sección. </w:t>
      </w:r>
    </w:p>
    <w:p w14:paraId="0746A1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B42C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entidades, instituciones públicas o privadas con las que el Fondo Nacional de Vivienda, FONVIVIENDA, suscriba convenios para tales efectos serán las entidades habilitadas para otorgar la viabilidad a los proyectos de vivienda de que trata la presente sección. </w:t>
      </w:r>
    </w:p>
    <w:p w14:paraId="0A2A89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F67E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los casos en que el proyecto de vivienda haya sido estructurado por la misma entidad con la que el Fondo Nacional de Vivienda haya suscrito convenio para tales efectos, la viabilidad se hará constar en certificado de estructuración y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emitido por la entidad del caso, que deberá incluir el concepto sobre la viabilidad técnica, económica, financiera, jurídica y social del proyecto del caso. </w:t>
      </w:r>
    </w:p>
    <w:p w14:paraId="1D1E6014" w14:textId="79EAD34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40" w:name="ver_30069207"/>
      <w:bookmarkEnd w:id="240"/>
    </w:p>
    <w:p w14:paraId="3158A5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2.1.1.1.3.3.3. Requisitos para otorgar la viabilidad. La viabilidad de un proyecto de vivienda urbana de interés social nueva se emitirá previa verificación por parte de la entidad </w:t>
      </w:r>
      <w:proofErr w:type="spellStart"/>
      <w:r w:rsidRPr="009342F9">
        <w:rPr>
          <w:rFonts w:ascii="Arial" w:eastAsia="Times New Roman" w:hAnsi="Arial" w:cs="Arial"/>
          <w:color w:val="000000"/>
          <w:lang w:eastAsia="es-CO"/>
        </w:rPr>
        <w:t>viabilizadora</w:t>
      </w:r>
      <w:proofErr w:type="spellEnd"/>
      <w:r w:rsidRPr="009342F9">
        <w:rPr>
          <w:rFonts w:ascii="Arial" w:eastAsia="Times New Roman" w:hAnsi="Arial" w:cs="Arial"/>
          <w:color w:val="000000"/>
          <w:lang w:eastAsia="es-CO"/>
        </w:rPr>
        <w:t xml:space="preserve"> del cumplimiento de los requisitos exigidos en las normas urbanísticas, arquitectónicas y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entre otras, y de aquellos establecidos en la presente sección y en las demás normas que para el efecto establezca mediante resolución el Ministerio de Vivienda, Ciudad y Territorio. </w:t>
      </w:r>
    </w:p>
    <w:p w14:paraId="30D993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0EB0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para el otorgamiento de la viabilidad de que aquí se trata, los proyectos de vivienda deberán acreditar, como mínimo, lo siguiente: </w:t>
      </w:r>
    </w:p>
    <w:p w14:paraId="1C91CC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6366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Las fuentes de financiación requeridas para el desarrollo del proyecto de vivienda urbana de interés social nueva, ya sea con recursos propios del fideicomitente o fideicomitentes del Patrimonio Autónomo Derivado (PAD), cuotas iniciales por ventas del proyecto, recursos del Subsidio Familiar de Vivienda y de los hogares, otros subsidios o aportes, declaración de obras ya ejecutadas, financiación otorgada por entidades legalmente habilitadas para ello, entre otros. </w:t>
      </w:r>
    </w:p>
    <w:p w14:paraId="205376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EBA3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Cronograma de ejecución de las obras, los presupuestos de construcción, costos de gerencia, y demás documentación que determine el Ministerio de Vivienda, Ciudad y Territorio para soportar la viabilidad del plan de vivienda, involucrando los costos directos e indirectos del mismo. </w:t>
      </w:r>
    </w:p>
    <w:p w14:paraId="36FABE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6C78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En el caso en que una entidad territorial intervenga como fideicomitente del Patrimonio Autónomo Derivado (PAD), y la financiación comprenda total o parcialmente aportes de esta en cualquier modalidad, en la vigencia en curso o en vigencias posteriores, dicha entidad territorial deberá acreditar el respectivo respaldo presupuestal con copia del documento idóneo para tal fin, de conformidad con las disposiciones presupuestales aplicables a la materia. </w:t>
      </w:r>
    </w:p>
    <w:p w14:paraId="7861DF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D0CB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Estructura financiera, técnica, jurídica y comercial de la persona natural o jurídica que ejecutará las obras de construcción del plan de vivienda, conforme a los requisitos y condiciones que para tales efectos establezca el Ministerio de Vivienda, Ciudad y Territorio. </w:t>
      </w:r>
    </w:p>
    <w:p w14:paraId="2E14E0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EB10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Licencia de urbanización, cuando esta se requiera, y licencia de construcción otorgadas conforme a las normas vigentes por quien tenga la competencia legal en los municipios o distritos con referencia a la disponibilidad inmediata de los servicios públicos domiciliarios de acueducto, alcantarillado y energía eléctrica, vías de acceso y planos con los diseños para desarrollos futuros de las viviendas, si fuere el caso. Igualmente, deberá contar con certificado de disponibilidad de servicios públicos domiciliarios, expedida por la entidad competente para tales efectos, en el municipio donde se desarrollará el plan de vivienda correspondiente. </w:t>
      </w:r>
    </w:p>
    <w:p w14:paraId="61DD1D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CC6A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La existencia o programación de un plan de gestión y acompañamiento social del proceso, desde la postulación hasta la asignación y ejecución del plan de vivienda correspondiente. </w:t>
      </w:r>
    </w:p>
    <w:p w14:paraId="0F180F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0C0C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g) Verificación previa con el Fondo Nacional de Vivienda, FONVIVIENDA, con las Cajas de Compensación Familiar, con la Rama Judicial del Poder Público, con las bases de datos de entidades que otorguen o hayan otorgado subsidios de vivienda de interés social, que a cualquiera de los partícipes del proyecto no se les haya declarado el incumplimiento en la ejecución de un proyecto de vivienda de interés social o se les hayan hecho exigibles pólizas o garantías otorgadas para la debida aplicación de los recursos del Subsidio Familiar de Vivienda, En caso de encontrar que mediante acto administrativo debidamente ejecutoriado existió declaratoria de incumplimiento, o se hicieron efectivas pólizas o cualquier clase de garantías o pagarés otorgados para la debida aplicación de los subsidios familiares de vivienda, la Entidad </w:t>
      </w:r>
      <w:proofErr w:type="spellStart"/>
      <w:r w:rsidRPr="009342F9">
        <w:rPr>
          <w:rFonts w:ascii="Arial" w:eastAsia="Times New Roman" w:hAnsi="Arial" w:cs="Arial"/>
          <w:color w:val="000000"/>
          <w:lang w:eastAsia="es-CO"/>
        </w:rPr>
        <w:t>viabilizadora</w:t>
      </w:r>
      <w:proofErr w:type="spellEnd"/>
      <w:r w:rsidRPr="009342F9">
        <w:rPr>
          <w:rFonts w:ascii="Arial" w:eastAsia="Times New Roman" w:hAnsi="Arial" w:cs="Arial"/>
          <w:color w:val="000000"/>
          <w:lang w:eastAsia="es-CO"/>
        </w:rPr>
        <w:t xml:space="preserve"> se abstendrá de emitir el correspondiente certificado de viabilidad. </w:t>
      </w:r>
    </w:p>
    <w:p w14:paraId="4E5945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C1AD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Cualquier modificación en las condiciones técnicas, financieras y jurídicas del proyecto de vivienda que sustentaron la declaratoria de viabilidad, en especial aquellas relacionadas con la construcción, ejecución, giro de los subsidios, y con las personas naturales o jurídicas encargadas de ejecutar el proyecto, exigirá la revisión de la viabilidad. En este caso, la ausencia de evaluación y aprobación previa por parte de la misma entidad que inicialmente concedió la viabilidad determinará que el plan de vivienda del caso no pueda ser receptor de los subsidios de que trata la presente sección. </w:t>
      </w:r>
    </w:p>
    <w:p w14:paraId="0E27AD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26C6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No podrá existir viabilidad de un proyecto de vivienda urbana de interés social nueva, o aplicarse el subsidio, cuando las unidades habitacionales se localicen en: </w:t>
      </w:r>
    </w:p>
    <w:p w14:paraId="218F9E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C433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Barrios no legalizados por el respectivo municipio; </w:t>
      </w:r>
    </w:p>
    <w:p w14:paraId="0AEF8F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D36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Zonas de alto riesgo no mitigable; </w:t>
      </w:r>
    </w:p>
    <w:p w14:paraId="2FC2EE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4576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iii. Zonas de protección de los recursos naturales; </w:t>
      </w:r>
    </w:p>
    <w:p w14:paraId="57E5B4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51C3D8"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Zonas de reserva de obra pública o de infraestructuras básicas del nivel nacional, regional o municipal; </w:t>
      </w:r>
    </w:p>
    <w:p w14:paraId="35D2E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9879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 Áreas no aptas para la localización de vivienda, de acuerdo con los planes de ordenamiento territorial. </w:t>
      </w:r>
    </w:p>
    <w:p w14:paraId="2F7CEF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FC8E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3°. El </w:t>
      </w:r>
      <w:proofErr w:type="spellStart"/>
      <w:r w:rsidRPr="009342F9">
        <w:rPr>
          <w:rFonts w:ascii="Arial" w:eastAsia="Times New Roman" w:hAnsi="Arial" w:cs="Arial"/>
          <w:color w:val="000000"/>
          <w:lang w:eastAsia="es-CO"/>
        </w:rPr>
        <w:t>viabilizador</w:t>
      </w:r>
      <w:proofErr w:type="spellEnd"/>
      <w:r w:rsidRPr="009342F9">
        <w:rPr>
          <w:rFonts w:ascii="Arial" w:eastAsia="Times New Roman" w:hAnsi="Arial" w:cs="Arial"/>
          <w:color w:val="000000"/>
          <w:lang w:eastAsia="es-CO"/>
        </w:rPr>
        <w:t xml:space="preserve"> deberá objetar un proyecto de vivienda urbana de interés social nueva en el evento de no cumplir con los requisitos exigidos para su concepto favorable. No obstante, el proyecto será susceptible de corregirse y ser presentado nuevamente para su evaluación. </w:t>
      </w:r>
    </w:p>
    <w:p w14:paraId="01F7EE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8D6F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En ningún caso la declaratoria de viabilidad de un proyecto de vivienda urbana de interés social nueva generará derecho alguno a la asignación de cupos de subsidios para su aplicación en la adquisición de las viviendas que lo conforman. </w:t>
      </w:r>
    </w:p>
    <w:p w14:paraId="32F72A3D" w14:textId="77777777" w:rsidR="009342F9" w:rsidRDefault="009342F9" w:rsidP="00FC79C1">
      <w:pPr>
        <w:spacing w:after="0" w:line="240" w:lineRule="auto"/>
        <w:jc w:val="both"/>
        <w:rPr>
          <w:rFonts w:ascii="Arial" w:eastAsia="Times New Roman" w:hAnsi="Arial" w:cs="Arial"/>
          <w:color w:val="000000"/>
          <w:lang w:eastAsia="es-CO"/>
        </w:rPr>
      </w:pPr>
      <w:bookmarkStart w:id="241" w:name="ver_30069208"/>
      <w:bookmarkEnd w:id="241"/>
    </w:p>
    <w:p w14:paraId="605E8202" w14:textId="3D885A2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2.1.1.1.3.3.4. Calificación de proyectos para asignación de cupos. Para la determinación de los cupos a los que se refiere el artículo 2.1.1.1.3.3.5 de la presente sección, la entidad </w:t>
      </w:r>
      <w:proofErr w:type="spellStart"/>
      <w:r w:rsidRPr="009342F9">
        <w:rPr>
          <w:rFonts w:ascii="Arial" w:eastAsia="Times New Roman" w:hAnsi="Arial" w:cs="Arial"/>
          <w:color w:val="000000"/>
          <w:lang w:eastAsia="es-CO"/>
        </w:rPr>
        <w:t>viabilizadora</w:t>
      </w:r>
      <w:proofErr w:type="spellEnd"/>
      <w:r w:rsidRPr="009342F9">
        <w:rPr>
          <w:rFonts w:ascii="Arial" w:eastAsia="Times New Roman" w:hAnsi="Arial" w:cs="Arial"/>
          <w:color w:val="000000"/>
          <w:lang w:eastAsia="es-CO"/>
        </w:rPr>
        <w:t xml:space="preserve"> calificará los proyectos de vivienda urbana de interés social nueva siguiendo la metodología que defina el Ministerio de Vivienda, Ciudad y Territorio. Dicha calificación deberá tener en cuenta, entre otros, los siguientes criterios: </w:t>
      </w:r>
    </w:p>
    <w:p w14:paraId="24AE81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AC33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Priorización de proyectos de vivienda urbana de interés social nueva en los que exista intervención directa de las entidades territoriales en la gestión y desarrollo de los mismos, a partir de esquemas concertados de gerencia, gestión y promoción de los planes de vivienda, aporte de recursos complementarios en dinero o en especie, estructuración y participación decisoria en los mecanismos de seguimiento y control, que garanticen la ejecución del proyecto y la adecuada utilización de los subsidios familiares de vivienda. </w:t>
      </w:r>
    </w:p>
    <w:p w14:paraId="4A3E6B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B33F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Proyectos que contemplen mayor número de viviendas urbanas de interés social nuevas destinadas a hogares damnificados en sus viviendas por el Fenómeno de La Niña 2010-2011 y/o mayor número de viviendas destinadas a la atención de la población ubicada en zonas de riesgo conforme lo señalado en la presente sección. </w:t>
      </w:r>
    </w:p>
    <w:p w14:paraId="129DA6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06D6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Proyectos que evidencien mayor esfuerzo de las entidades territoriales y menor nivel de requerimiento de Subsidio Familiar de Vivienda con cargo a recursos del Presupuesto Nacional. </w:t>
      </w:r>
    </w:p>
    <w:p w14:paraId="324F8A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7C0E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Priorización de proyectos de vivienda urbana de interés social nueva que se desarrollen en lotes o terrenos ya urbanizados. </w:t>
      </w:r>
    </w:p>
    <w:p w14:paraId="2243CE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5C04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Priorización de proyectos de vivienda urbana de interés social nueva que presenten mejor relación de tamaño-precio de manera que el precio, por metro cuadrado resultante sea menor, y de aquellos que presenten una mejor relación zonas verdes y equipamiento comunitario, por unidad de vivienda. </w:t>
      </w:r>
    </w:p>
    <w:p w14:paraId="4B2B84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743E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Priorización de proyectos de vivienda urbana de interés social nueva que contemplen un número similar de unidades de vivienda que se desarrollen en altura. </w:t>
      </w:r>
    </w:p>
    <w:p w14:paraId="099E1F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3012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ningún caso la calificación de un proyecto de vivienda urbana de interés social nueva generará derecho alguno para la definición de los cupos de que trata el artículo 2.1.1.1.3.3.5 de la presente sección. </w:t>
      </w:r>
    </w:p>
    <w:p w14:paraId="08A5CADF" w14:textId="04C8B5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42" w:name="ver_30069209"/>
      <w:bookmarkEnd w:id="242"/>
    </w:p>
    <w:p w14:paraId="5B647B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2.1.1.1.3.3.5. Definición de cupos para los proyectos de vivienda urbana de interés social nueva. El Fondo Nacional de Vivienda, FONVIVIENDA, determinará y comunicará al Patrimonio Autónomo Matriz (PAM) los cupos de recursos para los proyectos que hayan sido previamente viabilizados y calificados conforme a lo dispuesto en los artículos 2.1.1.1.3.3.3 y 2.1.1.1.3.3.4 de la presente sección. </w:t>
      </w:r>
    </w:p>
    <w:p w14:paraId="38DBB6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E22D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Dichos cupos, que se determinarán constituyendo un listado que agrupe los proyectos de vivienda, corresponderán como máximo a un monto equivalente al número de viviendas de interés social prioritaria (VIP) nueva para cuya adquisición el Fondo Nacional de Vivienda, FONVIVIENDA, deberá individualizar los subsidios de vivienda de interés social que destinará exclusivamente a los hogares damnificados por el fenómeno de La Niña 2010-2011 y aquellos ubicados en zonas riesgo conforme a la presente sección. </w:t>
      </w:r>
    </w:p>
    <w:p w14:paraId="02FAC8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D973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base en los recursos disponibles en el Patrimonio Autónomo Matriz (PAM), cada bimestre calendario el Fondo Nacional de Vivienda, FONVIVIENDA, definirá los cupos para los proyectos de vivienda urbana de interés social nueva viabilizados que le hayan sido presentados durante el bimestre calendario inmediatamente anterior, todo ello en los términos y condiciones que defina el Ministerio de Vivienda, Ciudad y Territorio. </w:t>
      </w:r>
    </w:p>
    <w:p w14:paraId="5628AC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6270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exista un número plural de proyectos que soliciten la definición de cupos en un mismo bimestre calendario, el Fondo Nacional de Vivienda FONVIVIENDA con base en los resultados de la calificación efectuada conforme a lo dispuesto en el artículo 2.1.1.1.3.3.4 de esta sección, configurará un listado de los proyectos en orden secuencial descendente, definirá los cupos correspondientes para cada uno de ellos hasta completar un número de unidades de vivienda equivalente al monto de los recursos disponibles en el Patrimonio Autónomo Matriz (PAM), y remitirá la información correspondiente a dicho Patrimonio Autónomo. </w:t>
      </w:r>
    </w:p>
    <w:p w14:paraId="688E27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8517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Patrimonio Autónomo Matriz (PAM) sólo estará habilitado para girar los recursos a los proyectos de vivienda urbana de interés social nueva en el orden establecido en el listado elaborado por el Fondo Nacional de Vivienda, FONVIVIENDA. </w:t>
      </w:r>
    </w:p>
    <w:p w14:paraId="7CE61A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A2C1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definición de cupos para un proyecto de vivienda urbana de interés social nueva no genera por si misma compromiso u obligación presupuestal a cargo del Fondo Nacional de Vivienda, FONVIVIENDA, de desembolsar suma alguna de dinero por concepto de los subsidios de que aquí se trata. </w:t>
      </w:r>
    </w:p>
    <w:p w14:paraId="19F87A01" w14:textId="2DC353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43" w:name="ver_30069210"/>
      <w:bookmarkEnd w:id="243"/>
    </w:p>
    <w:p w14:paraId="6C6D45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2.1.1.1.3.3.6. Atención de proyectos de vivienda conforme a la calificación. Los proyectos de vivienda urbana de interés social nueva viabilizados y calificados que no hubieren sido beneficiarios de los cupos de que trata el artículo anterior por insuficiencia de recursos en el Patrimonio Autónomo Matriz (PAM) tendrán preferencia en la definición de cupos inmediatamente siguiente que realice el Fondo Nacional de Vivienda, FONVIVIENDA, para lo cual deberá atenderse el orden de tales proyectos conforme a la calificación que les hubiere sido inicialmente otorgada. </w:t>
      </w:r>
    </w:p>
    <w:p w14:paraId="108A1E08" w14:textId="69066411"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44" w:name="ver_30069211"/>
      <w:bookmarkEnd w:id="244"/>
    </w:p>
    <w:p w14:paraId="5624537B" w14:textId="498864A6"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4</w:t>
      </w:r>
    </w:p>
    <w:p w14:paraId="4AA3779D" w14:textId="4C07CEE1"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PATRIMONIOS AUTÓNOMOS DERIVADOS (PAD) Y GERENCIAS INTEGRALES</w:t>
      </w:r>
    </w:p>
    <w:p w14:paraId="7C30AB6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45" w:name="ver_30069212"/>
      <w:bookmarkEnd w:id="245"/>
    </w:p>
    <w:p w14:paraId="722BB7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2.1.1.1.3.4.1. Patrimonios Autónomos Derivados (PAD). Los proyectos de vivienda urbana de interés social nueva que vayan a desarrollarse conforme a lo dispuesto en la presente sección deberán ejecutarse integralmente a través de contratos de Fiducia Mercantil que originen Patrimonios Autónomos Derivados (PAD) en los cuales se incorporarán todos los bienes necesarios para la ejecución del proyecto, en especial, los recursos que gire el Patrimonio Autónomo Matriz (PAM). </w:t>
      </w:r>
    </w:p>
    <w:p w14:paraId="49121FB7" w14:textId="361D827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46" w:name="ver_30069213"/>
      <w:bookmarkEnd w:id="246"/>
    </w:p>
    <w:p w14:paraId="575797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2.1.1.1.3.4.2. Gerencias integrales. Los Patrimonios Autónomos Derivados (PAD) deberán contar con una Gerencia Integral desarrollada por una persona natural o jurídica de derecho público o privado, consorcio o unión temporal, que deberá ser contratada por dichos Patrimonios Autónomos y que será responsable, entre otros aspectos, de la dirección, administración, operación, supervisión y control de la construcción, promoción, comercialización y/o socialización de los proyectos de vivienda urbana de interés social nueva enfocados a la atención de la población damnificada en sus viviendas por el Fenómeno de La Niña 2010-2011 y aquella ubicada en zonas de riesgo en los términos de la presente sección. </w:t>
      </w:r>
    </w:p>
    <w:p w14:paraId="564CC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BB04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Gerencia Integral podrá ejecutar directamente o a través de terceros las labores de construcción de los proyectos de vivienda urbana de interés social nueva, así como la promoción, comercialización y organización de la demanda en el componente social. </w:t>
      </w:r>
    </w:p>
    <w:p w14:paraId="539A9F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E634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ejecución de las actividades aquí descritas a través de terceros no exime a la Gerencia Integral de las responsabilidades en la dirección, administración, operación, supervisión, comercialización, socialización y control del proyecto. </w:t>
      </w:r>
    </w:p>
    <w:p w14:paraId="5795A9BE" w14:textId="50140417"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47" w:name="ver_30069214"/>
      <w:bookmarkEnd w:id="247"/>
    </w:p>
    <w:p w14:paraId="45C8C8BA" w14:textId="1DAED7B3"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5</w:t>
      </w:r>
    </w:p>
    <w:p w14:paraId="42C94FBA" w14:textId="6298663A"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SEGUROS E INTERVENTORÍAS</w:t>
      </w:r>
    </w:p>
    <w:p w14:paraId="4004695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48" w:name="ver_30069215"/>
      <w:bookmarkEnd w:id="248"/>
    </w:p>
    <w:p w14:paraId="0449EF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2.1.1.1.3.5.1. Requisitos adicionales para el giro de recursos-seguros. Conforme a lo dispuesto en los numerales 2.1 y 2.2 del artículo 2.1.1.1.3.2.3de la presente sección, cada Patrimonio Autónomo Derivado (PAD) deberá constituir y entregar al Patrimonio Autónomo Matriz (PAM) el contrato que garantice la labor de interventoría del proyecto, y pólizas de seguro de cumplimiento cuyo beneficiario sea el Patrimonio Autónomo Matriz (PAM) en el caso de lo dispuesto en el numeral 2.1 del artículo 2.1.1.1.3.2.3 de esta sección, o de los hogares respecto de los cuales se giren los recursos al patrimonio en el evento previsto en el numeral 2.2. del citado artículo 2.1.1.1.3.2.3, en ambos casos que amparen la restitución de los dineros girados en caso de incumplimiento por un monto correspondiente al ciento diez por ciento (110%) del valor correspondiente a cada una de las sumas giradas por el Patrimonio Autónomo Matriz (PAM) al Patrimonio Autónomo Derivado (PAD) del caso. </w:t>
      </w:r>
    </w:p>
    <w:p w14:paraId="23673A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4789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la postulación al subsidio de vivienda familiar los hogares otorgarán un mandato al Fondo Nacional de Vivienda, FONVIVIENDA, en virtud del cual dicho Fondo de Vivienda podrá exigir y recibir los recursos que llegaren a reconocerse por concepto de las pólizas de seguro constituidas a favor de los hogares, y, si fuere conducente, aquellas sumas por concepto de los subsidios asignados que aún estuvieren a disposición del Patrimonio Autónomo Derivado (PAD) por no haber sido giradas para el desarrollo del proyecto del caso. Recibidos los recursos de que aquí se trata, el hogar deberá informar a FONVIVIENDA el proyecto de vivienda urbana de interés social nueva al cual destinará los recursos recibidos con lo cual se garantizará que el hogar pueda aplicar efectivamente el subsidio asignado inicialmente en la adquisición de una nueva vivienda. </w:t>
      </w:r>
    </w:p>
    <w:p w14:paraId="4C91282B" w14:textId="66117F5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49" w:name="ver_30069216"/>
      <w:bookmarkEnd w:id="249"/>
    </w:p>
    <w:p w14:paraId="77BEC7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2.1.1.1.3.5.2. Interventoría. Los Patrimonios Autónomos Derivados (PAD) deberán contratar una interventoría que será ejercida por una persona natural o jurídica responsable de verificar que la construcción y ejecución del proyecto se adelante conforme a la normatividad legal y reglamentaria que regula esta actividad, siguiendo los planos, diseños y especificaciones que sirvieron de fundamento para la obtención de la viabilidad y la expedición de la correspondiente licencia de urbanismo y de construcción. </w:t>
      </w:r>
    </w:p>
    <w:p w14:paraId="6CEBBC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B4D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 las que se estipulen en los contratos correspondientes, serán funciones del interventor las relacionadas con los aspectos técnicos, financieros y administrativos asociados a los proyectos, en especial las contenidas en el acápite de interventoría del Decreto Único del Sector de Transporte o en la norma que lo modifique, sustituya o derogue. </w:t>
      </w:r>
    </w:p>
    <w:p w14:paraId="777FEB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7927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Interventor deberá contar con un mínimo de cinco años de experiencia en interventoría o ejecución de obras en materia de vivienda, inscrito en el RUP, que no presente incumplimientos, sanciones o multas declaradas en procesos de carácter judicial o administrativo. </w:t>
      </w:r>
    </w:p>
    <w:p w14:paraId="790D1821" w14:textId="267449AC"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50" w:name="ver_30069217"/>
      <w:bookmarkEnd w:id="250"/>
    </w:p>
    <w:p w14:paraId="0EC8652A" w14:textId="239DD550"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6</w:t>
      </w:r>
    </w:p>
    <w:p w14:paraId="38DDBA90"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SUBSIDIOS</w:t>
      </w:r>
    </w:p>
    <w:p w14:paraId="2D4AEE48"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51" w:name="ver_30069218"/>
      <w:bookmarkEnd w:id="251"/>
    </w:p>
    <w:p w14:paraId="2EA418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2.1.1.1.3.6.1. Campo de aplicación. La presente subsección se aplica a los procesos de postulación, asignación y aplicación del Subsidio Familiar de Vivienda Urbano que otorga el Fondo Nacional de Vivienda, FONVIVIENDA, para la atención de hogares damnificados en sus viviendas por el Fenómeno de La Niña 2010-2011 y aquellos ubicados en zonas de riesgo en los términos de la presente sección. </w:t>
      </w:r>
    </w:p>
    <w:p w14:paraId="1CCCA223" w14:textId="110491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52" w:name="ver_30069219"/>
      <w:bookmarkEnd w:id="252"/>
    </w:p>
    <w:p w14:paraId="7174D3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2.1.1.1.3.6.2. Beneficiarios. Para efectos de la aplicación de esta sección se consideran beneficiarios de los subsidios familiares de vivienda los hogares conformados por los cónyuges, las uniones maritales de hecho, incluyendo las parejas del mismo sexo, y/o el grupo de personas unidas por vínculos de parentesco hasta tercer grado de consanguinidad, segundo de afinidad y primero civil, que compartan un mismo espacio habitacional, y que cumplan con las siguientes condiciones: </w:t>
      </w:r>
    </w:p>
    <w:p w14:paraId="29E6D8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12FF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Que prioritariamente se trate de hogares conformados por población no vinculada al sistema formal de trabajo, con ingresos inferiores a cuatro Salarios Mínimos Mensuales Legales Vigentes (4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xml:space="preserve">). En los municipios y/o departamentos en donde las Cajas de Compensación Familiar no tengan la obligación de constituir Fondos para Vivienda de Interés Social, FOVIS, o cuando el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de recaudo sea menor o igual al ochenta por ciento (80%), se aceptarán y tramitarán las solicitudes de Subsidio Familiar de Vivienda para los afiliados a tales Cajas de Compensación Familiar con ingresos familiares hasta de dos (2) salarios mínimos mensuales legales, caso en el cual los solicitantes del subsidio deberán acreditar en la respectiva postulación que la condición anteriormente mencionada es predicable de la Caja de Compensación Familiar del caso mediante certificación emitida por la misma. </w:t>
      </w:r>
    </w:p>
    <w:p w14:paraId="2BE464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F06D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Que los hogares se encuentren en cualquiera de las siguientes situaciones: </w:t>
      </w:r>
    </w:p>
    <w:p w14:paraId="69972A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3EE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Hogares incluidos en los registros oficiales de damnificados por el Fenómeno de La Niña 2010-2011, propietarios u ocupantes a cualquier título de una vivienda destruida en su totalidad que estaba localizada en zona de alto riesgo no mitigable certificada por la autoridad competente. </w:t>
      </w:r>
    </w:p>
    <w:p w14:paraId="7483EE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5FF9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Hogares incluidos en los registros oficiales emitidos por autoridades competentes, no propietarios de viviendas que no están ubicadas en zonas de alto riesgo no mitigable pero que fueron integralmente destruidas por los efectos del Fenómeno de La Niña 2010- 2011. </w:t>
      </w:r>
    </w:p>
    <w:p w14:paraId="70E681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F26D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Hogares propietarios u ocupantes de una vivienda ubicada en zona de alto riesgo no mitigable certificado por la autoridad competente, y que deben ser reubicados por su condición de potenciales afectados por el Fenómeno de La Niña 2010-2011. </w:t>
      </w:r>
    </w:p>
    <w:p w14:paraId="096D7FEA" w14:textId="77777777" w:rsidR="009342F9" w:rsidRDefault="009342F9" w:rsidP="00FC79C1">
      <w:pPr>
        <w:spacing w:after="0" w:line="240" w:lineRule="auto"/>
        <w:jc w:val="both"/>
        <w:rPr>
          <w:rFonts w:ascii="Arial" w:eastAsia="Times New Roman" w:hAnsi="Arial" w:cs="Arial"/>
          <w:color w:val="000000"/>
          <w:lang w:eastAsia="es-CO"/>
        </w:rPr>
      </w:pPr>
      <w:bookmarkStart w:id="253" w:name="ver_30069220"/>
      <w:bookmarkEnd w:id="253"/>
    </w:p>
    <w:p w14:paraId="5C95AF66" w14:textId="1771F2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2.1.1.1.3.6.3. Trámites y documentos para la postulación. Además de acreditar los requisitos que se indican en el artículo anterior, los hogares deberán presentar el formulario de postulación debidamente diligenciado y firmado por todos los miembros mayores del hogar postulante, en el cual deberá indicarse el proyecto de vivienda urbana de interés social nueva en el cual desea aplicar el Subsidio. </w:t>
      </w:r>
    </w:p>
    <w:p w14:paraId="7576B1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74EC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postulación de los hogares ante el Fondo Nacional de Vivienda FONVIVIENDA deberá realizarse por conducto de la Gerencia Integral de cada Patrimonio Autónomo Derivado (PAD) o del tercero contratado por dicha Gerencia para cumplir con la gestión social de los hogares que se vinculen al proyecto del caso. </w:t>
      </w:r>
    </w:p>
    <w:p w14:paraId="5193F5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4A63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postulaciones podrán ser presentadas en forma permanente, serán radicadas ante el Fondo Nacional de Vivienda, FONVIVIENDA, o la entidad o el operador que este determine, y su asignación se producirá en los términos del artículo 2.1.1.1.3.6.5 de la presente sección. </w:t>
      </w:r>
    </w:p>
    <w:p w14:paraId="24E4ED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846C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la presentación del formulario de postulación se entenderá que el hogar declara bajo la gravedad de juramento que la información allí contenida corresponde a la verdad, que autoriza la verificación de la información suministrada, y que acepta su exclusión de manera automática del sistema de postulación al subsidio en caso de verificarse falsedad o fraude en la información o la documentación presentada. Igualmente, en la postulación el hogar otorgará un mandato al Fondo Nacional de Vivienda, FONVIVIENDA, para que actuando en su nombre y representación represente sus intereses ante eventuales siniestros del proyecto, frente a la fiduciaria que administre el Patrimonio Autónomo Derivado (PAD) y ante la Compañía Aseguradora, de tal manera que FONVIVIENDA, actuando en nombre y representación de los hogares beneficiarios, adelante las gestiones y actuaciones necesarias para reclamar los valores correspondientes a los subsidios asignados, si ello llegare a ser necesario. </w:t>
      </w:r>
    </w:p>
    <w:p w14:paraId="5C3F80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300F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Gerente Integral del proyecto deberá certificar que los hogares cumplen con los requisitos previstos en la presente sección para acceder al subsidio de vivienda de interés social de que aquí se trata. </w:t>
      </w:r>
    </w:p>
    <w:p w14:paraId="4DBC4E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1EC2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Con el propósito de facilitar y agilizar el proceso de postulación de los hogares el Fondo Nacional de Vivienda, FONVIVIENDA, podrá establecer mecanismos que permitan al Gerente Integral del proyecto de vivienda el cruce de la información de los posibles hogares postulantes con fuentes de información oficiales para verificar antes de la postulación el cumplimiento de los requisitos exigidos para estos. </w:t>
      </w:r>
    </w:p>
    <w:p w14:paraId="6F6EFEE5" w14:textId="625887C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54" w:name="ver_30069221"/>
      <w:bookmarkEnd w:id="254"/>
    </w:p>
    <w:p w14:paraId="10357C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2.1.1.1.3.6.4. Verificación de la información. Antes de proceder a la calificación de las postulaciones presentadas el Fondo Nacional de Vivienda, FONVIVIENDA, o la entidad o el operador que este determine verificarán la información suministrada por los postulantes. </w:t>
      </w:r>
    </w:p>
    <w:p w14:paraId="6F015D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6424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Fondo Nacional de Vivienda, FONVIVIENDA, tendrá la facultad de revisar en cualquier momento la consistencia y/o veracidad de la información suministrada por el postulante. Si antes de la asignación se determina que existe imprecisión o falta de veracidad en los datos suministrados en el formulario de solicitud del subsidio y/o en los documentos que lo acompañan, o en las condiciones o requisitos del hogar, se eliminarán las postulaciones presentadas. Así mismo, será condición resolutoria de la asignación si la imprecisión o falsedad comprobada se verifica con posterioridad a la asignación y antes del giro de la totalidad de los recursos del subsidio conforme a lo dispuesto en el numeral 2.3 del artículo 2.1.1.1.3.2.3 de la presente sección. </w:t>
      </w:r>
    </w:p>
    <w:p w14:paraId="76EBE0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19A2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Si después del giro de la totalidad de las sumas por concepto del subsidio familiar de vivienda el Fondo Nacional de Vivienda, FONVIVIENDA, comprueba que existió imprecisión en los datos suministrados en el formulario de postulación y/o en los documentos que lo acompañan, en las condiciones o requisitos de la postulación, y/o asignación, o en los documentos de cobro del subsidio, o que la información suministrada para la postulación no corresponde a la verdad, el monto entregado deberá ser restituido por el hogar beneficiario a la entidad otorgante. </w:t>
      </w:r>
      <w:proofErr w:type="gramStart"/>
      <w:r w:rsidRPr="009342F9">
        <w:rPr>
          <w:rFonts w:ascii="Arial" w:eastAsia="Times New Roman" w:hAnsi="Arial" w:cs="Arial"/>
          <w:color w:val="000000"/>
          <w:lang w:eastAsia="es-CO"/>
        </w:rPr>
        <w:t>El valor a restituir</w:t>
      </w:r>
      <w:proofErr w:type="gramEnd"/>
      <w:r w:rsidRPr="009342F9">
        <w:rPr>
          <w:rFonts w:ascii="Arial" w:eastAsia="Times New Roman" w:hAnsi="Arial" w:cs="Arial"/>
          <w:color w:val="000000"/>
          <w:lang w:eastAsia="es-CO"/>
        </w:rPr>
        <w:t xml:space="preserve"> será el monto del subsidio asignado, indexado de acuerdo con la variación porcentual del Índice de Precios al Consumidor, IPC, desde la fecha del giro del subsidio y hasta la fecha de su devolución, incrementada en los intereses corrientes civiles causados en el mismo período. </w:t>
      </w:r>
    </w:p>
    <w:p w14:paraId="3C8B55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61CA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 a lo expresado, y sin perjuicio de las demás sanciones a que haya lugar, la imprecisión en la información que se detectare en cualquier etapa del proceso, así como la comprobación de que la información suministrada para la postulación al subsidio familiar de vivienda, no corresponde a la verdad, generará la imposibilidad para solicitar de nuevo el subsidio por parte del postulante durante un término de diez (10) años, de conformidad con lo estipulado en el artículo 30 de la Ley 3ª de 1991. </w:t>
      </w:r>
    </w:p>
    <w:p w14:paraId="3DE2DB45" w14:textId="0C27228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55" w:name="ver_30069222"/>
      <w:bookmarkEnd w:id="255"/>
    </w:p>
    <w:p w14:paraId="4302B4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2.1.1.1.3.6.5. Calificación de postulantes y asignación del subsidio familiar de vivienda. Con fundamento en el listado de los hogares entregado y certificado por el Gerente Integral de cada proyecto de vivienda urbana de interés social nueva, y una vez verificada la información según lo dispuesto en el artículo anterior, el Fondo Nacional de Vivienda FONVIVIENDA individualizará los recursos y asignará los subsidios de vivienda de interés social para un número de hogares y por un monto que no podrá superar el que haya sido definido como cupo total para el proyecto del caso según lo dispuesto en el artículo 2.1.1.1.3.3.5 de la presente sección. </w:t>
      </w:r>
    </w:p>
    <w:p w14:paraId="59DCC3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3A58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asignación el Fondo Nacional de Vivienda FONVIVIENDA conformará un listado de postulantes en orden descendente, de mayor a menor conforme al puntaje obtenido luego de aplicar la fórmula de calificación establecida en el artículo 2.1.1.1.1.4.1.3 del presente decreto en sus variables B2, B3 y B6, y los criterios especiales contenidos en los parágrafos 2° y 3° de la citada norma o de aquella que lo modifique, adicione o sustituya. </w:t>
      </w:r>
    </w:p>
    <w:p w14:paraId="2A6689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B027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asignación de los Subsidios Familiares de Vivienda según a lo establecido en la presente sección será efectuada por el Fondo Nacional de Vivienda, FONVIVIENDA, dentro de los dos (2) meses siguientes al mes calendario en que se recibieron las postulaciones, de acuerdo con los requerimientos de cada Proyecto de vivienda de interés social, a los hogares de los que se predique la existencia de recursos complementarios propios o de terceros de naturaleza pública o privada, necesarios para adquirir la vivienda. </w:t>
      </w:r>
    </w:p>
    <w:p w14:paraId="12E354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1AAB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Para cada proyecto de vivienda urbana de interés social nueva el Fondo Nacional de Vivienda, FONVIVIENDA, podrá efectuar asignaciones de subsidios periódicamente, en un número inferior al total de cupos definidos conforme a lo dispuesto en el artículo 2.1.1.1.3.3.5 de la presente sección y hasta completar la totalidad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anterior, el giro de los recursos de que trata el numeral 2.2 del artículo 2.1.1.1.3.2.3 de la presente sección por concepto de los subsidios así asignados sólo se efectuará cuando se haya asignado el número de subsidios equivalente al total de los cupos definidos para el proyecto. </w:t>
      </w:r>
    </w:p>
    <w:p w14:paraId="38254D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13D4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la calificación no se exigirá, ni aplicará el criterio de puntaje SISBÉN, ni se tendrán en cuenta los ingresos del hogar postulante establecidos en la sección 2.1.1.1.1 del presente decreto como determinante del valor del subsidio familiar de vivienda. </w:t>
      </w:r>
    </w:p>
    <w:p w14:paraId="35D95A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60A1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Fondo Nacional de Vivienda FONVIVIENDA asignará los subsidios de que trata la presente sección dando preferencia a la población en situación de desplazamiento por la violencia afectada por el fenómeno de La Niña 2010-2011, y a los hogares certificados por la autoridad competente cuya única vivienda fue totalmente destruida por los efectos de dicho Fenómeno Natural y en los que ninguno de sus miembros figure como titular inscrito de la propiedad de otro inmueble en cualquier zona del país. </w:t>
      </w:r>
    </w:p>
    <w:p w14:paraId="5EC6116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56" w:name="ver_30210164"/>
      <w:bookmarkStart w:id="257" w:name="ver_30069223"/>
      <w:bookmarkEnd w:id="256"/>
    </w:p>
    <w:p w14:paraId="6F9763C7" w14:textId="37349AC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2.1.1.1.3.6.6. Valor del subsidio familiar de vivienda urbano. La cuantía del subsidio familiar de vivienda en salarios mínimos mensuales legales vigentes bajo la modalidad de adquisición de vivienda nueva que se asignará a los hogares podrá ser hasta de noventa salarios mínimos legales mensuales vigentes (90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w:t>
      </w:r>
    </w:p>
    <w:p w14:paraId="7821B4E1"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1DDBB9B0" w14:textId="4025029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hogares que con anterioridad a la entrada en vigencia del Decreto-ley 4832 de 2010 hayan sido beneficiados con el subsidio familiar de vivienda de interés social en cualquiera de sus modalidades, cuyas viviendas resultaron afectadas por el fenómeno de La Niña 2010-2011, o se encuentren ubicados en zonas de riesgo en los términos de esta sección, tendrán derecho a acceder al subsidio familiar de vivienda de conformidad con lo dispuesto en el artículo 8° del Decreto-ley 4832 de 2010, conforme a las siguientes reglas:  </w:t>
      </w:r>
    </w:p>
    <w:p w14:paraId="66E22A02"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116F5A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En caso de que el Subsidio Familiar de Vivienda otorgado haya sido asignado y legalizado ante el Fondo Nacional de Vivienda antes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Decreto-ley 4580 de 2010, y la vivienda para la que se asignó dicho subsidio haya sido totalmente destruida por los efectos del fenómeno de La Niña 2010-2011, el hogar tendrá derecho a solicitar el nuevo subsidio por el valor total indicado en el presente artículo.  </w:t>
      </w:r>
    </w:p>
    <w:p w14:paraId="33EF4484"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77E03DA8" w14:textId="434472A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Tratándose de Subsidios Familiares de Vivienda asignados con anterioridad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Decreto-ley 4580 de 2010 y no legalizados, el hogar beneficiario tendrá derecho a solicitar el ajuste del valor del subsidio asignado hasta alcanzar el monto indicado en el presente artículo para su vinculación a un proyecto de vivienda de los que trata la presente sección.  </w:t>
      </w:r>
    </w:p>
    <w:p w14:paraId="5B57B086"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70AA484B" w14:textId="3419C2E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recursos para la asignación de subsidios familiares de vivienda,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 categoría del municipio y hasta el rango de salarios mínimos legales mensuales vigentes previsto en este artículo, se atenderán hasta el monto de las apropiaciones autorizadas en el Presupuesto del Fondo Nacional de Vivienda, Fonvivienda.  </w:t>
      </w:r>
    </w:p>
    <w:p w14:paraId="2192A68B" w14:textId="77777777" w:rsidR="005A1FCF" w:rsidRPr="009342F9" w:rsidRDefault="005A1FCF" w:rsidP="00FC79C1">
      <w:pPr>
        <w:spacing w:after="0" w:line="240" w:lineRule="auto"/>
        <w:jc w:val="both"/>
        <w:rPr>
          <w:rFonts w:ascii="Arial" w:eastAsia="Times New Roman" w:hAnsi="Arial" w:cs="Arial"/>
          <w:color w:val="000000"/>
          <w:lang w:eastAsia="es-CO"/>
        </w:rPr>
      </w:pPr>
      <w:bookmarkStart w:id="258" w:name="ver_30069224"/>
      <w:bookmarkEnd w:id="257"/>
      <w:bookmarkEnd w:id="258"/>
    </w:p>
    <w:p w14:paraId="1C9D23B2" w14:textId="01E74D7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2.1.1.1.3.6.7. Vigencia del subsidio familiar de vivienda. La vigencia de los subsidios de vivienda de interés social de que trata esta sección será de seis (6) meses calendario contados desde el primer día del mes siguiente a la fecha de giro por el Patrimonio Autónomo Matriz (PAM) al respectivo Patrimonio Autónomo Derivado (PAD) de los recursos de que trata el numeral 2.2 del artículo 2.1.1.1.3.2.3 de la presente sección. </w:t>
      </w:r>
    </w:p>
    <w:p w14:paraId="536F16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CC12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todo caso, la vigencia de los subsidios familiares de vivienda otorgados con cargo a los recursos del Presupuesto Nacional podrá ser prorrogada mediante resolución expedida por el Ministerio de Vivienda, Ciudad y Territorio. </w:t>
      </w:r>
    </w:p>
    <w:p w14:paraId="6D11C5C8" w14:textId="633E568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59" w:name="ver_30069225"/>
      <w:bookmarkEnd w:id="259"/>
    </w:p>
    <w:p w14:paraId="5DDD6A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2.1.1.1.3.6.8. Aplicación de otros subsidios familiares de vivienda. De conformidad con lo dispuesto en el artículo 8° del Decreto-ley 4832 de 2010, los hogares afectados en sus viviendas por el Fenómeno de La Niña 2010- 2011 o ubicados en zonas de riesgo en los términos de esta sección, anteriormente beneficiados con Subsidios Familiares de Vivienda a través de convocatorias diferentes a las que se realicen en el marco de la presente sección podrán aplicarlos para adquirir una vivienda en los proyectos de vivienda urbana de interés social nueva que se acojan a la normatividad prevista en esta sección . </w:t>
      </w:r>
    </w:p>
    <w:p w14:paraId="1238E5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D12A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Si el subsidio asignado por otras convocatorias estuviere ya vinculado jurídicamente a un proyecto, el beneficiario sólo podrá adquirir una vivienda en un proyecto de vivienda de interés social a los que se refiere esta sección previa desvinculación del primero, mediante la resciliación de los contratos suscritos para su vinculación inicial y con la autorización expresa del oferente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Si los recursos ya hubieren sido girados a un encargo fiduciario constituido por el oferente conforme a la normatividad vigente, este y el hogar deberán autorizar el giro de los recursos al Patrimonio Autónomo Derivado (PAD) que se constituya para el desarrollo del proyecto de vivienda urbana de interés social nueva. </w:t>
      </w:r>
    </w:p>
    <w:p w14:paraId="12647A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BC73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anterior no aplicará si el oferente del proyecto no ha iniciado la construcción de las viviendas durante los dos (2) años siguientes a la asignación del Subsidio Familiar de Vivienda. En este caso sólo se requerirá la autorización del hogar beneficiario para destinar el subsidio a la adquisición de una vivienda en un proyecto de vivienda urbana de interés social nueva. </w:t>
      </w:r>
    </w:p>
    <w:p w14:paraId="74154356" w14:textId="50DF4201"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60" w:name="ver_30069226"/>
      <w:bookmarkEnd w:id="260"/>
    </w:p>
    <w:p w14:paraId="6DCACC71" w14:textId="6DEB39CC"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7</w:t>
      </w:r>
    </w:p>
    <w:p w14:paraId="1811F18E" w14:textId="0B96ACC5"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COMPLEMENTARIAS</w:t>
      </w:r>
    </w:p>
    <w:p w14:paraId="036CA630"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61" w:name="ver_30069227"/>
      <w:bookmarkEnd w:id="261"/>
    </w:p>
    <w:p w14:paraId="7A302B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2.1.1.1.3.7.1. Cesión a título gratuito. La transferencia de los inmuebles a la que se refiere el artículo 4° del Decreto-ley 4832 de 2010 se realizará a título gratuito a favor del Patrimonio Autónomo Derivado (PAD) que indique el Consejo Directivo del Fondo Nacional de Vivienda FONVIVIENDA, siempre que se trate de bienes fiscales con las características establecidas en el artículo 2.1.1.1.3.7.2 de la presente subsección y se dé cumplimiento con los siguientes trámites y requisitos: </w:t>
      </w:r>
    </w:p>
    <w:p w14:paraId="250179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9E55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Suscripción previa de un convenio entre el Fondo Nacional de Vivienda, FONVIVIENDA, la entidad que transferirá el inmueble, el Patrimonio Autónomo Matriz y el Patrimonio Autónomo Derivado (PAD) debidamente representado por la sociedad Fiduciaria que actúa como su vocero, en el cual se establezca como condición resolutoria del título traslaticio del dominio la obligación de ejecutar en el inmueble del caso, en un plazo no mayor de un año, un proyecto de vivienda urbana de interés social nueva que en cumplimiento de los requisitos y condiciones establecidas en la presente sección, prevea la atención de población afectada por el Fenómeno de La Niña 2010-2011 y/o la reubicación de hogares localizados en zonas de riesgo en los términos de la presente sección. </w:t>
      </w:r>
    </w:p>
    <w:p w14:paraId="0942E5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7D26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La entidad propietaria del inmueble deberá transferirlo a paz y salvo por concepto de impuestos, tasas, contribuciones, valorizaciones nacionales, departamentales o municipales causados con anterioridad a la transferencia del bien, y libre de gravámenes, limitaciones al dominio, querellas o litigios pendientes, contratos, ocupaciones de terceros y en general de cualquier situación que impida o limite el ejercicio pleno y exclusivo del derecho de dominio sobre el inmueble que será objeto de transferencia, situaciones todas estas que deberá verificar el Patrimonio Autónomo Derivado (PAD) y que deberá acreditar ante el Fondo Nacional de Vivienda y el Patrimonio Autónomo Matriz (PAM). </w:t>
      </w:r>
    </w:p>
    <w:p w14:paraId="6A2B60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12A9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Contar con los estudios que determinen la viabilidad jurídica, financiera y técnica para desarrollar un proyecto de vivienda urbana de interés social nueva en el lote objeto de la transferencia conforme a los lineamientos y directrices que sobre el particular imparta el Ministerio de Vivienda, Ciudad y Territorio, y con los avalúos sobre el valor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efectuados por el Instituto Geográfico Agustín Codazzi, IGAC, o por un </w:t>
      </w:r>
      <w:proofErr w:type="spellStart"/>
      <w:r w:rsidRPr="009342F9">
        <w:rPr>
          <w:rFonts w:ascii="Arial" w:eastAsia="Times New Roman" w:hAnsi="Arial" w:cs="Arial"/>
          <w:color w:val="000000"/>
          <w:lang w:eastAsia="es-CO"/>
        </w:rPr>
        <w:t>avaluador</w:t>
      </w:r>
      <w:proofErr w:type="spellEnd"/>
      <w:r w:rsidRPr="009342F9">
        <w:rPr>
          <w:rFonts w:ascii="Arial" w:eastAsia="Times New Roman" w:hAnsi="Arial" w:cs="Arial"/>
          <w:color w:val="000000"/>
          <w:lang w:eastAsia="es-CO"/>
        </w:rPr>
        <w:t xml:space="preserve"> miembro de una lonja de propiedad raíz. </w:t>
      </w:r>
    </w:p>
    <w:p w14:paraId="6FF0F4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D21B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FONVIVIENDA consultará a las entidades territoriales en donde se encuentren ubicados los bienes inmuebles fiscales sobre su interés de intervenir en la construcción de proyectos de vivienda urbana de interés social nueva con el lleno de los requisitos establecidos en la presente sección. Dichas entidades, dentro del plazo máximo de un mes calendario deberán dar respuesta en la que indiquen como mínimo los aportes que comprometerán, su disposición para administrar y vigilar el inmueble, y su capacidad para organizar la demanda de postulantes al subsidio que cumplan con los requisitos exigidos en la presente sección. </w:t>
      </w:r>
    </w:p>
    <w:p w14:paraId="5C7FBA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30A4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demás requisitos que establezca el Ministerio de Vivienda, Ciudad y Territorio. </w:t>
      </w:r>
    </w:p>
    <w:p w14:paraId="0431F1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FC4A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 las entidades territoriales concurren al saneamiento fiscal de los inmuebles para efectuar la transferencia, el valor de los tributos se puede considerar como aporte local al proyecto si así lo dispone la administración de la entidad territorial que efectúe el saneamiento del caso. </w:t>
      </w:r>
    </w:p>
    <w:p w14:paraId="7CD4498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62" w:name="ver_30069228"/>
      <w:bookmarkEnd w:id="262"/>
    </w:p>
    <w:p w14:paraId="7716A2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2.1.1.1.3.7.2. Bienes inmuebles fiscales con vocación para el desarrollo o construcción de proyectos de vivienda de interés social. Se entienden como bienes inmuebles fiscales con vocación para la destinación o construcción de proyectos de vivienda de interés social urbana, los predios o porción de ellos, ubicados en suelo urbano o de expansión urbana, con disponibilidad de servicios públicos, que puedan destinarse al desarrollo de programas de vivienda de interés social, de conformidad con las normas sobre usos del suelo adoptadas en el respectivo Plan de Ordenamiento Territorial o en los instrumentos que lo desarrollen y complementen, así como aquellos que tengan una clasificación de uso diferente al residencial y que por sus características sean propicios para el desarrollo de proyectos de vivienda. </w:t>
      </w:r>
    </w:p>
    <w:p w14:paraId="3A5A7C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6A67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los bienes inmuebles fiscales de que trata el presente artículo hayan sido clasificados con un uso diferente al residencial, las autoridades locales correspondientes determinarán las condiciones urbanísticas para el desarrollo de los programas de vivienda de interés social de que trata el presente decreto. </w:t>
      </w:r>
    </w:p>
    <w:p w14:paraId="3E3098BA" w14:textId="5FBE68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63" w:name="ver_30069229"/>
      <w:bookmarkEnd w:id="263"/>
    </w:p>
    <w:p w14:paraId="695FEA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2.1.1.1.3.7.3. Remisión normativa. En lo no previsto en la presente sección se aplicarán las disposiciones contenidas en la sección 2.1.1.1.1 y/o en aquella que la modifique, adicione o sustituya siempre que no pugnen con la naturaleza de las disposiciones aquí contenidas. </w:t>
      </w:r>
    </w:p>
    <w:p w14:paraId="1FB4A6B7"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CBAA27" w14:textId="77777777" w:rsidR="00E63A77" w:rsidRPr="009342F9" w:rsidRDefault="00E63A77" w:rsidP="00FC79C1">
      <w:pPr>
        <w:spacing w:after="0" w:line="240" w:lineRule="auto"/>
        <w:jc w:val="both"/>
        <w:rPr>
          <w:rFonts w:ascii="Arial" w:eastAsia="Times New Roman" w:hAnsi="Arial" w:cs="Arial"/>
          <w:color w:val="000000"/>
          <w:lang w:eastAsia="es-CO"/>
        </w:rPr>
      </w:pPr>
    </w:p>
    <w:p w14:paraId="0FC52800" w14:textId="6EC540BC" w:rsidR="00FC79C1" w:rsidRPr="009342F9" w:rsidRDefault="00FC79C1" w:rsidP="005A1FCF">
      <w:pPr>
        <w:spacing w:after="0" w:line="240" w:lineRule="auto"/>
        <w:jc w:val="center"/>
        <w:rPr>
          <w:rFonts w:ascii="Arial" w:eastAsia="Times New Roman" w:hAnsi="Arial" w:cs="Arial"/>
          <w:b/>
          <w:bCs/>
          <w:color w:val="000000"/>
          <w:lang w:eastAsia="es-CO"/>
        </w:rPr>
      </w:pPr>
      <w:bookmarkStart w:id="264" w:name="ver_30069230"/>
      <w:bookmarkEnd w:id="264"/>
      <w:r w:rsidRPr="009342F9">
        <w:rPr>
          <w:rFonts w:ascii="Arial" w:eastAsia="Times New Roman" w:hAnsi="Arial" w:cs="Arial"/>
          <w:b/>
          <w:bCs/>
          <w:color w:val="000000"/>
          <w:lang w:eastAsia="es-CO"/>
        </w:rPr>
        <w:t>SECCIÓN 4</w:t>
      </w:r>
    </w:p>
    <w:p w14:paraId="199C3E7A"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MADRES COMUNITARIAS</w:t>
      </w:r>
    </w:p>
    <w:p w14:paraId="1A1583D2"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65" w:name="ver_30069231"/>
      <w:bookmarkEnd w:id="265"/>
    </w:p>
    <w:p w14:paraId="466EDD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2.1.1.1.4.1. Objeto. La presente sección reglamenta el acceso al subsidio familiar de vivienda de interés social para las madres comunitarias vinculadas a los programas de hogares comunitarios de Bienestar, </w:t>
      </w:r>
      <w:proofErr w:type="spellStart"/>
      <w:r w:rsidRPr="009342F9">
        <w:rPr>
          <w:rFonts w:ascii="Arial" w:eastAsia="Times New Roman" w:hAnsi="Arial" w:cs="Arial"/>
          <w:color w:val="000000"/>
          <w:lang w:eastAsia="es-CO"/>
        </w:rPr>
        <w:t>Famis</w:t>
      </w:r>
      <w:proofErr w:type="spellEnd"/>
      <w:r w:rsidRPr="009342F9">
        <w:rPr>
          <w:rFonts w:ascii="Arial" w:eastAsia="Times New Roman" w:hAnsi="Arial" w:cs="Arial"/>
          <w:color w:val="000000"/>
          <w:lang w:eastAsia="es-CO"/>
        </w:rPr>
        <w:t xml:space="preserve"> y Madres Sustitutas, previamente certificadas por el Instituto Colombiano de Bienestar Familiar y afiliadas a las Cajas de Compensación Familiar. </w:t>
      </w:r>
    </w:p>
    <w:p w14:paraId="0593113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66" w:name="ver_30069232"/>
      <w:bookmarkEnd w:id="266"/>
    </w:p>
    <w:p w14:paraId="7607FD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2.1.1.1.4.2. Subsidio familiar de vivienda de interés social urbano a madres comunitarias. Para la presente reglamentación se entenderá por madres comunitarias a los hogares de las madres comunitarias vinculadas a los programas de hogares comunitarios de Bienestar, </w:t>
      </w:r>
      <w:proofErr w:type="spellStart"/>
      <w:r w:rsidRPr="009342F9">
        <w:rPr>
          <w:rFonts w:ascii="Arial" w:eastAsia="Times New Roman" w:hAnsi="Arial" w:cs="Arial"/>
          <w:color w:val="000000"/>
          <w:lang w:eastAsia="es-CO"/>
        </w:rPr>
        <w:t>Famis</w:t>
      </w:r>
      <w:proofErr w:type="spellEnd"/>
      <w:r w:rsidRPr="009342F9">
        <w:rPr>
          <w:rFonts w:ascii="Arial" w:eastAsia="Times New Roman" w:hAnsi="Arial" w:cs="Arial"/>
          <w:color w:val="000000"/>
          <w:lang w:eastAsia="es-CO"/>
        </w:rPr>
        <w:t xml:space="preserve"> y Madres Sustitutas, previamente certificadas por el Instituto Colombiano de Bienestar Familiar. </w:t>
      </w:r>
    </w:p>
    <w:p w14:paraId="50A2661F" w14:textId="5533666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67" w:name="ver_30069233"/>
      <w:bookmarkEnd w:id="267"/>
    </w:p>
    <w:p w14:paraId="01348E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2.1.1.1.4.3. Modalidad de subsidio familiar de vivienda. Las madres comunitarias de Bienestar, </w:t>
      </w:r>
      <w:proofErr w:type="spellStart"/>
      <w:r w:rsidRPr="009342F9">
        <w:rPr>
          <w:rFonts w:ascii="Arial" w:eastAsia="Times New Roman" w:hAnsi="Arial" w:cs="Arial"/>
          <w:color w:val="000000"/>
          <w:lang w:eastAsia="es-CO"/>
        </w:rPr>
        <w:t>Famis</w:t>
      </w:r>
      <w:proofErr w:type="spellEnd"/>
      <w:r w:rsidRPr="009342F9">
        <w:rPr>
          <w:rFonts w:ascii="Arial" w:eastAsia="Times New Roman" w:hAnsi="Arial" w:cs="Arial"/>
          <w:color w:val="000000"/>
          <w:lang w:eastAsia="es-CO"/>
        </w:rPr>
        <w:t xml:space="preserve"> y Madres Sustitutas previamente certificadas por el Instituto Colombiano de Bienestar Familiar y afiliadas a las Cajas de Compensación Familiar podrán postularse para aplicar al subsidio familiar de vivienda de interés social en las modalidades de adquisición de vivienda nueva o usada, construcción en sitio propio, mejoramiento de vivienda, y mejoramiento para vivienda saludable. </w:t>
      </w:r>
    </w:p>
    <w:p w14:paraId="3420ECD5" w14:textId="5B2689C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68" w:name="ver_30069234"/>
      <w:bookmarkEnd w:id="268"/>
    </w:p>
    <w:p w14:paraId="6E2A6D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2.1.1.1.4.4. Requisitos de postulación. Además del cumplimiento de los requisitos de postulación de que trata el artículo 2.1.1.1.1.3.3.1.1 del presente decreto, los hogares deberán presentar ante la entidad otorgante, la respectiva certificación expedida por el Instituto Colombiano de Bienestar Familiar en la que se acredite su vinculación a los programas de hogares comunitarios de Bienestar, </w:t>
      </w:r>
      <w:proofErr w:type="spellStart"/>
      <w:r w:rsidRPr="009342F9">
        <w:rPr>
          <w:rFonts w:ascii="Arial" w:eastAsia="Times New Roman" w:hAnsi="Arial" w:cs="Arial"/>
          <w:color w:val="000000"/>
          <w:lang w:eastAsia="es-CO"/>
        </w:rPr>
        <w:t>Famis</w:t>
      </w:r>
      <w:proofErr w:type="spellEnd"/>
      <w:r w:rsidRPr="009342F9">
        <w:rPr>
          <w:rFonts w:ascii="Arial" w:eastAsia="Times New Roman" w:hAnsi="Arial" w:cs="Arial"/>
          <w:color w:val="000000"/>
          <w:lang w:eastAsia="es-CO"/>
        </w:rPr>
        <w:t xml:space="preserve"> y Madres Sustitutas. </w:t>
      </w:r>
    </w:p>
    <w:p w14:paraId="0034AD76" w14:textId="677DC3E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69" w:name="ver_30210162"/>
      <w:bookmarkStart w:id="270" w:name="ver_30069235"/>
      <w:bookmarkEnd w:id="269"/>
    </w:p>
    <w:p w14:paraId="7FEF2815" w14:textId="77777777"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2.1.1.1.4.5. Valor y aplicación del subsidio familiar de vivienda. El monto del subsidio familiar de vivienda que se otorgará por una sola vez al beneficiario para vivienda nueva o usada, construcción en sitio propio, mejoramiento de vivienda y mejoramiento de vivienda saludable será hasta por los valores máximos establecidos en la sección 2.1.1.1.1 del presente decreto.  </w:t>
      </w:r>
    </w:p>
    <w:p w14:paraId="67B13DD7" w14:textId="77777777" w:rsidR="007C7D44" w:rsidRPr="009342F9" w:rsidRDefault="007C7D44" w:rsidP="00FC79C1">
      <w:pPr>
        <w:spacing w:after="0" w:line="240" w:lineRule="auto"/>
        <w:jc w:val="both"/>
        <w:rPr>
          <w:rFonts w:ascii="Arial" w:eastAsia="Times New Roman" w:hAnsi="Arial" w:cs="Arial"/>
          <w:color w:val="000000"/>
          <w:lang w:eastAsia="es-CO"/>
        </w:rPr>
      </w:pPr>
    </w:p>
    <w:p w14:paraId="14E1B1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subsidio familiar de vivienda de que trata la presente sección será aplicado en suelo urbano, en viviendas de interés social cuyo precio no sea superior a ciento treinta y cinco (135) salarios mínimos legales mensuales vigentes, y excepcionalmente, en viviendas de interés social cuyo precio no sea superior a ciento cincuenta (150) salarios mínimos legales mensuales vigentes que se ubiquen en los municipios y distritos establecidos en el título 9 de la parte 1 del libro 2 del presente decreto </w:t>
      </w:r>
    </w:p>
    <w:p w14:paraId="6E8FAA3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71" w:name="ver_30069236"/>
      <w:bookmarkEnd w:id="270"/>
      <w:bookmarkEnd w:id="271"/>
    </w:p>
    <w:p w14:paraId="188275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2.1.1.1.4.6. Mejoramiento de vivienda y mejoramiento para vivienda saludable. La aplicación del subsidio familiar de vivienda asignado en la modalidad de mejoramiento y mejoramiento para vivienda </w:t>
      </w:r>
      <w:proofErr w:type="gramStart"/>
      <w:r w:rsidRPr="009342F9">
        <w:rPr>
          <w:rFonts w:ascii="Arial" w:eastAsia="Times New Roman" w:hAnsi="Arial" w:cs="Arial"/>
          <w:color w:val="000000"/>
          <w:lang w:eastAsia="es-CO"/>
        </w:rPr>
        <w:t>saludable,</w:t>
      </w:r>
      <w:proofErr w:type="gramEnd"/>
      <w:r w:rsidRPr="009342F9">
        <w:rPr>
          <w:rFonts w:ascii="Arial" w:eastAsia="Times New Roman" w:hAnsi="Arial" w:cs="Arial"/>
          <w:color w:val="000000"/>
          <w:lang w:eastAsia="es-CO"/>
        </w:rPr>
        <w:t xml:space="preserve"> deberá contemplar prioritariamente mejoras locativas internas, que permitan el acondicionamiento de los espacios físicos en donde funcionan los programas de madres comunitarias, así como la superación de alguna carencia. </w:t>
      </w:r>
    </w:p>
    <w:p w14:paraId="5FDD92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4C31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mejoramiento estructural será el que atienda carencias en su estructura principal, cimientos, muros o cubiertas, hacinamiento y carencia o vetustez de redes eléctricas, de acueducto y alcantarillado y cuyo desarrollo exige la consecución de permisos o licencias previos ante las autoridades competentes. </w:t>
      </w:r>
    </w:p>
    <w:p w14:paraId="50195B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D973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mejoramiento básico será el que atienda carencias tales como habilitación o instalación de batería de baños, lavaderos, cocinas, pisos en tierra o en materiales inadecuados y otras condiciones relacionadas con el saneamiento y mejoramiento de fachadas con el objeto de alcanzar progresivamente soluciones de vivienda dignas sin requerir la obtención de permisos o licencias por parte de las autoridades competentes. </w:t>
      </w:r>
    </w:p>
    <w:p w14:paraId="2804C619" w14:textId="21E4CC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72" w:name="ver_30069237"/>
      <w:bookmarkEnd w:id="272"/>
    </w:p>
    <w:p w14:paraId="5A306C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2.1.1.1.4.7. Orientación y divulgación para acceder al subsidio familiar de vivienda para madres comunitarias. Las Cajas de Compensación Familiar realizarán la orientación, divulgación y debida comunicación a los hogares de las madres comunitarias con el fin de identificar la idoneidad de los oferentes que realizarán las obras de mejoramiento, los avalúos a las viviendas usadas y visita a las viviendas para que contribuya a la debida aplicación del subsidio familiar de vivienda. </w:t>
      </w:r>
    </w:p>
    <w:p w14:paraId="3E1DF6D6" w14:textId="2B4338B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73" w:name="ver_30069238"/>
      <w:bookmarkEnd w:id="273"/>
    </w:p>
    <w:p w14:paraId="1E9347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2.1.1.1.4.8. Remisión. En lo no dispuesto en esta sección se dará aplicación a la sección 2.1.1.1.1 del presente decreto y las normas que lo desarrollen, modifiquen, adicionen o sustituyan. </w:t>
      </w:r>
    </w:p>
    <w:p w14:paraId="3F764902" w14:textId="6F83CF8A"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74" w:name="ver_30069239"/>
      <w:bookmarkEnd w:id="274"/>
    </w:p>
    <w:p w14:paraId="46004DD5" w14:textId="1CFA0A9F"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14B6C603"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PARA RECICLADORES</w:t>
      </w:r>
    </w:p>
    <w:p w14:paraId="42D72E9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75" w:name="ver_30069240"/>
      <w:bookmarkEnd w:id="275"/>
    </w:p>
    <w:p w14:paraId="542243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2.1.1.1.5.1. Beneficiarios. Podrán ser beneficiarios del subsidio familiar de vivienda de interés social urbano de que trata la presente sección, los hogares conformados por dos o más personas que integren el mismo grupo familiar, cuando al menos uno de sus miembros desarrolle actividades de recuperación, tratamiento o aprovechamiento de residuos reciclables, perteneciendo a Cooperativas de Trabajo Asociado u otro tipo de grupos y asociaciones reconocidas por la ley que tengan una existencia mínima de tres años, cuyo objeto único sea la recuperación, el tratamiento y el aprovechamiento de residuos reciclables. </w:t>
      </w:r>
    </w:p>
    <w:p w14:paraId="418347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65A0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Superintendencia de Economía Solidaria enviará al Fondo Nacional de Vivienda, antes del 31 de enero de cada año, o en su defecto, antes de la apertura de la respectiva convocatoria para acceder al subsidio familiar de vivienda de interés social urbano de que trata la presente sección, la base de datos de las Cooperativas de Trabajo Asociado cuyo objeto único sea la recuperación, el tratamiento y aprovechamiento de residuos reciclables y el listado de sus respectivos asociados, la cual servirá para efectuar la verificación de la información de las postulaciones. </w:t>
      </w:r>
    </w:p>
    <w:p w14:paraId="29D65D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BF2B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efectos de verificar la información de los postulantes que pertenezcan a grupos o asociaciones diferentes a Cooperativas de Trabajo Asociado, deberá presentarse ante el Fondo Nacional de Vivienda o ante la entidad que éste determine, dentro del plazo definido en la convocatoria de postulación, copia del respectivo certificado de existencia y representación legal expedido por la Cámara de Comercio competente con una anterioridad no mayor de treinta (30) días, en donde conste que su objeto único sea la recuperación, el tratamiento y aprovechamiento de residuos reciclables. </w:t>
      </w:r>
    </w:p>
    <w:p w14:paraId="4BCE0F7F" w14:textId="77777777" w:rsid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76" w:name="ver_30069241"/>
      <w:bookmarkEnd w:id="276"/>
    </w:p>
    <w:p w14:paraId="6F17C22E" w14:textId="7B92DA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2.1.1.1.5.2. Postulación. Los hogares postulantes deberán anexar los documentos señalados en el artículo 2.1.1.1.1.3.3.1.1 del presente decreto o las normas que lo complementen, modifiquen, adicionen o sustituyan y adjuntar certificación del representante legal del grupo, asociación o Cooperativa de Trabajo Asociado, cuyo objeto único sea la recuperación, el tratamiento y aprovechamiento de residuos reciclables, en la que conste que por lo menos un miembro del hogar ostenta la condición de recuperador de residuos reciclables, desempeñándose en las labores de recuperación, tratamiento o aprovechamiento de los mismos y que se encuentra vinculado a dicho grupo, asociación o Cooperativa de Trabajo Asociado con una anterioridad mínima de tres (3) años. </w:t>
      </w:r>
    </w:p>
    <w:p w14:paraId="7D814C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5469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personas naturales o jurídicas, que suministren información o documentos falsos, incurrirán en las sanciones legales a que haya lugar, conforme a la normativa vigente. </w:t>
      </w:r>
    </w:p>
    <w:p w14:paraId="52F07C99" w14:textId="45B8FE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77" w:name="ver_30069242"/>
      <w:bookmarkEnd w:id="277"/>
    </w:p>
    <w:p w14:paraId="6EE8E0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2.1.1.1.5.3. Valor del Subsidio Familiar de Vivienda. El monto del subsidio familiar de vivienda que se otorgará a hogares que tengan como miembro del hogar a recuperadores de residuos reciclables, que desarrollen actividades de recuperación, tratamiento y aprovechamiento de los mismos, será hasta el monto máximo establecido en la normativa vigente para cada una de las modalidades del subsidio familiar de vivienda de interés social urbano, de conformidad con lo establecido en la sección 2.1.1.1.1 del presente decreto y las normas que lo modifiquen, adicionen, complementen o sustituyan y estará sujeto a la disponibilidad de recursos. </w:t>
      </w:r>
    </w:p>
    <w:p w14:paraId="770350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42E9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para dar cumplimiento a lo dispuesto en el artículo 86 de la Ley 1151 de 2007, las entidades públicas, incluidas las entidades territoriales, solo podrán invertir recursos en vivienda de interés social prioritario. </w:t>
      </w:r>
    </w:p>
    <w:p w14:paraId="6AF3EF3A" w14:textId="1C2C4CE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78" w:name="ver_30069243"/>
      <w:bookmarkEnd w:id="278"/>
    </w:p>
    <w:p w14:paraId="2B2D70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2.1.1.1.5.4. Aplicación del subsidio. El subsidio familiar de vivienda de interés social urbano de que trata esta sección se podrá aplicar a proyectos de vivienda, en las modalidades de adquisición de vivienda nueva o usada, construcción en sitio propio y mejoramiento de vivienda, dentro del respectivo departamento, de conformidad con lo señalado en el formulario de postulación. </w:t>
      </w:r>
    </w:p>
    <w:p w14:paraId="19E3ACA3" w14:textId="570D36F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79" w:name="ver_30069244"/>
      <w:bookmarkEnd w:id="279"/>
    </w:p>
    <w:p w14:paraId="4E62A9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2.1.1.1.5.5. Aplicación de la sección 2.1.1.1.1 del presente decreto. Los hogares que se postulen en la bolsa especial para recuperadores de residuos reciclables deberán cumplir con los requisitos y procedimientos establecidos en la sección 2.1.1.1.1 del presente decreto o las normas que lo modifiquen, complementen, adicionen o sustituyan. </w:t>
      </w:r>
    </w:p>
    <w:p w14:paraId="72E838F4" w14:textId="53739522"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80" w:name="ver_30069245"/>
      <w:bookmarkEnd w:id="280"/>
    </w:p>
    <w:p w14:paraId="1EDEB6BF" w14:textId="335F87C4" w:rsidR="00FC79C1" w:rsidRPr="009342F9" w:rsidRDefault="00FC79C1" w:rsidP="009342F9">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6</w:t>
      </w:r>
    </w:p>
    <w:p w14:paraId="61158325" w14:textId="77777777" w:rsidR="00FC79C1"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SUBSIDIO FAMILIAR DE VIVIENDA VINCULADO A MACROPROYECTOS</w:t>
      </w:r>
    </w:p>
    <w:p w14:paraId="73EBD4B4" w14:textId="77777777" w:rsidR="007C7D44" w:rsidRPr="009342F9" w:rsidRDefault="007C7D44" w:rsidP="005A1FCF">
      <w:pPr>
        <w:spacing w:after="0" w:line="240" w:lineRule="auto"/>
        <w:jc w:val="center"/>
        <w:rPr>
          <w:rFonts w:ascii="Arial" w:eastAsia="Times New Roman" w:hAnsi="Arial" w:cs="Arial"/>
          <w:b/>
          <w:bCs/>
          <w:color w:val="000000"/>
          <w:lang w:eastAsia="es-CO"/>
        </w:rPr>
      </w:pPr>
    </w:p>
    <w:p w14:paraId="11550068"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04FD40B8"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02A8896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81" w:name="ver_30069246"/>
      <w:bookmarkEnd w:id="281"/>
    </w:p>
    <w:p w14:paraId="16ABA4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2.1.1.1.6.1.1. Subsidio Familiar de Vivienda vinculado a Macroproyectos de Interés Social Nacional. El Subsidio Familiar de Vivienda que reglamenta la presente sección se otorga únicamente para la adquisición de vivienda nueva en los Macroproyectos de Interés Social Nacional que sean adoptados por el Ministerio de Vivienda, Ciudad y Territorio. </w:t>
      </w:r>
    </w:p>
    <w:p w14:paraId="0A923A85" w14:textId="263CC0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82" w:name="ver_30069247"/>
      <w:bookmarkEnd w:id="282"/>
    </w:p>
    <w:p w14:paraId="26DBBA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2.1.1.1.6.1.2. Recursos aportados a los Macroproyectos de Interés Social Nacional. El Fondo Nacional de Vivienda “FONVIVIENDA” y las entidades públicas legalmente habilitadas para tal efecto, podrán destinar recursos para la ejecución de los Macroproyectos de Interés Social Nacional, transfiriéndolos a los patrimonios autónomos que se constituyan para el manejo de estos, mediante la celebración de contratos de fiducia mercantil, la firma de convenios o a través de resolución de asignación. Los recursos así otorgados serán posteriormente individualizados a favor de los hogares que cumplan con las condiciones establecidas en la ley y en la presente sección, a título de Subsidio Familiar de Vivienda, mediante acto administrativo que no generará ejecución presupuestal. </w:t>
      </w:r>
    </w:p>
    <w:p w14:paraId="256177FC" w14:textId="0300C3A5" w:rsidR="00FC79C1" w:rsidRPr="009342F9" w:rsidRDefault="00FC79C1" w:rsidP="009342F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A6F48D" w14:textId="77777777" w:rsidR="005A1FCF" w:rsidRDefault="005A1FCF" w:rsidP="00FC79C1">
      <w:pPr>
        <w:spacing w:after="0" w:line="240" w:lineRule="auto"/>
        <w:jc w:val="both"/>
        <w:rPr>
          <w:rFonts w:ascii="Arial" w:eastAsia="Times New Roman" w:hAnsi="Arial" w:cs="Arial"/>
          <w:color w:val="000000"/>
          <w:lang w:eastAsia="es-CO"/>
        </w:rPr>
      </w:pPr>
      <w:bookmarkStart w:id="283" w:name="ver_30069248"/>
      <w:bookmarkEnd w:id="283"/>
    </w:p>
    <w:p w14:paraId="138DF5C9" w14:textId="77777777" w:rsidR="00E63A77" w:rsidRDefault="00E63A77" w:rsidP="00FC79C1">
      <w:pPr>
        <w:spacing w:after="0" w:line="240" w:lineRule="auto"/>
        <w:jc w:val="both"/>
        <w:rPr>
          <w:rFonts w:ascii="Arial" w:eastAsia="Times New Roman" w:hAnsi="Arial" w:cs="Arial"/>
          <w:color w:val="000000"/>
          <w:lang w:eastAsia="es-CO"/>
        </w:rPr>
      </w:pPr>
    </w:p>
    <w:p w14:paraId="2744C9A0" w14:textId="4515C803" w:rsidR="00FC79C1" w:rsidRPr="009342F9"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SUBSECCIÓN 2</w:t>
      </w:r>
    </w:p>
    <w:p w14:paraId="14F7D91E"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APLICACIÓN DE SUBSIDIOS FAMILIARES DE VIVIENDA EN MACROPROYECTOS DE INTERÉS SOCIAL NACIONAL</w:t>
      </w:r>
    </w:p>
    <w:p w14:paraId="03510D26"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84" w:name="ver_30069249"/>
      <w:bookmarkEnd w:id="284"/>
    </w:p>
    <w:p w14:paraId="57721596"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2.1.1.1.6.2.1. Aplicación de Subsidios Familiares de Vivienda en Macroproyectos de Interés Social Nacional. Los hogares beneficiarios de Subsidios Familiares de Vivienda, a través de convocatorias diferentes a las que se realicen en el marco de los Macroproyectos, podrán aplicarlos para adquirir una solución habitacional en los Macroproyectos de Interés Social Nacional adoptados por el Ministerio de Ambiente, Vivienda y Desarrollo Territorial, hoy Ministerio de Vivienda, Ciudad y Territorio, siempre que demuestren los recursos complementarios para el cierre financiero. </w:t>
      </w:r>
    </w:p>
    <w:p w14:paraId="4EB310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9997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la aplicación del Subsidio Familiar de Vivienda antes señalado, el hogar beneficiario deberá autorizar el giro de la totalidad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por parte de la entidad donde se encuentre depositado, al patrimonio autónomo mediante el cual se desarrolle el respectivo Macroproyecto y suscribir la correspondiente promesa de compraventa con la entidad fiduciaria representante de dicho patrimonio autónomo o el gestor del mismo. Los recursos así girados se destinarán a la ejecución integral del Macroproyecto, a partir de su ingreso al patrimonio autónomo. </w:t>
      </w:r>
    </w:p>
    <w:p w14:paraId="0D4633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3D65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legalización de dicho Subsidio Familiar de Vivienda se hará una vez se culmine y transfiera la solución habitacional, mediante la correspondiente escritura pública, la cual deberá ser debidamente registrada y en ella se hará constar que parte del precio de la adquisición es el Subsidio Familiar de Vivienda. En consecuencia, tendrá las restricciones de que trata la Ley 3ª de 1991. </w:t>
      </w:r>
    </w:p>
    <w:p w14:paraId="235CBA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75B1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 el Subsidio Familiar de Vivienda asignado se encuentra vinculado a un proyecto de vivienda, el beneficiario sólo podrá adquirir una solución habitacional en un Macroproyecto, previa desvinculación del proyecto, mediante la resciliación del contrato de promesa de compraventa, o con autorización expresa del oferente del proyecto. </w:t>
      </w:r>
    </w:p>
    <w:p w14:paraId="392CC2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2EDE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si los recursos ya fueron girados al encargo fiduciario constituido por el oferente, este y el hogar deberán autorizar el giro de los recursos al patrimonio autónomo constituido para el desarrollo del Macroproyecto. </w:t>
      </w:r>
    </w:p>
    <w:p w14:paraId="721D96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134D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anterior no aplicará si el oferente del proyecto no ha iniciado la construcción de las viviendas durante los dos (2) años siguientes a la asignación del Subsidio Familiar de Vivienda. En este caso sólo se requerirá la autorización del hogar beneficiario para destinar el subsidio a la adquisición de una vivienda nueva en un Macroproyecto de Interés Social Nacional. </w:t>
      </w:r>
    </w:p>
    <w:p w14:paraId="239468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8958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Adicionalmente, en el evento de cobro contra escritura, la entidad financiera depositaria de los recursos del subsidio, previa autorización del </w:t>
      </w:r>
      <w:proofErr w:type="gramStart"/>
      <w:r w:rsidRPr="009342F9">
        <w:rPr>
          <w:rFonts w:ascii="Arial" w:eastAsia="Times New Roman" w:hAnsi="Arial" w:cs="Arial"/>
          <w:color w:val="000000"/>
          <w:lang w:eastAsia="es-CO"/>
        </w:rPr>
        <w:t>hogar,</w:t>
      </w:r>
      <w:proofErr w:type="gramEnd"/>
      <w:r w:rsidRPr="009342F9">
        <w:rPr>
          <w:rFonts w:ascii="Arial" w:eastAsia="Times New Roman" w:hAnsi="Arial" w:cs="Arial"/>
          <w:color w:val="000000"/>
          <w:lang w:eastAsia="es-CO"/>
        </w:rPr>
        <w:t xml:space="preserve"> los girará directamente al patrimonio autónomo constituido para el desarrollo del Macroproyecto. </w:t>
      </w:r>
    </w:p>
    <w:p w14:paraId="2F268C16" w14:textId="27F8A9B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85" w:name="ver_30069250"/>
      <w:bookmarkEnd w:id="285"/>
    </w:p>
    <w:p w14:paraId="74D8FDA2"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2.1.1.1.6.2.2. Elegibilidad del Macroproyecto de Interés Social Nacional. Para todos los efectos, la Licencia de Construcción del Macroproyecto, o de sus etapas, hará las veces de elegibilidad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5A0D5A30" w14:textId="77777777" w:rsidR="00E63A77" w:rsidRDefault="00E63A77" w:rsidP="00FC79C1">
      <w:pPr>
        <w:spacing w:after="0" w:line="240" w:lineRule="auto"/>
        <w:jc w:val="both"/>
        <w:rPr>
          <w:rFonts w:ascii="Arial" w:eastAsia="Times New Roman" w:hAnsi="Arial" w:cs="Arial"/>
          <w:color w:val="000000"/>
          <w:lang w:eastAsia="es-CO"/>
        </w:rPr>
      </w:pPr>
    </w:p>
    <w:p w14:paraId="25336D53" w14:textId="77777777" w:rsidR="00E63A77" w:rsidRDefault="00E63A77" w:rsidP="00FC79C1">
      <w:pPr>
        <w:spacing w:after="0" w:line="240" w:lineRule="auto"/>
        <w:jc w:val="both"/>
        <w:rPr>
          <w:rFonts w:ascii="Arial" w:eastAsia="Times New Roman" w:hAnsi="Arial" w:cs="Arial"/>
          <w:color w:val="000000"/>
          <w:lang w:eastAsia="es-CO"/>
        </w:rPr>
      </w:pPr>
    </w:p>
    <w:p w14:paraId="2F49730A" w14:textId="77777777" w:rsidR="00E63A77" w:rsidRDefault="00E63A77" w:rsidP="00FC79C1">
      <w:pPr>
        <w:spacing w:after="0" w:line="240" w:lineRule="auto"/>
        <w:jc w:val="both"/>
        <w:rPr>
          <w:rFonts w:ascii="Arial" w:eastAsia="Times New Roman" w:hAnsi="Arial" w:cs="Arial"/>
          <w:color w:val="000000"/>
          <w:lang w:eastAsia="es-CO"/>
        </w:rPr>
      </w:pPr>
    </w:p>
    <w:p w14:paraId="36ADA42F" w14:textId="77777777" w:rsidR="00E63A77" w:rsidRPr="009342F9" w:rsidRDefault="00E63A77" w:rsidP="00FC79C1">
      <w:pPr>
        <w:spacing w:after="0" w:line="240" w:lineRule="auto"/>
        <w:jc w:val="both"/>
        <w:rPr>
          <w:rFonts w:ascii="Arial" w:eastAsia="Times New Roman" w:hAnsi="Arial" w:cs="Arial"/>
          <w:color w:val="000000"/>
          <w:lang w:eastAsia="es-CO"/>
        </w:rPr>
      </w:pPr>
    </w:p>
    <w:p w14:paraId="6DBBE125" w14:textId="7300C0C7" w:rsidR="00FC79C1" w:rsidRPr="009342F9" w:rsidRDefault="00FC79C1" w:rsidP="007C7D4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5BB937B5"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ASIGNACIÓN DE SUBSIDIOS FAMILIARES DE VIVIENDA EN LOS MACROPROYECTOS DE INTERÉS SOCIAL NACIONAL</w:t>
      </w:r>
    </w:p>
    <w:p w14:paraId="6B9B10E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86" w:name="ver_30069252"/>
      <w:bookmarkEnd w:id="286"/>
    </w:p>
    <w:p w14:paraId="36E4CC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2.1.1.1.6.3.1. Postulación. Verificación de la información, calificación y asignación. Las condiciones de postulación, verificación de la información, calificación de las postulaciones y asignación del Subsidio Familiar de Vivienda, serán las contenidas en los artículos 2.1.1.1.1.3.3.1.1, 2.1.1.1.1.3.3.1.2, 2.1.1.1.1.3.3.2.1, 2.1.1.1.13.3.4.1, 2.1.1.1.13.3.4.2, 2.1.1.1.14.1.1, 2.1.1.1.1.4.1.2, 2.1.1.1.1.4.1.3, 2.1.1.1.1.4.2.1 y 2.1.1.1.1.4.2.4 del presente decreto, o la norma que lo modifique, adicione o sustituya. </w:t>
      </w:r>
    </w:p>
    <w:p w14:paraId="02732A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412F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hogares que se postulen para acceder al Subsidio Familiar de Vivienda en el marco de un Macroproyecto de Interés Social Nacional deberán acreditar el cierre financiero para acceder a la solución habitacional respectiva. </w:t>
      </w:r>
    </w:p>
    <w:p w14:paraId="3ABD28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BEE7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períodos de postulación para los Macroproyectos de Interés Social Nacional, se realizarán de acuerdo con las fechas que determine el Representante Legal del Fondo Nacional de Vivienda “FONVIVIENDA”, de acuerdo con el cronograma que señale el gestor del proyecto y la postulación de los hogares, podrá realizarse a través del operador contratado, el Gerente Técnico y/o el Gestor del Macroproyecto, en las mismas condiciones de que trata la sección 2.1.1.1.1 del presente decreto, o la norma que lo modifique, adicione o sustituya, según se determine en el acto administrativo que dé apertura a la convocatoria para postulación. </w:t>
      </w:r>
    </w:p>
    <w:p w14:paraId="07BE9D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B777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efectos de la aplicación de la fórmula de calificación de que trata el artículo 2.1.1.1.1.4.1.3 del presente decreto, a los Macroproyectos, todos los postulantes tendrán un valor de puntaje del SISBÉN, igual a diez (10). </w:t>
      </w:r>
    </w:p>
    <w:p w14:paraId="376655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F834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3°. La asignación de los Subsidios Familiares de Vivienda por parte del Fondo Nacional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podrá realizarse de manera permanente de acuerdo con los requerimientos de cada Macroproyecto, a los hogares que acrediten el cierre financiero, aun antes del cierre de cada convocatoria. </w:t>
      </w:r>
    </w:p>
    <w:p w14:paraId="13A17C81" w14:textId="762FB40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87" w:name="ver_30069253"/>
      <w:bookmarkEnd w:id="287"/>
    </w:p>
    <w:p w14:paraId="35322C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2.1.1.1.6.3.2. Criterios de priorización. Una vez calificadas las postulaciones de los hogares, se dará prioridad a la asignación del Subsidio Familiar de Vivienda en los Macroproyectos, a los hogares postulados de acuerdo con los siguientes criterios, </w:t>
      </w:r>
      <w:proofErr w:type="gramStart"/>
      <w:r w:rsidRPr="009342F9">
        <w:rPr>
          <w:rFonts w:ascii="Arial" w:eastAsia="Times New Roman" w:hAnsi="Arial" w:cs="Arial"/>
          <w:color w:val="000000"/>
          <w:lang w:eastAsia="es-CO"/>
        </w:rPr>
        <w:t>quienes</w:t>
      </w:r>
      <w:proofErr w:type="gramEnd"/>
      <w:r w:rsidRPr="009342F9">
        <w:rPr>
          <w:rFonts w:ascii="Arial" w:eastAsia="Times New Roman" w:hAnsi="Arial" w:cs="Arial"/>
          <w:color w:val="000000"/>
          <w:lang w:eastAsia="es-CO"/>
        </w:rPr>
        <w:t xml:space="preserve"> en todo caso, deberán acreditar el cierre para acceder a la solución habitacional respectiva: </w:t>
      </w:r>
    </w:p>
    <w:p w14:paraId="60EC35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BE98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hogares registrados en el Registro Único de Población Desplazada. </w:t>
      </w:r>
    </w:p>
    <w:p w14:paraId="0AEEBB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982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hogares objeto de reasentamiento, de acuerdo con certificación del alcalde municipal refrendada por el CLOPAD y que se encuentren ubicados en el mismo municipio en que se desarrollará el Macroproyecto de Interés Social Nacional. En todo caso, si el Macroproyecto desde su adopción tiene como criterio la reubicación o reasentamiento de hogares por zona de riesgo, podrá destinarse el 100% de los Subsidios Familiares de Vivienda para este fin. </w:t>
      </w:r>
    </w:p>
    <w:p w14:paraId="5BC8E679" w14:textId="6D39206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88" w:name="ver_30210165"/>
      <w:bookmarkStart w:id="289" w:name="ver_30069254"/>
      <w:bookmarkEnd w:id="288"/>
    </w:p>
    <w:p w14:paraId="453EA70E" w14:textId="439D35E9"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2.1.1.1.6.3.3. Monto del Subsidio Familiar de Vivienda. El monto del Subsidio Familiar de Vivienda de que trata esta sección podrá ser hasta de noventa salarios mínimos legales mensuales vigentes (90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En todo caso, el valor del subsidio dependerá del monto de los recursos aportados por el Fondo Nacional de Vivienda en cada Macroproyecto.  </w:t>
      </w:r>
    </w:p>
    <w:p w14:paraId="0129F681" w14:textId="77777777" w:rsidR="009342F9" w:rsidRPr="009342F9" w:rsidRDefault="009342F9" w:rsidP="00FC79C1">
      <w:pPr>
        <w:spacing w:after="0" w:line="240" w:lineRule="auto"/>
        <w:jc w:val="both"/>
        <w:rPr>
          <w:rFonts w:ascii="Arial" w:eastAsia="Times New Roman" w:hAnsi="Arial" w:cs="Arial"/>
          <w:color w:val="000000"/>
          <w:lang w:eastAsia="es-CO"/>
        </w:rPr>
      </w:pPr>
    </w:p>
    <w:p w14:paraId="0F9BA63F" w14:textId="71DD99EE"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hogar solicita un valor inferior al establecido, sustentado en el cierre financiero, no se dará aplicación a lo dispuesto en el inciso último del parágrafo 4° del artículo 2.1.1.1.1.4.1.3.  </w:t>
      </w:r>
    </w:p>
    <w:p w14:paraId="5D673758" w14:textId="77777777" w:rsidR="009342F9" w:rsidRPr="009342F9" w:rsidRDefault="009342F9" w:rsidP="00FC79C1">
      <w:pPr>
        <w:spacing w:after="0" w:line="240" w:lineRule="auto"/>
        <w:jc w:val="both"/>
        <w:rPr>
          <w:rFonts w:ascii="Arial" w:eastAsia="Times New Roman" w:hAnsi="Arial" w:cs="Arial"/>
          <w:color w:val="000000"/>
          <w:lang w:eastAsia="es-CO"/>
        </w:rPr>
      </w:pPr>
    </w:p>
    <w:p w14:paraId="614570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Excepcionalmente podrá superarse el valor máximo antes señalado, cuando el grado de vulnerabilidad de los hogares y la especial situación de la entidad territorial, amerite un mayor esfuerzo del Gobierno nacional, situación que se establecerá en el acto de individualización del Subsidio Familiar de Vivienda, previa definición por medio documento </w:t>
      </w:r>
      <w:proofErr w:type="spellStart"/>
      <w:r w:rsidRPr="009342F9">
        <w:rPr>
          <w:rFonts w:ascii="Arial" w:eastAsia="Times New Roman" w:hAnsi="Arial" w:cs="Arial"/>
          <w:color w:val="000000"/>
          <w:lang w:eastAsia="es-CO"/>
        </w:rPr>
        <w:t>Conpes</w:t>
      </w:r>
      <w:proofErr w:type="spellEnd"/>
      <w:r w:rsidRPr="009342F9">
        <w:rPr>
          <w:rFonts w:ascii="Arial" w:eastAsia="Times New Roman" w:hAnsi="Arial" w:cs="Arial"/>
          <w:color w:val="000000"/>
          <w:lang w:eastAsia="es-CO"/>
        </w:rPr>
        <w:t xml:space="preserve"> en el que se indique cuál será la fuente de financiación de los recursos adicionales.  </w:t>
      </w:r>
    </w:p>
    <w:p w14:paraId="3D6E5DE7" w14:textId="66832AA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90" w:name="ver_30069255"/>
      <w:bookmarkEnd w:id="289"/>
      <w:bookmarkEnd w:id="290"/>
    </w:p>
    <w:p w14:paraId="4E154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2.1.1.1.6.3.4. Vigencia del Subsidio Familiar de Vivienda. La vigencia del Subsidio Familiar de Vivienda que se reglamenta por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es de un (1) año, contado a partir de la expedición del acto administrativo de asignación, el cual puede ser prorrogado por el Fondo Nacional de Vivienda, mediante resolución. </w:t>
      </w:r>
    </w:p>
    <w:p w14:paraId="223F4E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BA49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vencido el plazo de vigencia del Subsidio Familiar de Vivienda, sin que el hogar beneficiario haya comparecido a suscribir la correspondiente escritura pública, se entenderá que ha desistido de la asignación de dicho subsidio y en este evento se podrá asignar el Subsidio Familiar de Vivienda al hogar que lo suceda en estricto orden de ubicación, mediante resolución motivada expedida por “FONVIVIENDA”, siempre y cuando dicho hogar ratifique su interés en recibir el Subsidio a través del respectivo Macroproyecto. </w:t>
      </w:r>
    </w:p>
    <w:p w14:paraId="7AC882D0" w14:textId="5BF50EB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91" w:name="ver_30069256"/>
      <w:bookmarkEnd w:id="291"/>
    </w:p>
    <w:p w14:paraId="794F68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2.1.1.1.6.3.5. Legalización del Subsidio Familiar de Vivienda. La legalización del Subsidio Familiar de Vivienda se realiza mediante escritura pública de compraventa, la cual deberá ser suscrita, como máximo, dentro del año siguiente a la asignación de dicho subsidio y registrada dentro de los dos (2) meses siguientes. </w:t>
      </w:r>
    </w:p>
    <w:p w14:paraId="766D1D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FFBF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esta deberá indicarse el valor de la vivienda, el valor del subsidio o subsidios otorgados, el total de los miembros del hogar beneficiario, la constitución del patrimonio de familia, la condición resolutoria en caso de incurrir en la conducta señalada en el artículo 8° de la Ley 3ª de 1991 y la constitución del gravamen hipotecario, si a ello hubiere lugar. </w:t>
      </w:r>
    </w:p>
    <w:p w14:paraId="386489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0DD1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Copia del acta de entrega de la vivienda con el correspondiente recibo a satisfacción, el Certificado de Existencia de la vivienda expedido por el Gerente del Proyecto y el Certificado de Tradición y Libertad en el que conste la inscripción de la escritura pública a la cual se ha hecho referencia, deberán remitirse validadas por la entidad fiduciaria representante del patrimonio autónomo, al Fondo Nacional de Vivienda. </w:t>
      </w:r>
    </w:p>
    <w:p w14:paraId="21329B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7F28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Legalizados el total de los subsidios familiares de vivienda, vinculados a cada Macroproyecto de Interés Social Nacional, se procederá a la desvinculación de “FONVIVIENDA” del contrato Fiduciario, en su condición de beneficiario o fideicomitente, según corresponda. </w:t>
      </w:r>
    </w:p>
    <w:p w14:paraId="5D14C0A7" w14:textId="60E301A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92" w:name="ver_30069257"/>
      <w:bookmarkEnd w:id="292"/>
    </w:p>
    <w:p w14:paraId="002FB3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2.1.1.1.6.3.6. Recursos del FOVIS vinculado a Macroproyectos de Interés Social Nacional. Los hogares que se encuentren vinculados a las Cajas de Compensación </w:t>
      </w:r>
      <w:proofErr w:type="gramStart"/>
      <w:r w:rsidRPr="009342F9">
        <w:rPr>
          <w:rFonts w:ascii="Arial" w:eastAsia="Times New Roman" w:hAnsi="Arial" w:cs="Arial"/>
          <w:color w:val="000000"/>
          <w:lang w:eastAsia="es-CO"/>
        </w:rPr>
        <w:t>Familiar,</w:t>
      </w:r>
      <w:proofErr w:type="gramEnd"/>
      <w:r w:rsidRPr="009342F9">
        <w:rPr>
          <w:rFonts w:ascii="Arial" w:eastAsia="Times New Roman" w:hAnsi="Arial" w:cs="Arial"/>
          <w:color w:val="000000"/>
          <w:lang w:eastAsia="es-CO"/>
        </w:rPr>
        <w:t xml:space="preserve"> podrán acceder al Subsidio Familiar de Vivienda que otorgan estas para la adquisición de vivienda nueva en los Macroproyectos que hayan sido adoptados por el Ministerio de Ambiente, Vivienda y Desarrollo Territorial, hoy Ministerio de Vivienda, Ciudad y Territorio. </w:t>
      </w:r>
    </w:p>
    <w:p w14:paraId="410D4B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2170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subsidios otorgados por las Cajas de Compensación Familiar a los </w:t>
      </w:r>
      <w:proofErr w:type="gramStart"/>
      <w:r w:rsidRPr="009342F9">
        <w:rPr>
          <w:rFonts w:ascii="Arial" w:eastAsia="Times New Roman" w:hAnsi="Arial" w:cs="Arial"/>
          <w:color w:val="000000"/>
          <w:lang w:eastAsia="es-CO"/>
        </w:rPr>
        <w:t>beneficiarios,</w:t>
      </w:r>
      <w:proofErr w:type="gramEnd"/>
      <w:r w:rsidRPr="009342F9">
        <w:rPr>
          <w:rFonts w:ascii="Arial" w:eastAsia="Times New Roman" w:hAnsi="Arial" w:cs="Arial"/>
          <w:color w:val="000000"/>
          <w:lang w:eastAsia="es-CO"/>
        </w:rPr>
        <w:t xml:space="preserve"> serán girados de manera anticipada al patrimonio autónomo del respectivo Macroproyecto, previa suscripción de la promesa de compraventa entre el hogar beneficiario y la entidad fiduciaria representante del patrimonio autónomo, de acuerdo con lo dispuesto en la sección 2.1.1.1.1 del presente decreto y la reglamentación que expida el Fondo Nacional de Vivienda. </w:t>
      </w:r>
    </w:p>
    <w:p w14:paraId="3BF730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09EC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evento de no ejecutarse la solución habitacional vinculada al respectivo Macroproyecto, por causas no atribuibles al hogar beneficiario, el patrimonio autónomo girará a la Caja de Compensación Familiar, el monto del Subsidio Familiar de Vivienda, girado anticipadamente, junto con sus rendimientos generados a la fecha de liquidación para su devolución. </w:t>
      </w:r>
    </w:p>
    <w:p w14:paraId="38C158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366076" w14:textId="380B556D" w:rsidR="00FC79C1" w:rsidRPr="009342F9" w:rsidRDefault="00FC79C1" w:rsidP="00FC79C1">
      <w:pPr>
        <w:spacing w:after="0" w:line="240" w:lineRule="auto"/>
        <w:jc w:val="both"/>
        <w:rPr>
          <w:rFonts w:ascii="Arial" w:eastAsia="Times New Roman" w:hAnsi="Arial" w:cs="Arial"/>
          <w:color w:val="000000"/>
          <w:lang w:eastAsia="es-CO"/>
        </w:rPr>
      </w:pPr>
      <w:bookmarkStart w:id="293" w:name="ver_30069258"/>
      <w:bookmarkEnd w:id="293"/>
      <w:r w:rsidRPr="009342F9">
        <w:rPr>
          <w:rFonts w:ascii="Arial" w:eastAsia="Times New Roman" w:hAnsi="Arial" w:cs="Arial"/>
          <w:color w:val="000000"/>
          <w:lang w:eastAsia="es-CO"/>
        </w:rPr>
        <w:t>Artículo 2.1.1.1.6.3.7. Aplicación de Subsidio Familiar de Vivienda para población desplazada y afectada por situación de desastre o calamidad pública. Los beneficiarios de los Subsidios Familiares de Vivienda asignados o que se asignen por el Fondo Nacional de Vivienda a la población en situación de desplazamiento o afectada por situación de desastre o calamidad pública, debidamente acreditada por la autoridad competente, podrán autorizar su desembolso a los patrimonios autónomos constituidos para el desarrollo de Macroproyectos de Interés Social Nacional y en el marco de los mismos, se les asignará la vivienda construida en el Macroproyecto, a título de subsidio, aunque el valor de esta sea superior al valor del subsidio otorgado inicialmente. </w:t>
      </w:r>
    </w:p>
    <w:p w14:paraId="711F7B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E5F65D"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294" w:name="ver_30069259"/>
      <w:bookmarkEnd w:id="294"/>
      <w:r w:rsidRPr="009342F9">
        <w:rPr>
          <w:rFonts w:ascii="Arial" w:eastAsia="Times New Roman" w:hAnsi="Arial" w:cs="Arial"/>
          <w:b/>
          <w:bCs/>
          <w:color w:val="000000"/>
          <w:lang w:eastAsia="es-CO"/>
        </w:rPr>
        <w:t>SECCIÓN 7</w:t>
      </w:r>
    </w:p>
    <w:p w14:paraId="772905AE"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CONCEJALES</w:t>
      </w:r>
    </w:p>
    <w:p w14:paraId="7BCBD16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95" w:name="ver_30069260"/>
      <w:bookmarkEnd w:id="295"/>
    </w:p>
    <w:p w14:paraId="552C69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2.1.1.1.7.1. Campo de aplicación. La presente sección se aplica al proceso de asignación del subsidio familiar de vivienda de interés social urbano, que otorgan el Fondo Nacional de Vivienda y las Cajas de Compensación Familiar, para atender al hogar que tenga como miembro a concejales que pertenezcan a municipios de categorías 4, 5 y 6, según lo dispuesto en la Ley 617 de 2000; priorizando la asignación de los subsidios a los concejales de los municipios de categoría sexta, siempre y cuando exista disponibilidad de recursos. </w:t>
      </w:r>
    </w:p>
    <w:p w14:paraId="23C8F5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8B37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para dar cumplimiento a lo dispuesto en el artículo 86 de la Ley 1151 de 2007, las entidades públicas, incluidas las entidades territoriales, sólo podrán invertir recursos en vivienda de interés social prioritario. </w:t>
      </w:r>
    </w:p>
    <w:p w14:paraId="545A7A95" w14:textId="7E0A342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96" w:name="ver_30069261"/>
      <w:bookmarkEnd w:id="296"/>
    </w:p>
    <w:p w14:paraId="2E1D97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2.1.1.1.7.2. Postulantes. Podrán ser postulantes al subsidio familiar de vivienda de interés social urbano de que trata esta sección, los hogares conformados por dos o más personas que integren el mismo grupo familiar, que a partir de la fecha de expedición de la Ley 1148 de 2007 tengan como miembros de hogar a concejales que pertenezcan a municipios de categorías 4, 5 y 6 y que se postulen en las convocatorias de la bolsa especial para concejales que adelante el Fondo Nacional de Vivienda, cumpliendo con los requisitos y procedimientos establecidos en la sección 2.1.1.1.1del presente decreto y las demás normas que lo adicionen, complementen, modifiquen o sustituyan. </w:t>
      </w:r>
    </w:p>
    <w:p w14:paraId="405255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B13D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Cajas de Compensación Familiar podrán atender a los hogares afiliados que tengan como miembro de hogar a concejales que pertenezcan a municipios de categorías 4, 5 y 6, con el subsidio familiar de vivienda de que trata esta sección en las convocatorias regulares que adelantan dentro de sus cronogramas anuales. </w:t>
      </w:r>
    </w:p>
    <w:p w14:paraId="77A1CB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1140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hogares postulantes deberán anexar, además de los documentos señalados en el artículo 2.1.1.1.1.3.3.1.1 del presente decreto, el que demuestre que uno de sus miembros de hogar se encuentra acreditado como </w:t>
      </w:r>
      <w:proofErr w:type="gramStart"/>
      <w:r w:rsidRPr="009342F9">
        <w:rPr>
          <w:rFonts w:ascii="Arial" w:eastAsia="Times New Roman" w:hAnsi="Arial" w:cs="Arial"/>
          <w:color w:val="000000"/>
          <w:lang w:eastAsia="es-CO"/>
        </w:rPr>
        <w:t>Concejal</w:t>
      </w:r>
      <w:proofErr w:type="gramEnd"/>
      <w:r w:rsidRPr="009342F9">
        <w:rPr>
          <w:rFonts w:ascii="Arial" w:eastAsia="Times New Roman" w:hAnsi="Arial" w:cs="Arial"/>
          <w:color w:val="000000"/>
          <w:lang w:eastAsia="es-CO"/>
        </w:rPr>
        <w:t xml:space="preserve"> en la Registraduría Nacional del Estado Civil. </w:t>
      </w:r>
    </w:p>
    <w:p w14:paraId="6342555F" w14:textId="63D0A1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97" w:name="ver_30069262"/>
      <w:bookmarkEnd w:id="297"/>
    </w:p>
    <w:p w14:paraId="02D20D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2.1.1.1.7.3. Aplicación del subsidio. El subsidio familiar de vivienda de interés social urbano de que trata la presente sección se podrá aplicar en las modalidades de adquisición de vivienda nueva o usada, construcción en sitio propio y mejoramiento de vivienda, dentro del departamento donde se realizó la postulación. </w:t>
      </w:r>
    </w:p>
    <w:p w14:paraId="0A0D6C97" w14:textId="328B28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98" w:name="ver_30069263"/>
      <w:bookmarkEnd w:id="298"/>
    </w:p>
    <w:p w14:paraId="400B9B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2.1.1.1.7.4. Valor del subsidio familiar de vivienda. El monto del subsidio familiar de vivienda que se otorgará, por una sola vez, a hogares que tengan como miembro del hogar a concejales, será el solicitado hasta el monto máximo establecido en la normatividad vigente para cada una de las modalidades. </w:t>
      </w:r>
    </w:p>
    <w:p w14:paraId="0C53025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99" w:name="ver_30069264"/>
      <w:bookmarkEnd w:id="299"/>
      <w:r w:rsidRPr="009342F9">
        <w:rPr>
          <w:rFonts w:ascii="Arial" w:eastAsia="Times New Roman" w:hAnsi="Arial" w:cs="Arial"/>
          <w:color w:val="000000"/>
          <w:lang w:eastAsia="es-CO"/>
        </w:rPr>
        <w:t>Artículo 2.1.1.1.7.5. Atención prioritaria. Los hogares postulados y calificados, que participen en la Bolsa Especial para Concejales, podrán ser atendidos de manera prioritaria hasta completar la totalidad de la asignación de dichos hogares, de conformidad con el procedimiento que para el efecto establezca el Ministerio de Vivienda, Ciudad y Territorio. </w:t>
      </w:r>
    </w:p>
    <w:p w14:paraId="6A7A5EDB" w14:textId="79B30AD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00" w:name="ver_30069265"/>
      <w:bookmarkEnd w:id="300"/>
    </w:p>
    <w:p w14:paraId="7395D6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2.1.1.1.7.6. Aplicación de la sección 2.1.1.1.1 del presente decreto. En los aspectos no regulados de manera expresa en la presente sección, se dará aplicación a lo dispuesto en la sección 2.1.1.1.1 del presente decreto y las demás normas que lo modifiquen, complementen, adicionen o sustituyan. </w:t>
      </w:r>
    </w:p>
    <w:p w14:paraId="6B004C83" w14:textId="5951E387"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01" w:name="ver_30069266"/>
      <w:bookmarkEnd w:id="301"/>
    </w:p>
    <w:p w14:paraId="66588074" w14:textId="14D28335"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8</w:t>
      </w:r>
    </w:p>
    <w:p w14:paraId="6C44C352" w14:textId="77777777" w:rsidR="00FC79C1"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SUBSIDIO FAMILIAR DE VIVIENDA PARA DESASTRES NATURALES, CALAMIDAD PÚBLICA O EMERGENCIA</w:t>
      </w:r>
    </w:p>
    <w:p w14:paraId="71080B72" w14:textId="77777777" w:rsidR="007C7D44" w:rsidRPr="009342F9" w:rsidRDefault="007C7D44" w:rsidP="005A1FCF">
      <w:pPr>
        <w:spacing w:after="0" w:line="240" w:lineRule="auto"/>
        <w:jc w:val="center"/>
        <w:rPr>
          <w:rFonts w:ascii="Arial" w:eastAsia="Times New Roman" w:hAnsi="Arial" w:cs="Arial"/>
          <w:b/>
          <w:bCs/>
          <w:color w:val="000000"/>
          <w:lang w:eastAsia="es-CO"/>
        </w:rPr>
      </w:pPr>
    </w:p>
    <w:p w14:paraId="2506112F"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74CDFD3B" w14:textId="5CAC14C4"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URBANO Y RURAL OTORGADO POR EL FONDO NACIONAL DE VIVIENDA Y POR EL BANCO AGRARIO DE COLOMBIA S.A</w:t>
      </w:r>
    </w:p>
    <w:p w14:paraId="1D78B36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02" w:name="ver_30069267"/>
      <w:bookmarkEnd w:id="302"/>
    </w:p>
    <w:p w14:paraId="3A8635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2.1.1.1.8.1.1. Campo de aplicación. La presente subsección se aplica a los procesos de postulación, asignación y aplicación del Subsidio Familiar de Vivienda Urbano y Rural que otorga, respectivamente, el Fondo Nacional de Vivienda y el Banco Agrario de Colombia S.A., para la atención de hogares que han perdido la totalidad de su vivienda o esta ha sido afectada como consecuencia de una situación de desastre, calamidad pública o emergencia, debiendo para el efecto estar debidamente incluidas en los censos oficiales que con ocasión de estos hechos emita el Comité Local de Prevención y Atención de Desastres, avalados por el Comité Regional de Prevención y Atención de Desastres y refrendados por la Dirección de Prevención y Atención de Desastres del Ministerio del Interior. </w:t>
      </w:r>
    </w:p>
    <w:p w14:paraId="49CFAC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2AB6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casos en que la situación de desastre, calamidad pública o emergencia haya sido declarada como medida preventiva por encontrarse las familias ubicadas en zona de alto riesgo no mitigable, se entenderá que esta situación atiende a programas de reubicación que adelantarán las entidades territoriales para gestionar recursos del subsidio familiar de vivienda a través de las bolsas concursables establecidas por la normatividad vigente, en cumplimiento de su obligación de reubicar a las familias asentadas en zonas de alto riesgo no mitigable y de evitar nuevos asentamientos u ocupaciones en estas zonas, conforme lo dispuesto en el artículo 56 de la Ley 9ª de 1989. </w:t>
      </w:r>
    </w:p>
    <w:p w14:paraId="64AEE0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F56C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la asignación de subsidios familiares de vivienda que trata esta subsección, la entidad territorial o el oferente, una vez declarada la situación de emergencia, calamidad o desastre, deberá presentar al Fondo Nacional de Vivienda o al Banco Agrario de Colombia S.A. según corresponda, su manifestación formal de adelantar el proyecto en las modalidades de mejoramiento, construcción en sitio propio o adquisición de vivienda nueva o usada, para lo cual tendrá el término de un año, contado a partir de la fecha de declaratoria de emergencia, calamidad o desastre. Igualmente, en este período deberá comunicar al Fondo Nacional de Vivienda o al Banco Agrario de Colombia S.A. según corresponda, mediante oficio, los recursos complementarios para desarrollar el proyecto de vivienda, es decir, contar con el lote, si es el caso y acreditar la disponibilidad presupuestal para las obras de urbanismo, incluida la disponibilidad de servicios públicos, cuando corresponda. </w:t>
      </w:r>
    </w:p>
    <w:p w14:paraId="1944F2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1D38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si al vencimiento del plazo de que trata el inciso anterior, la entidad territorial o el oferente no demuestran contar con estos dos componentes, se entenderá que desiste de la solicitud de adelantar el proyecto de vivienda. </w:t>
      </w:r>
    </w:p>
    <w:p w14:paraId="4D14EA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7797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terrenos en los cuales se desarrollen los proyectos podrán ser de propiedad de la entidad territorial o de particulares vinculados jurídicamente con el municipio para tal fin. </w:t>
      </w:r>
    </w:p>
    <w:p w14:paraId="1212C25F" w14:textId="058429A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03" w:name="ver_30210166"/>
      <w:bookmarkStart w:id="304" w:name="ver_30069268"/>
      <w:bookmarkEnd w:id="303"/>
    </w:p>
    <w:p w14:paraId="74B76B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2.1.1.1.8.1.2. Valor del subsidio familiar de vivienda urbano y rural. La cuantía del subsidio familiar de vivienda urbano y rural para los hogares afectados por situaciones de desastres, calamidad pública o </w:t>
      </w:r>
      <w:proofErr w:type="gramStart"/>
      <w:r w:rsidRPr="009342F9">
        <w:rPr>
          <w:rFonts w:ascii="Arial" w:eastAsia="Times New Roman" w:hAnsi="Arial" w:cs="Arial"/>
          <w:color w:val="000000"/>
          <w:lang w:eastAsia="es-CO"/>
        </w:rPr>
        <w:t>emergencias,</w:t>
      </w:r>
      <w:proofErr w:type="gramEnd"/>
      <w:r w:rsidRPr="009342F9">
        <w:rPr>
          <w:rFonts w:ascii="Arial" w:eastAsia="Times New Roman" w:hAnsi="Arial" w:cs="Arial"/>
          <w:color w:val="000000"/>
          <w:lang w:eastAsia="es-CO"/>
        </w:rPr>
        <w:t xml:space="preserve"> se establecerá así: </w:t>
      </w:r>
    </w:p>
    <w:p w14:paraId="602A4C02" w14:textId="77777777" w:rsidR="00E63A77" w:rsidRDefault="00E63A77" w:rsidP="00FC79C1">
      <w:pPr>
        <w:spacing w:after="0" w:line="240" w:lineRule="auto"/>
        <w:jc w:val="both"/>
        <w:rPr>
          <w:rFonts w:ascii="Arial" w:eastAsia="Times New Roman" w:hAnsi="Arial" w:cs="Arial"/>
          <w:color w:val="000000"/>
          <w:lang w:eastAsia="es-CO"/>
        </w:rPr>
      </w:pPr>
    </w:p>
    <w:p w14:paraId="3BABFD9C" w14:textId="3E806E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2.1. El valor del Subsidio Familiar de Vivienda Urbano otorgado a esta población en las modalidades de adquisición de vivienda usada y construcción en sitio propio será de veintidós salarios mínimos mensuales legales vigentes (22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xml:space="preserve">); en la modalidad de adquisición de vivienda nueva podrá ser hasta de noventa salarios mínimos legales mensuales vigentes (90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w:t>
      </w:r>
    </w:p>
    <w:p w14:paraId="54126D00" w14:textId="77777777" w:rsidR="00E63A77" w:rsidRDefault="00E63A77" w:rsidP="00FC79C1">
      <w:pPr>
        <w:spacing w:after="0" w:line="240" w:lineRule="auto"/>
        <w:jc w:val="both"/>
        <w:rPr>
          <w:rFonts w:ascii="Arial" w:eastAsia="Times New Roman" w:hAnsi="Arial" w:cs="Arial"/>
          <w:color w:val="000000"/>
          <w:lang w:eastAsia="es-CO"/>
        </w:rPr>
      </w:pPr>
    </w:p>
    <w:p w14:paraId="502D1114" w14:textId="51B2D14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2.2 El valor del Subsidio Familiar de Vivienda Urbano otorgado a esta población en la modalidad de mejoramiento será de once y medio salarios mínimos mensuales (11.5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w:t>
      </w:r>
    </w:p>
    <w:p w14:paraId="6BF50A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9064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El valor del Subsidio Familiar de Vivienda Rural para los hogares afectados por situación de desastre o de calamidad pública en las modalidades de construcción y adquisición de vivienda nueva, será de hasta veinticinco (25) salarios mínimos mensuales legales vigentes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(Modificado por el Decreto 900 de 2012, artículo 29).  </w:t>
      </w:r>
    </w:p>
    <w:p w14:paraId="687133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CBEC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El valor del Subsidio Familiar de Vivienda Rural otorgado a esta población en la modalidad de mejoramiento y saneamiento básico, será de hasta quince (15) salarios mínimos mensuales legales vigentes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(Modificado por el Decreto 900 de 2012, artículo 29).  </w:t>
      </w:r>
    </w:p>
    <w:p w14:paraId="7F4628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809A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En todo caso, el valor del Subsidio de Vivienda de Interés Social Rural no podrá ser superior al ochenta por ciento (80%) del valor de la solución de mejoramiento, construcción en sitio propio o adquisición de vivienda nueva, en la fecha de asignación del subsidio. Para estos efectos el Reglamento Operativo del Programa de Vivienda de Interés Social Rural podrá determinar el componente del aporte de contrapartida. </w:t>
      </w:r>
    </w:p>
    <w:p w14:paraId="7DAA30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1112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A los hogares afectados por situaciones de desastre, calamidad pública o emergencia, no se les podrá exigir, ni aplicar el criterio de puntaje SISBÉN, ni los ingresos del hogar postulante como requisitos para la postulación al Subsidio Familiar de Vivienda, ni como determinante del valor del subsidio. </w:t>
      </w:r>
    </w:p>
    <w:p w14:paraId="7AFDB6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6219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el Departamento de Archipiélago de San Andrés, Providencia y Santa Catalina, así como en Vaupés, Guainía, Vichada y Amazonas, el Subsidio Familiar de Vivienda Rural, será aplicable en las modalidades de construcción en sitio propio y mejoramiento y su valor será de hasta veintiséis (26) salarios mínimos mensuales legales vigentes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para el primer caso y de hasta dieciocho (18) salarios mínimos mensuales legales vigentes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para el segundo caso. Para la población en situación de desplazamiento que aplique en estos Departamentos, el valor del subsidio será de hasta veintinueve (29) salarios mínimos mensuales legales vigentes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en la modalidad de vivienda nueva y de hasta veinte (20) salarios mínimos mensuales iguales vigentes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en la de mejoramiento. (Modificado por el Decreto 900 de 2012, artículo 29). </w:t>
      </w:r>
    </w:p>
    <w:p w14:paraId="38819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1648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Cuando los recursos para la construcción de proyectos de vivienda de interés social provengan de otras fuentes diferentes al Fondo Nacional de Vivienda o al Banco Agrario de Colombia S.A., estos permitirán el acceso de la entidad territorial o el oferente al Sistema de Información del Subsidio Familiar de Vivienda para la asignación de los citados recursos. </w:t>
      </w:r>
    </w:p>
    <w:p w14:paraId="17F25F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FB58E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05" w:name="ver_30069269"/>
      <w:bookmarkEnd w:id="304"/>
      <w:bookmarkEnd w:id="305"/>
      <w:r w:rsidRPr="009342F9">
        <w:rPr>
          <w:rFonts w:ascii="Arial" w:eastAsia="Times New Roman" w:hAnsi="Arial" w:cs="Arial"/>
          <w:color w:val="000000"/>
          <w:lang w:eastAsia="es-CO"/>
        </w:rPr>
        <w:t>Artículo 2.1.1.1.8.1.3. Beneficiarios. Para efectos de la aplicación de esta subsección, se consideran beneficiarios los hogares propietarios, poseedores u ocupantes conformados por una o más personas que integren el mismo grupo familiar, cuya solución habitacional se haya visto afectada por situaciones de desastre, calamidad o emergencia debidamente declaradas por las autoridades competentes y que se encuentren incluidos en los censos oficiales que con ocasión de estos hechos, emita el Comité Local de Prevención y Atención de Desastres avalados por el Comité Regional de Prevención y Atención de Desastres y refrendados por la Dirección de Prevención y Atención de Desastres del Ministerio del Interior. </w:t>
      </w:r>
    </w:p>
    <w:p w14:paraId="118F3A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C779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postulación para el subsidio familiar de vivienda en la modalidad de adquisición de vivienda nueva o </w:t>
      </w:r>
      <w:proofErr w:type="gramStart"/>
      <w:r w:rsidRPr="009342F9">
        <w:rPr>
          <w:rFonts w:ascii="Arial" w:eastAsia="Times New Roman" w:hAnsi="Arial" w:cs="Arial"/>
          <w:color w:val="000000"/>
          <w:lang w:eastAsia="es-CO"/>
        </w:rPr>
        <w:t>usada,</w:t>
      </w:r>
      <w:proofErr w:type="gramEnd"/>
      <w:r w:rsidRPr="009342F9">
        <w:rPr>
          <w:rFonts w:ascii="Arial" w:eastAsia="Times New Roman" w:hAnsi="Arial" w:cs="Arial"/>
          <w:color w:val="000000"/>
          <w:lang w:eastAsia="es-CO"/>
        </w:rPr>
        <w:t xml:space="preserve"> solo aplicará para los casos en que la vivienda afectada con ocasión de la situación de desastre, calamidad o emergencia, no pueda ser objeto de mejoramiento o de construcción en sitio propio. </w:t>
      </w:r>
    </w:p>
    <w:p w14:paraId="017D5F58" w14:textId="4B069CA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06" w:name="ver_30069270"/>
      <w:bookmarkEnd w:id="306"/>
    </w:p>
    <w:p w14:paraId="41BF74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2.1.1.1.8.1.4. Requisitos y documentos para la postulación. Para efectos de la postulación al Subsidio Familiar de Vivienda de que trata esta subsección, los hogares deberán cumplir con el requisito único de estar inscritos en los censos oficiales que con ocasión de desastres, calamidades públicas o emergencias, emita el Comité Local de Prevención y Atención de Desastres avalados por el Comité Regional de Prevención y Atención de Desastres y refrendados por la Dirección de Prevención y Atención de Desastres del Ministerio del Interior y deberán presentar, dentro de las fechas de apertura y cierre de las convocatorias para los subsidios urbanos y rurales, respectivamente, el formulario de postulación debidamente diligenciado y firmado por todos los miembros mayores del hogar postulante, en el cual deberá indicarse la modalidad de subsidio familiar de vivienda a la cual se aspira. </w:t>
      </w:r>
    </w:p>
    <w:p w14:paraId="68DDBD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AEB7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la presentación del formulario de postulación se entenderá que el hogar declara bajo la gravedad de juramento que la información allí contenida corresponde a la verdad, autoriza para verificar la información suministrada, y acepta su exclusión de manera automática del sistema de postulación al subsidio en caso de verificarse falsedad o fraude en la información o la documentación. </w:t>
      </w:r>
    </w:p>
    <w:p w14:paraId="52C70D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5FBC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las personas cuyas viviendas hayan sido afectadas por desastres, calamidades públicas o emergencias debidamente decretadas por las autoridades competentes y que figuren en los respectivos censos de que trata el presente artículo, podrán ser beneficiarios del subsidio de vivienda, sin perjuicio de que figuren registrados como propietarios de más de un inmueble en el territorio nacional. </w:t>
      </w:r>
    </w:p>
    <w:p w14:paraId="28C7CD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1A3D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caso de reubicación, para efectos del desembolso del subsidio familiar de vivienda, el hogar deberá demostrar la transferencia del derecho de dominio o posesión del inmueble desalojado a la respectiva entidad territorial mediante certificación expedida por esta. </w:t>
      </w:r>
    </w:p>
    <w:p w14:paraId="4DB2B6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054A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postulación al Subsidio Familiar de Vivienda Rural se deberá realizar de conformidad con el procedimiento establecido para tal efecto en el Decreto Único del Sector de Agricultura y Desarrollo Rural o la norma que lo modifique, adicione o sustituya. </w:t>
      </w:r>
    </w:p>
    <w:p w14:paraId="44A3403F" w14:textId="45B394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07" w:name="ver_30069271"/>
      <w:bookmarkEnd w:id="307"/>
    </w:p>
    <w:p w14:paraId="45E49C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2.1.1.1.8.1.5. Asignación del subsidio familiar de vivienda urbano y rural. Los hogares postulantes serán objeto de asignación previo el cumplimiento de los requisitos establecidos en esta subsección así: </w:t>
      </w:r>
    </w:p>
    <w:p w14:paraId="6E6273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06E4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5.1 Para el subsidio familiar de vivienda urbano, los hogares quedarán organizados en forma descendente de mayor a menor puntaje y serán asignados hasta agotar los recursos destinados por el Fondo Nacional de Vivienda para atender la emergencia de acuerdo con lo estipulado en los artículos 2.1.1.1.14.1.2 y 2.1.1.1.1.4.1.3 del presente decreto. </w:t>
      </w:r>
    </w:p>
    <w:p w14:paraId="6D7712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08DD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5.2 Para el subsidio familiar de vivienda rural, la asignación se realizará de conformidad con lo establecido en el Decreto Único del Sector de Agricultura y Desarrollo Rural. </w:t>
      </w:r>
    </w:p>
    <w:p w14:paraId="1B7E1735" w14:textId="246E31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08" w:name="ver_30069272"/>
      <w:bookmarkEnd w:id="308"/>
    </w:p>
    <w:p w14:paraId="4F4D11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2.1.1.1.8.1.6. Condiciones para la aplicación del subsidio familiar de vivienda urbano y rural. Las condiciones para la aplicación del subsidio familiar de vivienda urbano y rural serán así: </w:t>
      </w:r>
    </w:p>
    <w:p w14:paraId="5AB03B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E515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 Para el subsidio familiar de vivienda urbano los hogares deberán identificar en el formulario de postulación, el programa y la modalidad a la que postulan. Las condiciones de postulación se mantendrán vigentes durante todo el proceso de asignación y pago del subsidio familiar de vivienda y se realizará exclusivamente a través de programas que desarrollen los siguientes componentes: </w:t>
      </w:r>
    </w:p>
    <w:p w14:paraId="3070D3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6013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6.1.1 Programa de reubicación urbano: </w:t>
      </w:r>
    </w:p>
    <w:p w14:paraId="47D105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CFD6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Se orienta a resolver aquellos casos de afectación en las viviendas que, por el lugar donde se encuentran localizadas, no sea posible la reconstrucción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xml:space="preserve"> en razón de la disminución en la capacidad portante del terreno, o la inminente situación de riesgo no mitigable. Consiste en facilitar la reubicación de los hogares afectados en el mismo municipio u otro distinto del que habitaban, siguiendo las siguientes directrices: </w:t>
      </w:r>
    </w:p>
    <w:p w14:paraId="18708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FB20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6.1.1.1 Se promoverán las modalidades de adquisición de vivienda nueva para aplicación del subsidio en los planes de vivienda de interés social formulados por la entidad territorial, agotado lo anterior, se procurará la aplicación de los subsidios para la adquisición de vivienda nueva en los planes de vivienda existentes en el municipio; luego se aplicará para la adquisición de vivienda usada, lo anterior de acuerdo con los siguientes criterios: </w:t>
      </w:r>
    </w:p>
    <w:p w14:paraId="500F09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F651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6.1.1.1.1 En los casos en que en el municipio donde acaecieron los hechos no se presente oferta de vivienda, la entidad territorial formulará planes de vivienda de interés social. Los subsidios familiares de vivienda que otorgue el Fondo Nacional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serán orientados en cuanto a su aplicación a estos proyectos. </w:t>
      </w:r>
    </w:p>
    <w:p w14:paraId="639D0A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B21B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6.1.1.1.2 El subsidio podrá ser aplicado por los hogares en cualquiera de los planes de vivienda declarados elegibles. </w:t>
      </w:r>
    </w:p>
    <w:p w14:paraId="3DE250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3F0E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6.1.1.2 El subsidio también podrá aplicarse para la adquisición de una vivienda usada entendiendo esta como aquella que cuenta con una o más inscripciones de propietarios en su respectivo folio de matrícula inmobiliaria de conformidad con lo establecido en el artículo 5° de la Ley 351 de 1991. En caso de la modalidad de vivienda usada, el subsidio debe aplicarse en un inmueble ubicado en un barrio legalizado y con servicios públicos, que tenga licencia de construcción y la titularidad del derecho de dominio en cabeza del vendedor debidamente demostrada por el certificado de tradición y libertad. </w:t>
      </w:r>
    </w:p>
    <w:p w14:paraId="441D95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F79A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6.1.1.3 Aquellos hogares que cuenten con un lote de su propiedad podrán aplicar el subsidio en la construcción de una vivienda en este, ajustándose a lo dispuesto en el numeral 2.6.3 del artículo 2.1.1.1.1.1.2 del presente decreto. </w:t>
      </w:r>
    </w:p>
    <w:p w14:paraId="5EDBD8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1ED2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la reubicación de los hogares que trata esta subsección, el Gobierno Nacional promoverá la formulación de planes de vivienda de interés social que sean desarrollados por las entidades territoriales. </w:t>
      </w:r>
    </w:p>
    <w:p w14:paraId="4070B6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1802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se trate de programas de reubicación, se deberá presentar ante el Fondo Nacional de Vivienda o su operador autorizado, certificado de cofinanciación de la entidad territorial para la ejecución del plan de vivienda. </w:t>
      </w:r>
    </w:p>
    <w:p w14:paraId="171C73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934B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De conformidad con lo previsto en la Ley 1523 de 2012 y el literal d) del numeral primero del artículo 10 de la Ley 388 de 1997, corresponderá al municipio delimitar las zonas de alto riesgo no mitigable por situación de desastre, situación de calamidad pública o emergencias previstas en el artículo 2.1.1.1.8.1.1 de esta subsección. Con la delimitación se establecerán las restricciones de uso y ocupación con miras a la prohibición de licencias de construcción para realizar edificaciones en estos predios. </w:t>
      </w:r>
    </w:p>
    <w:p w14:paraId="62CAF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1674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igual manera, corresponderá a los municipios definir los programas para el manejo y control de las áreas liberadas con el fin de evitar que estas sean habitadas nuevamente. Se entenderá que estas disposiciones se incorporan al plan de ordenamiento territorial del respectivo municipio. </w:t>
      </w:r>
    </w:p>
    <w:p w14:paraId="188375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364B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6.1.2 Programa de Mejoramiento de Vivienda Urbana: </w:t>
      </w:r>
    </w:p>
    <w:p w14:paraId="6C08D3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9724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 aquel por el cual el beneficiario del subsidio supera una o varias de las carencias básicas de la vivienda conforme a lo establecido en el artículo 2.1.1.1.1.1.2 numeral 2.6.4 del presente decreto, perteneciente a un desarrollo legal o legalizado, o una edificación, siempre y cuando su título de propiedad se encuentre inscrito en la Oficina de Registro de Instrumentos Públicos a nombre de uno cualquiera de los miembros del hogar. </w:t>
      </w:r>
    </w:p>
    <w:p w14:paraId="267141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D8F0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desembolso del subsidio familiar de vivienda para mejoramiento de vivienda o construcción en sitio propio, es necesario que estas no se encuentren ubicadas en zona de alto riesgo no mitigable. Para aquellas que se encuentren en zonas de alto riesgo mitigable, el municipio deberá garantizar la ejecución de las obras necesarias para mitigar el riesgo. </w:t>
      </w:r>
    </w:p>
    <w:p w14:paraId="5A8B7C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24E5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 Para el subsidio familiar de vivienda rural, los hogares deberán hacer la postulación de acuerdo con la metodología de postulación establecida para el programa de vivienda de interés social rural y para los tipos de solución contemplados en el Decreto Único del Sector de Agricultura y Desarrollo Rural. </w:t>
      </w:r>
    </w:p>
    <w:p w14:paraId="068E33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5C11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6.2.1 Programa de reubicación rural: </w:t>
      </w:r>
    </w:p>
    <w:p w14:paraId="1F1BD3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919D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Este se orienta a resolver aquellos casos de afectación grave en las viviendas y terrenos donde están localizadas y que no sea posible la reconstrucción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en razón de la disminución en la capacidad portante del terreno donde están localizadas, o la inminente situación de riesgo no mitigable, que consiste en facilitar la reubicación de los hogares afectados en el mismo municipio u otro distinto del que habitaban. Para lo cual los hogares realizarán su postulación para construcción de vivienda en sitio propio o adquisición de vivienda nueva. </w:t>
      </w:r>
    </w:p>
    <w:p w14:paraId="325605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2028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conformidad con lo previsto en la Ley 1523 de 2012 y el literal d) del numeral primero del artículo 10 de la Ley 388 de 1997, corresponderá al municipio delimitar las zonas de alto riesgo no mitigable por situación de desastre, situación de calamidad pública o emergencias previstas en el 2.1.1.1.8.1.1 de esta subsección. Con la delimitación se establecerán las restricciones de uso y ocupación con miras a la prohibición de licencias de construcción para realizar edificaciones en estos predios. </w:t>
      </w:r>
    </w:p>
    <w:p w14:paraId="51CDD3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2E1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igual manera, corresponderá a los municipios definir los programas para el manejo y control de las áreas liberadas con el fin de evitar que estas sean habitadas nuevamente. Se entenderá que estas disposiciones se incorporan al plan de ordenamiento territorial del respectivo municipio. </w:t>
      </w:r>
    </w:p>
    <w:p w14:paraId="62C0E3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D6B1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Asimismo, en caso de reubicación demostrar la entrega del inmueble desalojado al municipio mediante certificación expedida por este. Este requisito debe cumplirse para efectos del desembolso del subsidio familiar de vivienda. </w:t>
      </w:r>
    </w:p>
    <w:p w14:paraId="737570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78F5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6.2.2 Programa de Mejoramiento de Vivienda Rural: </w:t>
      </w:r>
    </w:p>
    <w:p w14:paraId="6A62C6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63CA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este programa se aplicará lo dispuesto en el Decreto Único del Sector de Agricultura y Desarrollo Rural. </w:t>
      </w:r>
    </w:p>
    <w:p w14:paraId="0B3E21F7" w14:textId="1AD65CD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09" w:name="ver_30069273"/>
      <w:bookmarkEnd w:id="309"/>
    </w:p>
    <w:p w14:paraId="69A9B9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2.1.1.1.8.1.7. Planes de vivienda urbana y rural. Para el caso de planes de vivienda urbanos, se entienden como aquellas soluciones de vivienda de interés social urbanas subsidiables o el conjunto de ellas, dentro de las modalidades de adquisición de vivienda nueva o usada, construcción en sitio propio o mejoramiento, establecidas en el artículo anterior, desarrollados por oferentes que cumplan con las normas legales vigentes que le sean aplicables. En los casos de construcción en sitio propio y mejoramiento de vivienda, las soluciones pueden ser nucleadas o dispersas, objeto de una o varias licencias de construcción. </w:t>
      </w:r>
    </w:p>
    <w:p w14:paraId="2F369E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5D4C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proyectos de Vivienda de Interés Social Rural establecidos en la presente subsección, cada proyecto de vivienda de interés social rural estará conformado por máximo 100 soluciones de vivienda subsidiable. Las Entidades Oferentes determinadas en el Decreto Único del Sector de Agricultura y Desarrollo Rural o la norma que lo modifique, adicione o sustituya, podrán presentar el número de proyectos que se requieran para postular a los hogares debidamente incluidos en los censos oficiales que con ocasión de desastres, calamidades públicas o emergencias, emita el Comité Local de Prevención y Atención de Desastres avalados por el Comité Regional de Prevención y Atención de Desastres y refrendados por la Dirección de Prevención y Atención de Desastres del Ministerio del Interior. </w:t>
      </w:r>
    </w:p>
    <w:p w14:paraId="5F3B76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3AF6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aquellos planes de vivienda urbanos que atiendan a población afectada por situaciones de desastre o situación de calamidad pública o emergencia, la cual se encuentre incluida en los censos oficiales que con ocasión de estos hechos, emita el Comité Local de Prevención y Atención de Desastres avalados por el Comité Regional de Prevención y Atención de Desastres y refrendados por la Dirección de Prevención y Atención de Desastres del Ministerio del Interior, la elegibilidad se entenderá dada por la licencia de construcción en los planes de vivienda formulados por las entidades territoriales o los oferentes, presentados en las modalidades de adquisición de vivienda nueva, construcción en sitio propio o mejoramiento, sin importar la categoría que ostente el municipio. Todos los aspectos legales, técnicos y financieros que garanticen la viabilidad para la ejecución del plan de vivienda deben estar debidamente certificados por la entidad territorial. </w:t>
      </w:r>
    </w:p>
    <w:p w14:paraId="6B223F99" w14:textId="4E5DE5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10" w:name="ver_30069274"/>
      <w:bookmarkEnd w:id="310"/>
    </w:p>
    <w:p w14:paraId="1BEEBB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2.1.1.1.8.1.8. Aplicación de la sección 2.1.1.1.1 del presente decreto y del Decreto Único del Sector de Agricultura y Desarrollo Rural. En lo no previsto en esta subsección, se aplicará lo dispuesto en la sección 2.1.1.1.1 del presente decreto y en el Decreto Único del Sector de Agricultura y Desarrollo Rural y las normas que los sustituyan, modifiquen o adicionen. </w:t>
      </w:r>
    </w:p>
    <w:p w14:paraId="5006A90C" w14:textId="18247A41" w:rsidR="00FC79C1" w:rsidRPr="009342F9" w:rsidRDefault="00FC79C1" w:rsidP="00FC79C1">
      <w:pPr>
        <w:spacing w:after="0" w:line="240" w:lineRule="auto"/>
        <w:jc w:val="both"/>
        <w:rPr>
          <w:rFonts w:ascii="Arial" w:eastAsia="Times New Roman" w:hAnsi="Arial" w:cs="Arial"/>
          <w:color w:val="000000"/>
          <w:lang w:eastAsia="es-CO"/>
        </w:rPr>
      </w:pPr>
    </w:p>
    <w:p w14:paraId="2A90116B"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11" w:name="ver_30069275"/>
      <w:bookmarkEnd w:id="311"/>
      <w:r w:rsidRPr="009342F9">
        <w:rPr>
          <w:rFonts w:ascii="Arial" w:eastAsia="Times New Roman" w:hAnsi="Arial" w:cs="Arial"/>
          <w:b/>
          <w:bCs/>
          <w:color w:val="000000"/>
          <w:lang w:eastAsia="es-CO"/>
        </w:rPr>
        <w:t>SUBSECCIÓN 2</w:t>
      </w:r>
    </w:p>
    <w:p w14:paraId="73F90A76"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URBANO Y RURAL OTORGADO POR CAJAS DE COMPENSACIÓN FAMILIAR</w:t>
      </w:r>
    </w:p>
    <w:p w14:paraId="341353D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12" w:name="ver_30069327"/>
      <w:bookmarkEnd w:id="312"/>
    </w:p>
    <w:p w14:paraId="64844C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2.1.1.1.8.2.1. Objeto. La presente subsección reglamenta el proceso de postulación, asignación y desembolso del subsidio familiar de vivienda de interés social en dinero para áreas urbanas, que otorgan las Cajas de Compensación Familiar obligadas a constituir FOVIS para la atención prioritaria de los hogares afiliados que han perdido la totalidad de su solución de vivienda o que esta haya sido afectada como consecuencia de una situación de desastre, calamidad pública o emergencias que se presenten o puedan acaecer por eventos de origen natural y para aquellos que por causa de estas situaciones queden en condiciones de alto riesgo no mitigable. </w:t>
      </w:r>
    </w:p>
    <w:p w14:paraId="5218F573" w14:textId="77777777" w:rsidR="009342F9" w:rsidRDefault="009342F9" w:rsidP="00FC79C1">
      <w:pPr>
        <w:spacing w:after="0" w:line="240" w:lineRule="auto"/>
        <w:jc w:val="both"/>
        <w:rPr>
          <w:rFonts w:ascii="Arial" w:eastAsia="Times New Roman" w:hAnsi="Arial" w:cs="Arial"/>
          <w:color w:val="000000"/>
          <w:lang w:eastAsia="es-CO"/>
        </w:rPr>
      </w:pPr>
      <w:bookmarkStart w:id="313" w:name="ver_30069328"/>
      <w:bookmarkEnd w:id="313"/>
    </w:p>
    <w:p w14:paraId="65CAE634" w14:textId="28D0174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2.1.1.1.8.2.2. Valor del subsidio familiar de vivienda urbano. El valor del Subsidio Familiar de Vivienda Urbano otorgado por las Cajas de Compensación Familiar a sus hogares afiliados afectados de que trata esta subsección, en las modalidades de adquisición de vivienda nueva o usada y construcción en sitio propio será de veintidós salarios mínimos mensuales legales vigentes (22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xml:space="preserve">), y en la modalidad de mejoramiento será de once y medio salarios mínimos mensuales legales vigentes (11.5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sin consideración alguna del puntaje de SISBÉN y de los ingresos de los hogares postulantes. </w:t>
      </w:r>
    </w:p>
    <w:p w14:paraId="33EE58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CE60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En el departamento Archipiélago de San Andrés, Providencia y Santa Catalina el Subsidio Familiar de Vivienda Urbano de que trata esta subsección, será aplicable en las modalidades de adquisición de vivienda nueva o usada, construcción en sitio propio y mejoramiento y su valor será de veintidós salarios mínimos legales mensuales vigentes (22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w:t>
      </w:r>
    </w:p>
    <w:p w14:paraId="399F7E73" w14:textId="16C2FBC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14" w:name="ver_30069329"/>
      <w:bookmarkEnd w:id="314"/>
    </w:p>
    <w:p w14:paraId="36C2C1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2.1.1.1.8.2.3. Postulantes. Podrán solicitar la asignación prioritaria del Subsidio Familiar de Vivienda de Interés Social Urbano, los hogares conformados por una o más personas afiliadas a las Cajas de Compensación Familiar que hayan perdido la totalidad de su vivienda o esta haya sido afectada como consecuencia de una situación de desastre, calamidad pública o emergencia que se presente o pueda acaecer por eventos de origen natural y para aquellos que por causa de estas situaciones queden en condición de zona de alto riesgo no mitigable conforme a lo dispuesto en la Ley 1523 de 2012. </w:t>
      </w:r>
    </w:p>
    <w:p w14:paraId="19A48F88" w14:textId="3988CC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15" w:name="ver_30069330"/>
      <w:bookmarkEnd w:id="315"/>
    </w:p>
    <w:p w14:paraId="592317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2.1.1.1.8.2.4. Requisitos y documentos para la postulación. Para efectos de la postulación al Subsidio Familiar de Vivienda Urbana de que trata esta subsección, los hogares deberán cumplir con el requisito único de estar inscritos en los censos oficiales que con ocasión de desastres, calamidades públicas o emergencias, emita al Comité Local de Prevención y Atención de Desastres avalados por el Comité Regional de Prevención y Atención de Desastres y refrendados por la Dirección de Prevención y Atención de Desastres del Ministerio del Interior y deberán presentar, en las fechas de apertura y cierre de la convocatoria ante la respectiva Caja de Compensación Familiar, el formulario de postulación debidamente diligenciado y firmado por todos los miembros mayores del hogar postulante, en el cual deberá indicarse la modalidad de subsidio familiar de vivienda a la cual se aspira. </w:t>
      </w:r>
    </w:p>
    <w:p w14:paraId="3236E0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5525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la presentación del formulario de postulación, ante la respectiva Caja de Compensación Familiar, se entenderá que el hogar declara bajo la gravedad de juramento que la información allí contenida corresponde a la verdad, autoriza para verificar la información suministrada, y acepta su exclusión de manera automática del sistema de postulación al subsidio en caso de verificarse falsedad o fraude en la información o la documentación. </w:t>
      </w:r>
    </w:p>
    <w:p w14:paraId="23823B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439C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las personas cuyas viviendas hayan sido afectadas por desastres, calamidades públicas o emergencias debidamente decretadas por las autoridades competentes y que figuren en los respectivos censos de que trata el presente artículo, podrán ser beneficiarios del subsidio de vivienda, sin perjuicio de que figuren registrados como propietarios de más de un inmueble en el territorio nacional. </w:t>
      </w:r>
    </w:p>
    <w:p w14:paraId="7AE6C4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FCE0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caso de reubicación, para efectos del desembolso del subsidio familiar de vivienda, el hogar deberá demostrar la transferencia del derecho de dominio o posesión del inmueble desalojado a la respectiva entidad territorial mediante certificación expedida por esta. </w:t>
      </w:r>
    </w:p>
    <w:p w14:paraId="6DDD4B54" w14:textId="5DF86FEC" w:rsidR="00FC79C1" w:rsidRPr="009342F9" w:rsidRDefault="00FC79C1" w:rsidP="009342F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1990B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16" w:name="ver_30069331"/>
      <w:bookmarkEnd w:id="316"/>
      <w:r w:rsidRPr="009342F9">
        <w:rPr>
          <w:rFonts w:ascii="Arial" w:eastAsia="Times New Roman" w:hAnsi="Arial" w:cs="Arial"/>
          <w:color w:val="000000"/>
          <w:lang w:eastAsia="es-CO"/>
        </w:rPr>
        <w:t>Artículo 2.1.1.1.8.2.5. Criterios para la calificación y determinación de los puntajes de las postulaciones. Para efectos de determinar el puntaje de calificación de cada postulación, se dará aplicación a lo dispuesto en los artículos 2.1.1.1.14.1.2 y 2.1.1.1.1.4.1.3 del presente decreto, sumando doscientos (200) puntos adicionales por encontrarse el hogar en situación de desastre, calamidad pública o emergencia que se presente o pueda acaecer por eventos de origen natural y en condiciones de alto riesgo no mitigable. </w:t>
      </w:r>
    </w:p>
    <w:p w14:paraId="192F4C8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17" w:name="ver_30069332"/>
      <w:bookmarkEnd w:id="317"/>
    </w:p>
    <w:p w14:paraId="469777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2.1.1.1.8.2.6. Desembolso del subsidio. Para efectos del desembolso del subsidio, el hogar deberá aportar una certificación emitida por la entidad territorial en la que conste que el bien afectado quedó ubicado en zona de alto riesgo no mitigable por situación de desastre, calamidad pública o emergencia, con la consecuente restricción de uso y habitación, de conformidad con lo establecido en el parágrafo 3° del artículo 2.1.1.1.8.1.6. </w:t>
      </w:r>
    </w:p>
    <w:p w14:paraId="2CC4B3A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18" w:name="ver_30069333"/>
      <w:bookmarkEnd w:id="318"/>
    </w:p>
    <w:p w14:paraId="112E03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2.1.1.1.8.2.7. Aspectos no regulados. En los aspectos no contemplados en esta normativa, se dará aplicación a lo dispuesto en la sección 2.1.1.1.1 del presente decreto y las normas que lo sustituyan, modifiquen o adicionen. </w:t>
      </w:r>
    </w:p>
    <w:p w14:paraId="1AF47EB8" w14:textId="45C28A23"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19" w:name="ver_30069334"/>
      <w:bookmarkEnd w:id="319"/>
    </w:p>
    <w:p w14:paraId="06C1A23C" w14:textId="0C9DC0A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9</w:t>
      </w:r>
    </w:p>
    <w:p w14:paraId="4D799C6E"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PARA AFECTADOS POR ATENTADOS TERRORISTAS</w:t>
      </w:r>
    </w:p>
    <w:p w14:paraId="4D73107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20" w:name="ver_30069335"/>
      <w:bookmarkEnd w:id="320"/>
    </w:p>
    <w:p w14:paraId="524C4D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2.1.1.1.9.1. Subsidio para poseedores afectados por atentados terroristas. Los hogares afectados por un atentado terrorista, que ostenten a título de posesión el predio afectado, podrán postularse a un subsidio familiar de vivienda en la convocatoria que para el efecto adelante el Fondo Nacional de Vivienda, siempre y cuando demuestren que tienen el inmueble en forma quieta, pacífica e ininterrumpida en los términos de la legislación civil, y lo constaten por cualquiera de los medios probatorios que la misma prevé. </w:t>
      </w:r>
    </w:p>
    <w:p w14:paraId="545162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38D4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otorgamiento del subsidio familiar de vivienda no conlleva pronunciamiento alguno sobre la titularidad de derechos reales ni de la posesión sobre el inmueble al cual se le aplique el subsidio. </w:t>
      </w:r>
    </w:p>
    <w:p w14:paraId="0C3726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C865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las modalidades de reparación y reconstrucción de vivienda, el hogar postulante deberá presentar el presupuesto de la obra suscrito por un ingeniero o arquitecto que cuente con su respectiva tarjeta profesional, o en su defecto, aprobado por el Jefe de Planeación Municipal o la oficina que se encargue de otorgar las licencias o permisos de construcción. </w:t>
      </w:r>
    </w:p>
    <w:p w14:paraId="34E8E3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6DFB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casos de obra ejecutada, para efectos del desembolso de los subsidios familiares de vivienda de que trata este artículo, aplicados en las modalidades de reconstrucción o reparación de la vivienda afectada, el hogar beneficiario deberá presentar la licencia correspondiente y el certificado de existencia del inmueble expedido por las entidades habilitadas por el Gobierno Nacional para tal fin. </w:t>
      </w:r>
    </w:p>
    <w:p w14:paraId="4748CE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2F7A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intervención en el inmueble no amerite la expedición de una licencia, el hogar deberá presentar una certificación suscrita por un ingeniero o arquitecto que cuente con su respectiva tarjeta profesional, donde conste la ejecución de la obra con base en el presupuesto presentado para la postulación. </w:t>
      </w:r>
    </w:p>
    <w:p w14:paraId="6B8CC4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4CBF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todos los demás eventos, se dará cumplimiento a lo establecido en los artículos 2.1.1.1.1.5.1.1 y 2.1.1.1.1.5.1.2 del presente decreto, o la norma que lo modifique, adicione o sustituya y demás normatividad vigente sobre la materia. </w:t>
      </w:r>
    </w:p>
    <w:p w14:paraId="07057BC2" w14:textId="69467F5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1" w:name="ver_30069336"/>
      <w:bookmarkEnd w:id="321"/>
    </w:p>
    <w:p w14:paraId="78696F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2.1.1.1.9.2. Subsidio al arrendamiento para población afectada por atentados terroristas. Para el caso de los hogares damnificados por atentados terroristas, el desembolso del subsidio familiar de vivienda otorgado por el Fondo Nacional de Vivienda para el pago del arrendamiento de un </w:t>
      </w:r>
      <w:proofErr w:type="gramStart"/>
      <w:r w:rsidRPr="009342F9">
        <w:rPr>
          <w:rFonts w:ascii="Arial" w:eastAsia="Times New Roman" w:hAnsi="Arial" w:cs="Arial"/>
          <w:color w:val="000000"/>
          <w:lang w:eastAsia="es-CO"/>
        </w:rPr>
        <w:t>inmueble,</w:t>
      </w:r>
      <w:proofErr w:type="gramEnd"/>
      <w:r w:rsidRPr="009342F9">
        <w:rPr>
          <w:rFonts w:ascii="Arial" w:eastAsia="Times New Roman" w:hAnsi="Arial" w:cs="Arial"/>
          <w:color w:val="000000"/>
          <w:lang w:eastAsia="es-CO"/>
        </w:rPr>
        <w:t xml:space="preserve"> se realizará en instalamentos, durante un plazo máximo de 24 meses. </w:t>
      </w:r>
    </w:p>
    <w:p w14:paraId="7FE0F0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647E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otorgante del Subsidio Familiar de Vivienda desembolsará en forma anticipada la totalidad del subsidio a la Cuenta de Ahorro Programado, CAP, del beneficiario, una vez el hogar realice la legalización de la apertura de la cuenta ante la entidad bancaria correspondiente. </w:t>
      </w:r>
    </w:p>
    <w:p w14:paraId="715E85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2527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recursos del subsidio familiar de vivienda permanecerán en forma inmovilizada en la cuenta de ahorro programado, hasta el momento en que el beneficiario acredite ante la entidad otorgante del subsidio familiar de vivienda o su operador si lo hubiese, la suscripción del respectivo contrato de arrendamiento de la solución de vivienda, presentando copia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Evento en el cual los cánones de arrendamiento serán movilizados semestralmente de manera anticipada directamente al arrendador del inmueble previa constancia de vigencia del contrato que deberá ser suscrita por el beneficiario del subsidio y por el arrendador de la solución de vivienda. </w:t>
      </w:r>
    </w:p>
    <w:p w14:paraId="76586A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0BD9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Semestralmente se hará una relación de actualización de contratos de arrendamiento que se encuentren vigentes para efectos de la movilización de los recursos. En todo caso, en el evento de demostrarse que para los procesos de desembolso y movilización del recurso se presentó información falsa o fraudulenta se impondrán las sanciones a que haya lugar de acuerdo con lo dispuesto en la ley. </w:t>
      </w:r>
    </w:p>
    <w:p w14:paraId="1F580042" w14:textId="7CFBAFAA"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2" w:name="ver_30069337"/>
      <w:bookmarkEnd w:id="322"/>
    </w:p>
    <w:p w14:paraId="18DCC34C" w14:textId="30AE073A"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10</w:t>
      </w:r>
    </w:p>
    <w:p w14:paraId="683D01A4"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POR HABILITACIÓN LEGAL DE TÍTULOS</w:t>
      </w:r>
    </w:p>
    <w:p w14:paraId="0774E8E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23" w:name="ver_30069338"/>
      <w:bookmarkEnd w:id="323"/>
    </w:p>
    <w:p w14:paraId="2B1827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2.1.1.1.10.1. Habilitación legal de títulos. Se entiende como subsidio familiar de vivienda mediante la habilitación legal de títulos de que trata el artículo 5º de la Ley 3ª de 1991, la opción legal que faculta al tenedor de una vivienda de interés social a acceder al derecho de dominio de la misma, mediante resolución administrativa debidamente registrada, cuando esta se construyó ocupando un predio de propiedad de una entidad pública u ocupando un predio de propiedad privada y este fue adquirido posteriormente por una entidad pública, quedando con la calidad de un bien fiscal que permite la legalización del predio en cabeza de ese tenedor. </w:t>
      </w:r>
    </w:p>
    <w:p w14:paraId="48B5043C" w14:textId="22A750C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4" w:name="ver_30069339"/>
      <w:bookmarkEnd w:id="324"/>
    </w:p>
    <w:p w14:paraId="63704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2.1.1.1.10.2. Requisitos. El subsidio familiar de vivienda por habilitación legal de títulos se realiza mediante el aporte del bien fiscal o el aporte en dinero para sufragar los costos para la transferencia del dominio si se requieren, previa verificación de los siguientes requisitos: </w:t>
      </w:r>
    </w:p>
    <w:p w14:paraId="66463B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67B8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Que hayan sido ocupados antes de la fecha de entrada en vigencia de la Ley 708 de 2001, circunstancia que se acreditará mediante certificación expedida por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de la respectiva entidad territorial o por la autoridad en quien este delegue; </w:t>
      </w:r>
    </w:p>
    <w:p w14:paraId="392CB1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9FC8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Que la vivienda de interés social se encuentre en un asentamiento legalizado urbanísticamente y que no esté ubicada en zona de alto riesgo, insalubre o que presente peligro para la población, circunstancia que deberá ser certificada por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de la respectiva entidad territorial o por la autoridad que tenga competencia para ello; </w:t>
      </w:r>
    </w:p>
    <w:p w14:paraId="46D863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635D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Que el beneficiario del subsidio familiar de vivienda por habilitación legal de </w:t>
      </w:r>
      <w:proofErr w:type="gramStart"/>
      <w:r w:rsidRPr="009342F9">
        <w:rPr>
          <w:rFonts w:ascii="Arial" w:eastAsia="Times New Roman" w:hAnsi="Arial" w:cs="Arial"/>
          <w:color w:val="000000"/>
          <w:lang w:eastAsia="es-CO"/>
        </w:rPr>
        <w:t>títulos,</w:t>
      </w:r>
      <w:proofErr w:type="gramEnd"/>
      <w:r w:rsidRPr="009342F9">
        <w:rPr>
          <w:rFonts w:ascii="Arial" w:eastAsia="Times New Roman" w:hAnsi="Arial" w:cs="Arial"/>
          <w:color w:val="000000"/>
          <w:lang w:eastAsia="es-CO"/>
        </w:rPr>
        <w:t xml:space="preserve"> haya ocupado la vivienda sin mediar una relación legal o contractual con el propietario del predio; </w:t>
      </w:r>
    </w:p>
    <w:p w14:paraId="5D17EE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217E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El beneficiario del subsidio familiar de vivienda por habilitación legal de títulos, no podrá ser poseedor o propietario de otra solución de vivienda; </w:t>
      </w:r>
    </w:p>
    <w:p w14:paraId="720548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ACE3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Que el beneficiario del subsidio familiar de vivienda por habilitación legal de títulos no haya sido adjudicatario del Instituto de Crédito Territorial o que no se le hubiere asignado y pagado un subsidio familiar de vivienda, con excepción de aquellos que perdieron la vivienda subsidiada por imposibilidad de pago o que hayan sido beneficiarios del subsidio familiar de vivienda otorgado para mejoramiento; </w:t>
      </w:r>
    </w:p>
    <w:p w14:paraId="36B179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82B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Que el valor del lote sobre el cual se encuentra construida la solución de vivienda de interés social o del aporte en dinero, no exceda el monto legal máximo vigente fijado para el subsidio familiar de vivienda por el Gobierno Nacional para la correspondiente vigencia fiscal; </w:t>
      </w:r>
    </w:p>
    <w:p w14:paraId="1DDB9D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3BA0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Registro de las familias ocupantes efectuado por la autoridad municipal o distrital o, en su defecto por el Instituto Geográfico Agustín Codazzi o los Catastros de Bogotá, Cali, Medellín y Antioquia, en concordancia con lo previsto en la Ley 14 de 1983, con una anterioridad no mayor a un año a la fecha de la resolución de transferencia de dominio; </w:t>
      </w:r>
    </w:p>
    <w:p w14:paraId="4392CF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2E3A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Certificación expedida por el Instituto Geográfico Agustín Codazzi o los Catastros de Bogotá, Cali, Medellín y Antioquia, de que el predio tiene las características de una vivienda de interés social. </w:t>
      </w:r>
    </w:p>
    <w:p w14:paraId="727826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605C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entidad propietaria del inmueble dispondrá la publicación de un aviso en un periódico de amplia circulación del lugar de ubicación del predio, en el cual se indicará el nombre de la familia ocupante, su documento de identidad, la identificación del predio por su nomenclatura, si la posee, el objeto de la actuación y la facultad que tiene todo interesado de hacerse parte en la misma para lo cual dispondrá de un término no inferior a cinco días hábiles contados a partir de la fecha de publicación del aviso. </w:t>
      </w:r>
    </w:p>
    <w:p w14:paraId="3D0748D5" w14:textId="037F05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5" w:name="ver_30069340"/>
      <w:bookmarkEnd w:id="325"/>
    </w:p>
    <w:p w14:paraId="5B81D9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2.1.1.1.10.3. Procedimiento excepcional de postulación, asignación y transferencia para la habilitación legal de títulos. Se presentará el formulario de postulación ante FONVIVIENDA, para que efectúe la asignación en forma directa a cada familia ocupante, de conformidad con la reglamentación que se expedirá para el efecto. </w:t>
      </w:r>
    </w:p>
    <w:p w14:paraId="1F7111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C4E1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eventos en que se demuestre falsedad en los documentos presentados para acreditar los requisitos para la asignación, se dará aplicación a las sanciones previstas en la Ley 3ª de 1991, todo lo cual será debidamente verificado por la entidad otorgante del subsidio. </w:t>
      </w:r>
    </w:p>
    <w:p w14:paraId="62843B69" w14:textId="04744EAC"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6" w:name="ver_30069341"/>
      <w:bookmarkEnd w:id="326"/>
    </w:p>
    <w:p w14:paraId="5F756404" w14:textId="0E0EA2B2"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11</w:t>
      </w:r>
    </w:p>
    <w:p w14:paraId="358AC92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APLICADO A CONTRATOS DE LEASING HABITACIONAL</w:t>
      </w:r>
    </w:p>
    <w:p w14:paraId="285436B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27" w:name="ver_30069342"/>
      <w:bookmarkEnd w:id="327"/>
    </w:p>
    <w:p w14:paraId="41C2BD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2.1.1.1.11.1. Aplicación. La presente sección aplica al proceso de asignación del subsidio familiar de vivienda de interés social urbano, que otorgará el Gobierno Nacional, en la modalidad de leasing habitacional. </w:t>
      </w:r>
    </w:p>
    <w:p w14:paraId="7B4B326E" w14:textId="714282E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8" w:name="ver_30069343"/>
      <w:bookmarkEnd w:id="328"/>
    </w:p>
    <w:p w14:paraId="0EDA8E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2.1.1.1.11.2. Subsidio familiar de vivienda en contratos de leasing habitacional. Es el subsidio familiar de vivienda al que los hogares de todos los municipios del país, independientemente de la categoría que les corresponda según la ley, pueden acceder acreditando la suscripción de un contrato de leasing habitacional, con una entidad autorizada por la Superintendencia Financiera de Colombia para tal fin, cumpliendo con los requisitos establecidos en la presente sección. </w:t>
      </w:r>
    </w:p>
    <w:p w14:paraId="71A493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B5D7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otorgante del subsidio familiar de vivienda suscribirá convenios con las entidades autorizadas para realizar operaciones de leasing habitacional a fin de definir la operatividad de asignación y pago de los subsidios familiares de vivienda en contratos de leasing habitacional. El Ministerio de Vivienda, Ciudad y Territorio establecerá las condiciones y procedimientos para la suscripción de los convenios de que trata el presente artículo. </w:t>
      </w:r>
    </w:p>
    <w:p w14:paraId="70E6C23A" w14:textId="3ABDD37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29" w:name="ver_30069344"/>
      <w:bookmarkEnd w:id="329"/>
    </w:p>
    <w:p w14:paraId="5FB615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2.1.1.1.11.3. Postulación al subsidio familiar de vivienda. La postulación de los hogares para la obtención de los subsidios de que trata la presente sección, se efectuará de conformidad con lo dispuesto en el artículo 2.1.1.1.1.3.3.1.1 del presente decreto, y se considerarán aceptables la carta de aprobación del leasing habitacional o los contratos de leasing habitacional, suscritos con las entidades autorizadas por la ley para el desarrollo de operaciones de leasing habitacional, con quienes la entidad otorgante del subsidio familiar de vivienda haya suscrito el convenio de que trata el artículo 2.1.1.1.11.2 de la presente sección. </w:t>
      </w:r>
    </w:p>
    <w:p w14:paraId="676553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4820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adición, la carta de aprobación del leasing habitacional debe contar con el resultado favorable del análisis de riesgo del solicitante o solicitantes, como mínimo, en aquellos aspectos atinentes a su capacidad de pago, comportamiento crediticio, hábitos de pago, confirmación de referencias, información de los solicitantes y las características y condiciones de la operación considerada y sólo podrá ser emitido por las entidades autorizadas para el desarrollo de operaciones de leasing habitacional. </w:t>
      </w:r>
    </w:p>
    <w:p w14:paraId="2B1053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4F24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acceso al subsidio familiar de vivienda no es necesario que el hogar cuente con ahorro previo, por lo que no se exigirá este requisito en los procesos de postulación. </w:t>
      </w:r>
    </w:p>
    <w:p w14:paraId="378F309A" w14:textId="41B1E04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0" w:name="ver_30069345"/>
      <w:bookmarkEnd w:id="330"/>
    </w:p>
    <w:p w14:paraId="0B4867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2.1.1.1.11.4. Focalización y valor del subsidio familiar de vivienda. Los hogares de bajos ingresos accederán al subsidio familiar de vivienda en contratos de leasing habitacional, por los valores establecidos en el artículo 2.1.1.1.1.1.8 del presente decreto para la modalidad de adquisición de vivienda nueva o usada y el monto se determinará con base en el nivel de ingresos del hogar postulante. </w:t>
      </w:r>
    </w:p>
    <w:p w14:paraId="73A449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AF75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entidades autorizadas para el desarrollo de operaciones de leasing habitacional o ahorro programado contractual con la evaluación crediticia favorable con las que la entidad otorgante suscriba </w:t>
      </w:r>
      <w:proofErr w:type="gramStart"/>
      <w:r w:rsidRPr="009342F9">
        <w:rPr>
          <w:rFonts w:ascii="Arial" w:eastAsia="Times New Roman" w:hAnsi="Arial" w:cs="Arial"/>
          <w:color w:val="000000"/>
          <w:lang w:eastAsia="es-CO"/>
        </w:rPr>
        <w:t>convenios,</w:t>
      </w:r>
      <w:proofErr w:type="gramEnd"/>
      <w:r w:rsidRPr="009342F9">
        <w:rPr>
          <w:rFonts w:ascii="Arial" w:eastAsia="Times New Roman" w:hAnsi="Arial" w:cs="Arial"/>
          <w:color w:val="000000"/>
          <w:lang w:eastAsia="es-CO"/>
        </w:rPr>
        <w:t xml:space="preserve"> deberán informar a la entidad otorgante el nivel de ingresos del hogar postulante con base en los estudios realizados para determinar su capacidad de pago. </w:t>
      </w:r>
    </w:p>
    <w:p w14:paraId="04FA950C" w14:textId="3FB31A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1" w:name="ver_30210169"/>
      <w:bookmarkStart w:id="332" w:name="ver_30069346"/>
      <w:bookmarkEnd w:id="331"/>
    </w:p>
    <w:p w14:paraId="1C34A017" w14:textId="361BCF4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2.1.1.1.11.5. Aplicación del subsidio familiar de vivienda. El valor total del subsidio familiar de vivienda asignado en contratos de leasing habitacional debe destinarse a la reducción del valor de la vivienda objeto del contrato de leasing habitacional o al pago de la opción de compra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63EBD1C0"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29EE44B5" w14:textId="550803FB"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valor de la vivienda será el estipulado en el contrato de leasing habitacional, y se presumirá que el mismo incluye tanto el valor de los bienes inmuebles como los que presten usos y servicios complementarios o conexos a los mismos tales como parqueaderos, depósitos, buhardillas, terrazas, antejardines o patios. El valor consolidado de la vivienda conforme a lo aquí establecido no podrá superar los ciento treinta y cinco (135) salarios mínimos legales mensuales vigentes, excepto aquellas que se ubiquen en los municipios y distritos detallados en el título 9 de la parte 1 del libro 2 del presente decreto en las cuales el valor podrá ser hasta de ciento cincuenta (150) salarios mínimos legales mensuales vigentes, o cuando se trate de programas y/o proyectos de renovación urbana, en los cuales podrá ser hasta de ciento setenta y cinco (175) salarios mínimos legales mensuales vigentes.  </w:t>
      </w:r>
    </w:p>
    <w:p w14:paraId="2F8DA0FB" w14:textId="77777777" w:rsidR="009342F9" w:rsidRPr="009342F9" w:rsidRDefault="009342F9" w:rsidP="00FC79C1">
      <w:pPr>
        <w:spacing w:after="0" w:line="240" w:lineRule="auto"/>
        <w:jc w:val="both"/>
        <w:rPr>
          <w:rFonts w:ascii="Arial" w:eastAsia="Times New Roman" w:hAnsi="Arial" w:cs="Arial"/>
          <w:color w:val="000000"/>
          <w:lang w:eastAsia="es-CO"/>
        </w:rPr>
      </w:pPr>
    </w:p>
    <w:p w14:paraId="34CEAF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la asignación del subsidio familiar de vivienda en contratos de leasing habitacional para ser destinados al pago de la opción de compra en el contrato de leasing habitacional, la entidad otorgante tendrá en cuenta que tal opción, se haga efectiva en un plazo máximo a un (1) año posterior a su postulación.  </w:t>
      </w:r>
    </w:p>
    <w:p w14:paraId="76E9D14E" w14:textId="68DA8F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3" w:name="ver_30069347"/>
      <w:bookmarkEnd w:id="332"/>
      <w:bookmarkEnd w:id="333"/>
    </w:p>
    <w:p w14:paraId="030FA7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2.1.1.1.11.6. Vigencia del subsidio. La vigencia de los subsidios de vivienda de interés social otorgados de conformidad con la presente sección con cargo a recursos del Presupuesto Nacional es de doce (12) meses calendario contados desde el primer día del mes siguiente a la fecha de la publicación de la resolución de asignación y pueden ser prorrogados hasta por doce (12) meses más, prorrogados mediante resolución expedida por el Ministerio de Vivienda, Ciudad y Territorio. </w:t>
      </w:r>
    </w:p>
    <w:p w14:paraId="0A9F97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83B7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subsidios familiares de vivienda otorgados por las Cajas de Compensación Familiar de conformidad con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tienen una vigencia de doce (12) meses, prorrogables mediante acuerdo expedido por su respectivo Consejo Directivo hasta por doce (12) meses más. </w:t>
      </w:r>
    </w:p>
    <w:p w14:paraId="031855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92C1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caso de subsidios otorgados con cargo a recursos del Presupuesto Nacional, lo dispuesto en el presente artículo operará siempre y cuando exista disponibilidad de recursos y se dé cumplimiento a las normas del Estatuto Orgánico del Presupuesto. </w:t>
      </w:r>
    </w:p>
    <w:p w14:paraId="3C2C1E67" w14:textId="73D100C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4" w:name="ver_30069348"/>
      <w:bookmarkEnd w:id="334"/>
    </w:p>
    <w:p w14:paraId="039727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2.1.1.1.11.7. Giro de los recursos. La entidad otorgante girará el valor del subsidio familiar de vivienda en favor de la entidad otorgante del contrato de leasing habitacional, previa autorización del beneficiario, una vez se acredite ante la entidad otorgante o su operador, la existencia del contrato de leasing habitacional y el recibo a satisfacción de la solución, de vivienda, para ser aplicado en el esquema del contrato de leasing habitacional en las opciones señaladas en el artículo 2.1.1.1.11.5 de la presente sección. </w:t>
      </w:r>
    </w:p>
    <w:p w14:paraId="58C376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AF4B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hogar se hubiese postulado al subsidio familiar de vivienda para ser aplicado en el uso de la opción de compra de la vivienda objeto del leasing habitacional, el giro de los recursos se efectuará en los valores exactos para cubrir tal opción de compra, siempre y cuando esta no sea superior al valor del subsidio familiar de vivienda. </w:t>
      </w:r>
    </w:p>
    <w:p w14:paraId="28F491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89BE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documentos necesarios para el desembolso de los recursos y las condiciones para el giro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serán los señalados por el Ministerio de Vivienda, Ciudad y Territorio mediante resolución. </w:t>
      </w:r>
    </w:p>
    <w:p w14:paraId="32764C40" w14:textId="77777777" w:rsidR="009342F9" w:rsidRDefault="009342F9" w:rsidP="00FC79C1">
      <w:pPr>
        <w:spacing w:after="0" w:line="240" w:lineRule="auto"/>
        <w:jc w:val="both"/>
        <w:rPr>
          <w:rFonts w:ascii="Arial" w:eastAsia="Times New Roman" w:hAnsi="Arial" w:cs="Arial"/>
          <w:color w:val="000000"/>
          <w:lang w:eastAsia="es-CO"/>
        </w:rPr>
      </w:pPr>
      <w:bookmarkStart w:id="335" w:name="ver_30069349"/>
      <w:bookmarkEnd w:id="335"/>
    </w:p>
    <w:p w14:paraId="4C6354F8" w14:textId="6E4D9C6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2.1.1.1.11.8. Restitución del subsidio en caso de no uso de la opción de compra. En el caso en que el hogar beneficiario del subsidio familiar de vivienda deje de habitar en la solución de vivienda por incumplimiento del contrato de leasing, dentro del plazo de diez (10) años contados a partir de la fecha de expedición del documento que acredita su asignación, debe restituirse a la entidad otorgante, por parte de la entidad con quien el beneficiario del subsidio familiar de vivienda suscribió el contrato de leasing habitacional, en la proporción no utilizada del subsidio familiar de vivienda en lo que resta del contrato. El Ministerio de Vivienda, Ciudad y Territorio establecerá las condiciones y el procedimiento de restitución de que trata el presente artículo. </w:t>
      </w:r>
    </w:p>
    <w:p w14:paraId="2D154B0A" w14:textId="77777777" w:rsid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6" w:name="ver_30069350"/>
      <w:bookmarkEnd w:id="336"/>
    </w:p>
    <w:p w14:paraId="2005208F" w14:textId="670E5D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2.1.1.1.11.9. Subsidios por cajas de compensación familiar. Las Cajas de Compensación Familiar podrán otorgar subsidios familiares de vivienda para ser aplicados en contratos de leasing habitacional celebrados con entidades autorizadas por la Superintendencia Financiera de Colombia para tal fin, de conformidad con la aprobación y directrices que impartan sus Consejos Directivos y el plan anual de ejecución de recursos del FOVIS, así como en aplicación de la presente sección, la subsección 6 de la sección 2.1.1.1.1 del presente decreto y las demás normas concordantes. </w:t>
      </w:r>
    </w:p>
    <w:p w14:paraId="1E049534" w14:textId="367C996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7" w:name="ver_30069351"/>
      <w:bookmarkEnd w:id="337"/>
    </w:p>
    <w:p w14:paraId="30DC9F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2.1.1.1.11.10. Aplicación de otros subsidios asignados. Los subsidios familiares de vivienda otorgados en la modalidad de adquisición de vivienda nueva o usada, con anterioridad al 16 de febrero de 2012, por el Fondo Nacional de Vivienda o las Cajas de Compensación Familiar, podrán ser aplicados para leasing habitacional, en el respectivo departamento al cual se postuló, siempre y cuando se cumplan los requisitos dispuestos en la presente sección, se encuentren vigentes, no cobrados y no estén vinculados a procesos de compraventa, de conformidad con el procedimiento que fije para el efecto el Ministerio de Vivienda, Ciudad y Territorio. </w:t>
      </w:r>
    </w:p>
    <w:p w14:paraId="1AD4EB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4B3F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todo caso, la aplicación de los subsidios familiares en contratos de leasing habitacional de que trata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no significará un aumento en el valor del subsidio. </w:t>
      </w:r>
    </w:p>
    <w:p w14:paraId="62DF28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0F8D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hogares beneficiarios del subsidio familiar de vivienda para población en situación de desplazamiento dispuesto en la sección 2.1.1.1.2 del presente decreto, podrán aplicar los subsidios familiares de vivienda asignados y no aplicados, en contratos de leasing habitacional cumpliendo las condiciones definidas en la presente sección. </w:t>
      </w:r>
    </w:p>
    <w:p w14:paraId="757831AE" w14:textId="75D41B7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8" w:name="ver_30069352"/>
      <w:bookmarkEnd w:id="338"/>
    </w:p>
    <w:p w14:paraId="1F16E2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2.1.1.1.11.11. Remisión y referencias normativas. En lo no dispuesto en la presente sección dese cumplimiento a lo dispuesto en la sección 2.1.1.1.1 del presente decreto, en las normas del sector financiero del Decreto Único del Sector de Hacienda y Crédito Público y las demás normas concordantes, Todas las referencias que hagan las disposiciones legales vigentes a la Bolsa de Ahorro Voluntario Contractual con Evaluación Crediticia Favorable, deben entenderse referidas a la Bolsa para Postulaciones de Ahorro Programado Contractual con Evaluación Crediticia Favorable, Leasing Habitacional y Arrendamiento con Opción de Compra. </w:t>
      </w:r>
    </w:p>
    <w:p w14:paraId="4B58AC56" w14:textId="5C09E47E"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39" w:name="ver_30069353"/>
      <w:bookmarkEnd w:id="339"/>
    </w:p>
    <w:p w14:paraId="75E9B6EC" w14:textId="24F0F7A1"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12</w:t>
      </w:r>
    </w:p>
    <w:p w14:paraId="221B829C"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TRANSFERENCIA DE RECURSOS DEL SUBSIDIO FAMILIAR DE VIVIENDA A CUENTAS DE AHORRO</w:t>
      </w:r>
    </w:p>
    <w:p w14:paraId="146E4C5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40" w:name="ver_30069354"/>
      <w:bookmarkEnd w:id="340"/>
    </w:p>
    <w:p w14:paraId="6673DC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2.1.1.1.12.1. Transferencia del subsidio familiar de vivienda urbana a cuentas de ahorro. En los casos de subsidios familiares de vivienda urbana, asignados por el Fondo Nacional de Vivienda, FONVIVIENDA, en las modalidades de adquisición de vivienda nueva, usada, construcción en sitio propio y arrendamiento, definidas en la normatividad vigente, a los hogares beneficiarios a través de las bolsas de recuperadores de residuos reciclables, afectados por situación de desastre, calamidad pública o emergencia, damnificados por atentados terroristas, hogares que tengan como miembro a concejales que pertenezcan a municipios de categorías 4, 5 y 6, postulación de ahorro programado contractual con evaluación crediticia favorable y de los Concursos de Esfuerzo Territorial Nacional y Departamental, la entidad otorgante podrá abrir una cuenta de ahorro a nombre del beneficiario y transferir la totalidad del valor del subsidio familiar de vivienda urbana asignado. </w:t>
      </w:r>
    </w:p>
    <w:p w14:paraId="05E209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8CED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la movilización de estos recursos de la cuenta de ahorro al oferente o al encargo fiduciario, el giro sólo se efectuará, previa autorización de la entidad otorgante, en los términos y condiciones establecidos en la subsección 5 de la sección 2.1.1.1.1 del presente decreto y las normas que lo modifiquen, adicionen o sustituyan. </w:t>
      </w:r>
    </w:p>
    <w:p w14:paraId="787F34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1BF0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transferencia de que trata esta sección se sujetará a la disponibilidad presupuestal de los recursos, la apertura de la cuenta de ahorro, la aprobación del programa Anual Mensualizado de Caja, PAC, y al situado de fondos por parte de la Dirección General de Crédito Público y Tesoro Nacional del Ministerio de Hacienda y Crédito Público. </w:t>
      </w:r>
    </w:p>
    <w:p w14:paraId="21E386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A7DA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deberá dar prioridad al pago de las obligaciones a que hace referencia la presente sección, con el cupo de –PAC– básico comunicado y asignado por el Ministerio de Hacienda y Crédito Público. </w:t>
      </w:r>
    </w:p>
    <w:p w14:paraId="39044CF3" w14:textId="069725D9"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41" w:name="ver_30069355"/>
      <w:bookmarkEnd w:id="341"/>
    </w:p>
    <w:p w14:paraId="6310C103" w14:textId="23D838B5"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14C9770B" w14:textId="77777777" w:rsidR="00FC79C1"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SUBSIDIO FAMILIAR DE VIVIENDA EN ESPECIE</w:t>
      </w:r>
    </w:p>
    <w:p w14:paraId="789B1694" w14:textId="77777777" w:rsidR="007C7D44" w:rsidRPr="009342F9" w:rsidRDefault="007C7D44" w:rsidP="005A1FCF">
      <w:pPr>
        <w:spacing w:after="0" w:line="240" w:lineRule="auto"/>
        <w:jc w:val="center"/>
        <w:rPr>
          <w:rFonts w:ascii="Arial" w:eastAsia="Times New Roman" w:hAnsi="Arial" w:cs="Arial"/>
          <w:b/>
          <w:bCs/>
          <w:color w:val="000000"/>
          <w:lang w:eastAsia="es-CO"/>
        </w:rPr>
      </w:pPr>
    </w:p>
    <w:p w14:paraId="0FE8AA81"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6BE1D19B" w14:textId="77777777" w:rsidR="00FC79C1"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SUBSIDIO FAMILIAR DE VIVIENDA 100% EN ESPECIE</w:t>
      </w:r>
    </w:p>
    <w:p w14:paraId="486AB4B5" w14:textId="77777777" w:rsidR="007C7D44" w:rsidRPr="009342F9" w:rsidRDefault="007C7D44" w:rsidP="005A1FCF">
      <w:pPr>
        <w:spacing w:after="0" w:line="240" w:lineRule="auto"/>
        <w:jc w:val="center"/>
        <w:rPr>
          <w:rFonts w:ascii="Arial" w:eastAsia="Times New Roman" w:hAnsi="Arial" w:cs="Arial"/>
          <w:b/>
          <w:bCs/>
          <w:color w:val="000000"/>
          <w:lang w:eastAsia="es-CO"/>
        </w:rPr>
      </w:pPr>
    </w:p>
    <w:p w14:paraId="513310B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2F15C5A7"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GENERALIDADES DEL SUBSIDIO FAMILIAR DE VIVIENDA EN ESPECIE</w:t>
      </w:r>
    </w:p>
    <w:p w14:paraId="714C6AD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42" w:name="ver_30069356"/>
      <w:bookmarkEnd w:id="342"/>
    </w:p>
    <w:p w14:paraId="1BAB85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2.1.1.2.1.1.1. Objeto. La presente sección reglamenta la metodología para la focalización, identificación y selección de los hogares potencialmente beneficiarios del subsidio familiar de vivienda 100% en especie (SFVE), así como los criterios para la asignación y legalización del referido subsidio, en el marco del programa de vivienda gratuita dirigido a los hogares de que trata el artículo 12 de la Ley 1537 de 2012. </w:t>
      </w:r>
    </w:p>
    <w:p w14:paraId="2303D1E2" w14:textId="5781062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43" w:name="ver_30167086"/>
      <w:bookmarkStart w:id="344" w:name="ver_30069357"/>
      <w:bookmarkEnd w:id="343"/>
    </w:p>
    <w:p w14:paraId="64978F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2.1.1.2.1.1.2. Definiciones. Para los efectos de la presente sección se adoptan las siguientes definiciones:  </w:t>
      </w:r>
    </w:p>
    <w:p w14:paraId="2577C7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2FBF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Subsidio Familiar 100% de Vivienda en Especie (SFVE): Para efectos de esta sección, este subsidio equivale a la transferencia de una vivienda de interés prioritario al beneficiario.  </w:t>
      </w:r>
    </w:p>
    <w:p w14:paraId="65DEB3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9287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Programa de Vivienda Gratuita: Es el programa que adelanta el Gobierno nacional con el propósito de entregar viviendas de interés prioritario, a título de subsidio en especie, a la población vulnerable referida en el artículo 12 de la Ley 1537 de 2012.  </w:t>
      </w:r>
    </w:p>
    <w:p w14:paraId="2F7213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5A72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Identificación de potenciales beneficiarios: Proceso mediante el cual el Departamento Administrativo para la Prosperidad Social, con fundamento en la información actualizada suministrada por las entidades correspondientes, determina los potenciales beneficiarios del SFVE teniendo en cuenta los porcentajes de composición poblacional del proyecto y atendiendo los criterios de priorización determinados en la presente sección.  </w:t>
      </w:r>
    </w:p>
    <w:p w14:paraId="16DE94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0672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Potencial beneficiario: Miembro del hogar, mayor de edad, jefe del hogar, o persona que representa al hogar y que se encuentra individualmente en alguna de las fuentes de información primaria que defina el Departamento Administrativo para la Prosperidad Social mediante resolución, y con las cuales se conforman los listados de personas y familias potencialmente beneficiarias.  </w:t>
      </w:r>
    </w:p>
    <w:p w14:paraId="3656C7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36C2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Hogar: Una o más personas que integren el mismo grupo familiar, unidas o no por vínculos de parentesco, incluidos los cónyuges, las uniones maritales de hecho y las parejas del mismo sexo, que compartan un mismo espacio habitacional. Los hogares podrán estar conformados por menores de edad cuando sus padres hayan fallecido, estén desaparecidos o estén privados de la libertad, o hayan sido privados de la patria potestad. En este caso la postulación se realizará a través del tutor y/o curador en acompañamiento del defensor de familia.  </w:t>
      </w:r>
    </w:p>
    <w:p w14:paraId="61C767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E1EB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Hogar potencial beneficiario: Es el hogar que cuenta con uno o varios miembros registrado(s) en alguna de las bases de identificación enumeradas en el artículo 2.1.1.2.1.2.1 de la presente sección y que resulte incluido en los listados que elabora el Departamento Administrativo para la Prosperidad Social, una vez aplicados los criterios de priorización definidos en el artículo 2.1.1.2.1.2.3.  </w:t>
      </w:r>
    </w:p>
    <w:p w14:paraId="2B25FD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6BCC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Postulación: Es la solicitud individual realizada por el hogar potencialmente beneficiario, suscrita por todos los miembros mayores de edad, con el objeto de formar parte del proceso de selección y asignación del SFVE.  </w:t>
      </w:r>
    </w:p>
    <w:p w14:paraId="21878C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171EDB" w14:textId="77777777"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Hogar postulante: Es el hogar que realiza la postulación ante el Fondo Nacional de Vivienda (Fonvivienda) o el operador que este designe, para que este verifique si cumple con las condiciones y requisitos establecidos en esta sección para acceder al subsidio.  </w:t>
      </w:r>
    </w:p>
    <w:p w14:paraId="545078A7" w14:textId="77777777" w:rsidR="007C7D44" w:rsidRPr="009342F9" w:rsidRDefault="007C7D44" w:rsidP="00FC79C1">
      <w:pPr>
        <w:spacing w:after="0" w:line="240" w:lineRule="auto"/>
        <w:jc w:val="both"/>
        <w:rPr>
          <w:rFonts w:ascii="Arial" w:eastAsia="Times New Roman" w:hAnsi="Arial" w:cs="Arial"/>
          <w:color w:val="000000"/>
          <w:lang w:eastAsia="es-CO"/>
        </w:rPr>
      </w:pPr>
    </w:p>
    <w:p w14:paraId="5A07AE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Grupo de población: Conjunto de individuos que cumple con alguna de las condiciones para ser beneficiario del SFVE, definidas en el inciso 2 del artículo 12 de la Ley 1537 de 2012. Cada condición será entendida como un “grupo de población” para efectos de lo establecido en la presente sección.  </w:t>
      </w:r>
    </w:p>
    <w:p w14:paraId="73AEB6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9070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Composición Poblacional: Es el resultado de la suma de todos los porcentajes por “grupo de población” establecidos para cada proyecto de vivienda que se desarrolle en el marco del programa de vivienda gratuita.  </w:t>
      </w:r>
    </w:p>
    <w:p w14:paraId="1028C0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6443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Asignación: Es el acto administrativo de Fonvivienda, en su condición de entidad otorgante, que define quiénes son los beneficiarios del SFVE, y que se emite como resultado del proceso de identificación, postulación y selección de los potenciales beneficiarios.  </w:t>
      </w:r>
    </w:p>
    <w:p w14:paraId="4F7691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BC96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Proyectos indemnizados, en incumplimiento o paralizados: Situaciones administrativas de proyectos de vivienda desarrollados en programas o bolsas anteriores a la expedición de la Ley 1537 de 2012, definidas mediante acto administrativo de Fonvivienda”.  </w:t>
      </w:r>
    </w:p>
    <w:p w14:paraId="67E14A52"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76A62CC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45" w:name="ver_30069358"/>
      <w:bookmarkEnd w:id="344"/>
      <w:bookmarkEnd w:id="345"/>
      <w:r w:rsidRPr="009342F9">
        <w:rPr>
          <w:rFonts w:ascii="Arial" w:eastAsia="Times New Roman" w:hAnsi="Arial" w:cs="Arial"/>
          <w:color w:val="000000"/>
          <w:lang w:eastAsia="es-CO"/>
        </w:rPr>
        <w:t>Artículo 2.1.1.2.1.1.3. Cobertura. El subsidio familiar de vivienda en especie de que trata esta sección tendrá cobertura nacional en suelo urbano y se aplica a todas las zonas definidas como suelo urbano en los Planes de Ordenamiento Territorial de cada municipio del país. </w:t>
      </w:r>
    </w:p>
    <w:p w14:paraId="0ADB00A5" w14:textId="62A498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46" w:name="ver_30069359"/>
      <w:bookmarkEnd w:id="346"/>
    </w:p>
    <w:p w14:paraId="0EB478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2.1.1.2.1.1.4. Criterios de definición de composición poblacional. El Fondo Nacional de Vivienda, mediante acto administrativo establecerá los criterios que le permitan definir el porcentaje de población beneficiaria para cada grupo de población de que trata el artículo 12 de la Ley 1537 de 2012, con el fin de determinar la composición poblacional de cada proyecto de vivienda que se desarrolle en el marco del programa de vivienda gratuita. </w:t>
      </w:r>
    </w:p>
    <w:p w14:paraId="3DAF9583" w14:textId="6939A96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47" w:name="ver_30069360"/>
      <w:bookmarkEnd w:id="347"/>
    </w:p>
    <w:p w14:paraId="140790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2.1.1.2.1.1.5. Información sobre los proyectos en que se desarrollan o desarrollarán las viviendas a ser asignadas a título de subsidio en especie. El Fondo Nacional de Vivienda (FONVIVIENDA) remitirá al Departamento Administrativo para la Prosperidad Social (DPS), la información de los proyectos seleccionados o que se desarrollen en el marco del programa de vivienda gratuita, indicando el departamento y municipio donde se desarrolla o desarrollará el proyecto, el número de viviendas a ser transferidas a título de subsidio en especie y los porcentajes de composición poblacional de acuerdo con los criterios señalados en el artículo 2.1.1.2.1.1.4 de esta sección, para que el DPS en el término de un (1) mes calendario contado a partir del momento de recibo de la información, entregue al Fondo Nacional de Vivienda la resolución con el listado de potenciales beneficiarios para cada uno de los proyectos. </w:t>
      </w:r>
    </w:p>
    <w:p w14:paraId="01318E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41BF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tiempo de entrega del listado de potenciales beneficiarios podrá ser modificado conjuntamente por el Fondo Nacional de Vivienda y el DPS, mediante acta. </w:t>
      </w:r>
    </w:p>
    <w:p w14:paraId="6DD02FFE" w14:textId="0380908C"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48" w:name="ver_30069361"/>
      <w:bookmarkEnd w:id="348"/>
    </w:p>
    <w:p w14:paraId="60417E65" w14:textId="7508CDE8"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4B9ADEEE"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IDENTIFICACIÓN, SELECCIÓN Y POSTULACIÓN DE POTENCIALES BENEFICIARIOS</w:t>
      </w:r>
    </w:p>
    <w:p w14:paraId="0F671C11"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49" w:name="ver_30069362"/>
      <w:bookmarkEnd w:id="349"/>
    </w:p>
    <w:p w14:paraId="01AC76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2.1.1.2.1.2.1. Identificación de potenciales beneficiarios. Para efectos de la aplicación de esta sección se hace uso exclusivo de los siguientes listados o bases de datos, proporcionados por las entidades competentes: </w:t>
      </w:r>
    </w:p>
    <w:p w14:paraId="504005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10B0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Sistema de información de la Red para la Superación de la Pobreza Extrema Unidos (</w:t>
      </w:r>
      <w:proofErr w:type="spellStart"/>
      <w:r w:rsidRPr="009342F9">
        <w:rPr>
          <w:rFonts w:ascii="Arial" w:eastAsia="Times New Roman" w:hAnsi="Arial" w:cs="Arial"/>
          <w:color w:val="000000"/>
          <w:lang w:eastAsia="es-CO"/>
        </w:rPr>
        <w:t>Siunidos</w:t>
      </w:r>
      <w:proofErr w:type="spellEnd"/>
      <w:r w:rsidRPr="009342F9">
        <w:rPr>
          <w:rFonts w:ascii="Arial" w:eastAsia="Times New Roman" w:hAnsi="Arial" w:cs="Arial"/>
          <w:color w:val="000000"/>
          <w:lang w:eastAsia="es-CO"/>
        </w:rPr>
        <w:t>) o la que haga sus veces. </w:t>
      </w:r>
    </w:p>
    <w:p w14:paraId="725311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D17A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Sistema de identificación para potenciales beneficiarios de los programas sociales -SISBÉN III o el que haga sus veces </w:t>
      </w:r>
    </w:p>
    <w:p w14:paraId="3A5018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D91F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Registro Único de Población Desplazada (RUPD) o el que haga sus veces. </w:t>
      </w:r>
    </w:p>
    <w:p w14:paraId="7D9B59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BDE8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Sistema de Información del Subsidio Familiar de Vivienda Administrado por FONVIVIENDA o el que haga sus veces con los hogares que hayan sido beneficiarios de un subsidio familiar de vivienda urbano que se encuentre sin aplicar u hogares que se encuentren en estado “Calificado”. </w:t>
      </w:r>
    </w:p>
    <w:p w14:paraId="4F8643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D156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Sistema de Información del Subsidio Familiar de Vivienda Administrado por FONVIVIENDA o el que haga sus veces con los hogares que hayan sido beneficiarios de un subsidio familiar de vivienda urbano asignado en la bolsa de desastres naturales que se encuentre sin aplicar. </w:t>
      </w:r>
    </w:p>
    <w:p w14:paraId="35F962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3590BB" w14:textId="66CE271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DPS definirá mediante resolución cuál es el corte de información de las bases de datos antes mencionadas que utilizará en la identificación de los potenciales beneficiarios del SFVE. </w:t>
      </w:r>
    </w:p>
    <w:p w14:paraId="0DBDCADD"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10FE37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los hogares damnificados por desastre natural, calamidad pública o emergencia, y aquellos hogares localizados en zonas de alto riesgo no mitigable, los listados a utilizar serán los siguientes: </w:t>
      </w:r>
    </w:p>
    <w:p w14:paraId="03A3A3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BBD8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Listado de hogares con subsidio familiar de vivienda urbana sin aplicar, asignado en la bolsa de desastres naturales remitido por FONVIVIENDA. </w:t>
      </w:r>
    </w:p>
    <w:p w14:paraId="3C5D1F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88A0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Censo de hogares damnificados de desastre natural, calamidad pública o emergencia, y de hogares localizados en zonas de alto riesgo, elaborados antes del 17 de septiembre de 2012, por los Consejos Municipales para la Gestión del Riesgo de Desastres (antes CLOPAD), avalados por los Consejos Departamentales para la Gestión del Riesgo de Desastres (antes CREPAD) y refrendados por la Unidad Nacional para la Gestión del Riesgo de Desastres (UNGRD). </w:t>
      </w:r>
    </w:p>
    <w:p w14:paraId="237C82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ADE2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Censo de hogares damnificados de desastre natural, calamidad pública o emergencia, y de hogares localizados en zonas de alto riesgo, elaborados a partir del 17 de septiembre de 2012 por los Consejos Municipales para la Gestión del Riesgo de Desastres (antes CLOPAD), avalados por los Consejos Departamentales para la Gestión del Riesgo de Desastres (antes CREPAD) y refrendados por la Unidad Nacional para la Gestión del Riesgo de Desastres (UNGRD). </w:t>
      </w:r>
    </w:p>
    <w:p w14:paraId="7BD6C5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6C55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alcaldes municipales y distritales entregarán al DPS para su revisión e inclusión en los listados de hogares potenciales beneficiarios, los censos a los que hacen referencia los literales b y c del presente artículo. </w:t>
      </w:r>
    </w:p>
    <w:p w14:paraId="592E1E9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50" w:name="ver_30069363"/>
      <w:bookmarkEnd w:id="350"/>
    </w:p>
    <w:p w14:paraId="59592C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2.1.1.2.1.2.2. Identificación de hogares potenciales beneficiarios. El DPS realizará la identificación de los potenciales beneficiarios del SFVE teniendo en cuenta los porcentajes de composición poblacional del proyecto y atendiendo los criterios de priorización que se determinen en la presente sección. </w:t>
      </w:r>
    </w:p>
    <w:p w14:paraId="4D12BE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1BCD04"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el número de viviendas a asignar para los grupos de población I y III exceda el número de hogares potenciales beneficiarios de la Red Unidos, en el respectivo orden de priorización, el DPS verificará en segundo lugar a los hogares que estén incluidos en la base SISBÉN III, de acuerdo a los puntos de corte que establezca el DPS por resolución. </w:t>
      </w:r>
    </w:p>
    <w:p w14:paraId="357F992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51" w:name="ver_30167070"/>
      <w:bookmarkStart w:id="352" w:name="ver_30069364"/>
      <w:bookmarkEnd w:id="351"/>
    </w:p>
    <w:p w14:paraId="7B223E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2.1.1.2.1.2.3. Criterios de organización de los grupos poblacionales. El Ministerio de Vivienda, Ciudad y Territorio y el Departamento Administrativo para la Prosperidad Social expedirán una resolución conjunta en la que establecerán los órdenes de priorización de los hogares potenciales beneficiarios. Para conformar el listado de potenciales beneficiarios de cada uno de los grupos de población de un proyecto, el Departamento Administrativo para la Prosperidad Social expedirá un acto administrativo mediante el cual aplicará dichos órdenes de priorización, según sea el caso, teniendo en cuenta los grupos poblacionales establecidos en el artículo 12 de la Ley 1537 de 2012 y demás normas que lo desarrollen, modifiquen o adicionen. Para este efecto, el acto administrativo deberá tener en cuenta las siguientes condiciones de los hogares potenciales beneficiarios:  </w:t>
      </w:r>
    </w:p>
    <w:p w14:paraId="6BB3B2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DB2A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Población víctima de desplazamiento forzado:  </w:t>
      </w:r>
    </w:p>
    <w:p w14:paraId="5DEF2179"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E40037"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1. Hogares víctimas de desplazamiento forzado que hayan sido beneficiarios de un subsidio familiar de vivienda urbano asignado por Fonvivienda que se encontra</w:t>
      </w:r>
      <w:r w:rsidRPr="009342F9">
        <w:rPr>
          <w:rFonts w:ascii="Arial" w:eastAsia="Times New Roman" w:hAnsi="Arial" w:cs="Arial"/>
          <w:color w:val="000000"/>
          <w:lang w:eastAsia="es-CO"/>
        </w:rPr>
        <w:softHyphen/>
        <w:t>ban vinculados en proyectos indemnizados, en incumplimiento o paralizados, en programas o bolsas anteriores a la expedición de la Ley 1537 de 2012, cuya ejecución no pueda ser concluida.  </w:t>
      </w:r>
    </w:p>
    <w:p w14:paraId="7AE90EFA"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F07438"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2. Hogares víctimas de desplazamiento forzado que hayan sido beneficiarios de un Subsidio familiar de vivienda urbano asignado por Fonvivienda que se encuentre sin aplicar.  </w:t>
      </w:r>
    </w:p>
    <w:p w14:paraId="78A77BA8"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3FCAC6"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3. Hogares víctimas de desplazamiento forzado que se encuentren en estado “Cali</w:t>
      </w:r>
      <w:r w:rsidRPr="009342F9">
        <w:rPr>
          <w:rFonts w:ascii="Arial" w:eastAsia="Times New Roman" w:hAnsi="Arial" w:cs="Arial"/>
          <w:color w:val="000000"/>
          <w:lang w:eastAsia="es-CO"/>
        </w:rPr>
        <w:softHyphen/>
        <w:t>ficado” en el sistema de información del subsidio familiar de vivienda adminis</w:t>
      </w:r>
      <w:r w:rsidRPr="009342F9">
        <w:rPr>
          <w:rFonts w:ascii="Arial" w:eastAsia="Times New Roman" w:hAnsi="Arial" w:cs="Arial"/>
          <w:color w:val="000000"/>
          <w:lang w:eastAsia="es-CO"/>
        </w:rPr>
        <w:softHyphen/>
        <w:t>trado por Fonvivienda, que se hayan postulado en la convocatoria para población en situación de desplazamiento realizada en el año 2007.  </w:t>
      </w:r>
    </w:p>
    <w:p w14:paraId="4652F9C0"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442332"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4. Hogares incorporados como víctimas de desplazamiento forzado en la base de datos del RUV.  </w:t>
      </w:r>
    </w:p>
    <w:p w14:paraId="69073D4E" w14:textId="77777777" w:rsidR="00FC79C1" w:rsidRPr="009342F9" w:rsidRDefault="00FC79C1" w:rsidP="00FC79C1">
      <w:pPr>
        <w:spacing w:after="0" w:line="240" w:lineRule="auto"/>
        <w:ind w:left="708"/>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C7DB30" w14:textId="77777777" w:rsidR="00FC79C1" w:rsidRPr="009342F9" w:rsidRDefault="00FC79C1" w:rsidP="00FC79C1">
      <w:pPr>
        <w:spacing w:after="0" w:line="240" w:lineRule="auto"/>
        <w:ind w:left="708"/>
        <w:jc w:val="both"/>
        <w:rPr>
          <w:rFonts w:ascii="Arial" w:eastAsia="Times New Roman" w:hAnsi="Arial" w:cs="Arial"/>
          <w:color w:val="000000"/>
          <w:lang w:eastAsia="es-CO"/>
        </w:rPr>
      </w:pPr>
      <w:r w:rsidRPr="009342F9">
        <w:rPr>
          <w:rFonts w:ascii="Arial" w:eastAsia="Times New Roman" w:hAnsi="Arial" w:cs="Arial"/>
          <w:color w:val="000000"/>
          <w:lang w:eastAsia="es-CO"/>
        </w:rPr>
        <w:t>5. Hogares que cumplan con alguna de las condiciones anteriores y pertenezcan a la Red Unidos;  </w:t>
      </w:r>
    </w:p>
    <w:p w14:paraId="6F3091F5"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5C55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Población de la Red Unidos:  </w:t>
      </w:r>
    </w:p>
    <w:p w14:paraId="32552FD5"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18D05B"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Hogares que cumplan con alguna de las condiciones del literal a) del presente artículo </w:t>
      </w:r>
      <w:proofErr w:type="spellStart"/>
      <w:r w:rsidRPr="009342F9">
        <w:rPr>
          <w:rFonts w:ascii="Arial" w:eastAsia="Times New Roman" w:hAnsi="Arial" w:cs="Arial"/>
          <w:color w:val="000000"/>
          <w:lang w:eastAsia="es-CO"/>
        </w:rPr>
        <w:t>ypertenezcan</w:t>
      </w:r>
      <w:proofErr w:type="spellEnd"/>
      <w:r w:rsidRPr="009342F9">
        <w:rPr>
          <w:rFonts w:ascii="Arial" w:eastAsia="Times New Roman" w:hAnsi="Arial" w:cs="Arial"/>
          <w:color w:val="000000"/>
          <w:lang w:eastAsia="es-CO"/>
        </w:rPr>
        <w:t xml:space="preserve"> a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Administra</w:t>
      </w:r>
      <w:r w:rsidRPr="009342F9">
        <w:rPr>
          <w:rFonts w:ascii="Arial" w:eastAsia="Times New Roman" w:hAnsi="Arial" w:cs="Arial"/>
          <w:color w:val="000000"/>
          <w:lang w:eastAsia="es-CO"/>
        </w:rPr>
        <w:softHyphen/>
        <w:t>tivo para la Prosperidad Social por resolución.  </w:t>
      </w:r>
    </w:p>
    <w:p w14:paraId="17FDDB99"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DE3A54"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Hogares indígenas, afrocolombianos, negros, raizales, palenqueros, </w:t>
      </w:r>
      <w:proofErr w:type="spellStart"/>
      <w:r w:rsidRPr="009342F9">
        <w:rPr>
          <w:rFonts w:ascii="Arial" w:eastAsia="Times New Roman" w:hAnsi="Arial" w:cs="Arial"/>
          <w:color w:val="000000"/>
          <w:lang w:eastAsia="es-CO"/>
        </w:rPr>
        <w:t>Rom</w:t>
      </w:r>
      <w:proofErr w:type="spellEnd"/>
      <w:r w:rsidRPr="009342F9">
        <w:rPr>
          <w:rFonts w:ascii="Arial" w:eastAsia="Times New Roman" w:hAnsi="Arial" w:cs="Arial"/>
          <w:color w:val="000000"/>
          <w:lang w:eastAsia="es-CO"/>
        </w:rPr>
        <w:t xml:space="preserve"> o gita</w:t>
      </w:r>
      <w:r w:rsidRPr="009342F9">
        <w:rPr>
          <w:rFonts w:ascii="Arial" w:eastAsia="Times New Roman" w:hAnsi="Arial" w:cs="Arial"/>
          <w:color w:val="000000"/>
          <w:lang w:eastAsia="es-CO"/>
        </w:rPr>
        <w:softHyphen/>
        <w:t>nos que hagan parte de la Red Unidos.  </w:t>
      </w:r>
    </w:p>
    <w:p w14:paraId="68704F67"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A306AD"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Hogares que hagan parte de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w:t>
      </w:r>
      <w:r w:rsidRPr="009342F9">
        <w:rPr>
          <w:rFonts w:ascii="Arial" w:eastAsia="Times New Roman" w:hAnsi="Arial" w:cs="Arial"/>
          <w:color w:val="000000"/>
          <w:lang w:eastAsia="es-CO"/>
        </w:rPr>
        <w:softHyphen/>
        <w:t>ministrativo para la Prosperidad Social por resolución;  </w:t>
      </w:r>
    </w:p>
    <w:p w14:paraId="0443DB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3AA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Hogares damnificados de desastre natural, calamidad pública o emergen</w:t>
      </w:r>
      <w:r w:rsidRPr="009342F9">
        <w:rPr>
          <w:rFonts w:ascii="Arial" w:eastAsia="Times New Roman" w:hAnsi="Arial" w:cs="Arial"/>
          <w:color w:val="000000"/>
          <w:lang w:eastAsia="es-CO"/>
        </w:rPr>
        <w:softHyphen/>
        <w:t>cia, o localizados en zonas de alto riesgo:  </w:t>
      </w:r>
    </w:p>
    <w:p w14:paraId="765A8E58"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13ADE6"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Hogares que hayan sido beneficiarios de un subsidio familiar de vivienda urbano asignado en la bolsa de desastres naturales por Fonvivienda, que se encuentre sin aplicar, y que pertenezcan a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Administrativo para la Prosperidad Social por resolución.  </w:t>
      </w:r>
    </w:p>
    <w:p w14:paraId="0D0301A3"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627CB7"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Hogares damnificados de desastre natural, calamidad pública o emergencia y hogares localizados en zonas de alto riesgo, que se encuentren incluidos en los censos ya elaborados por los Consejos Municipales para la Gestión del Riesgo de Desastres (antes </w:t>
      </w:r>
      <w:proofErr w:type="spellStart"/>
      <w:r w:rsidRPr="009342F9">
        <w:rPr>
          <w:rFonts w:ascii="Arial" w:eastAsia="Times New Roman" w:hAnsi="Arial" w:cs="Arial"/>
          <w:color w:val="000000"/>
          <w:lang w:eastAsia="es-CO"/>
        </w:rPr>
        <w:t>Clopad</w:t>
      </w:r>
      <w:proofErr w:type="spellEnd"/>
      <w:r w:rsidRPr="009342F9">
        <w:rPr>
          <w:rFonts w:ascii="Arial" w:eastAsia="Times New Roman" w:hAnsi="Arial" w:cs="Arial"/>
          <w:color w:val="000000"/>
          <w:lang w:eastAsia="es-CO"/>
        </w:rPr>
        <w:t>), avalados por los Consejos Departamentales para la Gestión del Riesgo de Desastres (antes Crepad) y refrendados por la Unidad Nacional para la Gestión del Riesgo de Desastres (</w:t>
      </w:r>
      <w:proofErr w:type="spellStart"/>
      <w:r w:rsidRPr="009342F9">
        <w:rPr>
          <w:rFonts w:ascii="Arial" w:eastAsia="Times New Roman" w:hAnsi="Arial" w:cs="Arial"/>
          <w:color w:val="000000"/>
          <w:lang w:eastAsia="es-CO"/>
        </w:rPr>
        <w:t>Ungrd</w:t>
      </w:r>
      <w:proofErr w:type="spellEnd"/>
      <w:r w:rsidRPr="009342F9">
        <w:rPr>
          <w:rFonts w:ascii="Arial" w:eastAsia="Times New Roman" w:hAnsi="Arial" w:cs="Arial"/>
          <w:color w:val="000000"/>
          <w:lang w:eastAsia="es-CO"/>
        </w:rPr>
        <w:t>), al 29 de diciembre de 2014, y que pertenezcan a la Red Unidos o que estén incluidos en la base del Sisbén III, de acuerdo a los puntos de corte que establezca el Departamento Ad</w:t>
      </w:r>
      <w:r w:rsidRPr="009342F9">
        <w:rPr>
          <w:rFonts w:ascii="Arial" w:eastAsia="Times New Roman" w:hAnsi="Arial" w:cs="Arial"/>
          <w:color w:val="000000"/>
          <w:lang w:eastAsia="es-CO"/>
        </w:rPr>
        <w:softHyphen/>
        <w:t>ministrativo para la Prosperidad Social por resolución.  </w:t>
      </w:r>
    </w:p>
    <w:p w14:paraId="285762A8"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708945"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Hogares damnificados de desastre natural, calamidad pública o emergencia y hogares localizados en zonas de alto riesgo, que se encuentren incluidos en los censos que se elaboren, avalen y refrenden, a partir del 29 de diciembre de 2014, y que pertenezcan a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Administrativo para la Prosperidad Social por resolución.  </w:t>
      </w:r>
    </w:p>
    <w:p w14:paraId="674EE56B"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C43367"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4. Hogares localizados en zonas de riesgo por la ocurrencia de eventos físicos pe</w:t>
      </w:r>
      <w:r w:rsidRPr="009342F9">
        <w:rPr>
          <w:rFonts w:ascii="Arial" w:eastAsia="Times New Roman" w:hAnsi="Arial" w:cs="Arial"/>
          <w:color w:val="000000"/>
          <w:lang w:eastAsia="es-CO"/>
        </w:rPr>
        <w:softHyphen/>
        <w:t>ligrosos de origen tecnológico derivados de la ejecución u operación de obras de infraestructura o proyectos de interés nacional y estratégico desarrollados por el Gobierno nacional, así como hogares localizados en zonas de afectación, reserva o retiro, por el diseño, ejecución un operación de una obra de infraestructura o proyectos de interés nacional y estratégico desarrollados por el Gobierno nacio</w:t>
      </w:r>
      <w:r w:rsidRPr="009342F9">
        <w:rPr>
          <w:rFonts w:ascii="Arial" w:eastAsia="Times New Roman" w:hAnsi="Arial" w:cs="Arial"/>
          <w:color w:val="000000"/>
          <w:lang w:eastAsia="es-CO"/>
        </w:rPr>
        <w:softHyphen/>
        <w:t>nal, de conformidad con los análisis específicos de riesgos y planes de contin</w:t>
      </w:r>
      <w:r w:rsidRPr="009342F9">
        <w:rPr>
          <w:rFonts w:ascii="Arial" w:eastAsia="Times New Roman" w:hAnsi="Arial" w:cs="Arial"/>
          <w:color w:val="000000"/>
          <w:lang w:eastAsia="es-CO"/>
        </w:rPr>
        <w:softHyphen/>
        <w:t>gencia de que trata el artículo 42 de la Ley 1523 de 2012. En ambos eventos, los hogares deberán estar identificados por la entidad encargada del diseño, ejecu</w:t>
      </w:r>
      <w:r w:rsidRPr="009342F9">
        <w:rPr>
          <w:rFonts w:ascii="Arial" w:eastAsia="Times New Roman" w:hAnsi="Arial" w:cs="Arial"/>
          <w:color w:val="000000"/>
          <w:lang w:eastAsia="es-CO"/>
        </w:rPr>
        <w:softHyphen/>
        <w:t xml:space="preserve">ción u operación de la obra, incluidos en los censos elaborados por los Consejos Municipales para la Gestión del Riesgo de Desastres (antes </w:t>
      </w:r>
      <w:proofErr w:type="spellStart"/>
      <w:r w:rsidRPr="009342F9">
        <w:rPr>
          <w:rFonts w:ascii="Arial" w:eastAsia="Times New Roman" w:hAnsi="Arial" w:cs="Arial"/>
          <w:color w:val="000000"/>
          <w:lang w:eastAsia="es-CO"/>
        </w:rPr>
        <w:t>Clopad</w:t>
      </w:r>
      <w:proofErr w:type="spellEnd"/>
      <w:r w:rsidRPr="009342F9">
        <w:rPr>
          <w:rFonts w:ascii="Arial" w:eastAsia="Times New Roman" w:hAnsi="Arial" w:cs="Arial"/>
          <w:color w:val="000000"/>
          <w:lang w:eastAsia="es-CO"/>
        </w:rPr>
        <w:t>), avalados por los Consejos Departamentales para la Gestión del Riesgo de Desastres (an</w:t>
      </w:r>
      <w:r w:rsidRPr="009342F9">
        <w:rPr>
          <w:rFonts w:ascii="Arial" w:eastAsia="Times New Roman" w:hAnsi="Arial" w:cs="Arial"/>
          <w:color w:val="000000"/>
          <w:lang w:eastAsia="es-CO"/>
        </w:rPr>
        <w:softHyphen/>
        <w:t>tes Crepad), refrendados por la Unidad Nacional para la Gestión del Riesgo de Desastres (</w:t>
      </w:r>
      <w:proofErr w:type="spellStart"/>
      <w:r w:rsidRPr="009342F9">
        <w:rPr>
          <w:rFonts w:ascii="Arial" w:eastAsia="Times New Roman" w:hAnsi="Arial" w:cs="Arial"/>
          <w:color w:val="000000"/>
          <w:lang w:eastAsia="es-CO"/>
        </w:rPr>
        <w:t>Ungrd</w:t>
      </w:r>
      <w:proofErr w:type="spellEnd"/>
      <w:r w:rsidRPr="009342F9">
        <w:rPr>
          <w:rFonts w:ascii="Arial" w:eastAsia="Times New Roman" w:hAnsi="Arial" w:cs="Arial"/>
          <w:color w:val="000000"/>
          <w:lang w:eastAsia="es-CO"/>
        </w:rPr>
        <w:t>), y que pertenezcan a la Red Unidos o que estén incluidos en la base del Sisbén III, de acuerdo a los puntos de corte que establezca el Depar</w:t>
      </w:r>
      <w:r w:rsidRPr="009342F9">
        <w:rPr>
          <w:rFonts w:ascii="Arial" w:eastAsia="Times New Roman" w:hAnsi="Arial" w:cs="Arial"/>
          <w:color w:val="000000"/>
          <w:lang w:eastAsia="es-CO"/>
        </w:rPr>
        <w:softHyphen/>
        <w:t>tamento Administrativo para la Prosperidad Social por resolución.  </w:t>
      </w:r>
    </w:p>
    <w:p w14:paraId="79F4E8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785C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Departamento Administrativo para la Prosperidad Social clasificará y evaluará de manera consolidada los grupos poblacionales, de forma tal que se beneficie a quienes se encuentren en las condiciones establecidas en el inciso segundo del artículo 12 de la Ley 1537 de 2012.  </w:t>
      </w:r>
    </w:p>
    <w:p w14:paraId="7B8253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DA7D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hogares deberán residir en el municipio en que se ejecute el proyecto en el cual se desarrollarán las viviendas a ser transferidas a título de SFVE, de acuerdo con los registros de las bases de datos a las que se refiere la presente sección. La información de residencia actualizada referente a los hogares en condición de desplazamiento deberá ser remitida por la Unidad para la Atención y Reparación Integral a las Víctimas (</w:t>
      </w:r>
      <w:proofErr w:type="spellStart"/>
      <w:r w:rsidRPr="009342F9">
        <w:rPr>
          <w:rFonts w:ascii="Arial" w:eastAsia="Times New Roman" w:hAnsi="Arial" w:cs="Arial"/>
          <w:color w:val="000000"/>
          <w:lang w:eastAsia="es-CO"/>
        </w:rPr>
        <w:t>Uariv</w:t>
      </w:r>
      <w:proofErr w:type="spellEnd"/>
      <w:r w:rsidRPr="009342F9">
        <w:rPr>
          <w:rFonts w:ascii="Arial" w:eastAsia="Times New Roman" w:hAnsi="Arial" w:cs="Arial"/>
          <w:color w:val="000000"/>
          <w:lang w:eastAsia="es-CO"/>
        </w:rPr>
        <w:t>) al Departamento Administrativo para la Prosperidad Social, en los términos del parágrafo 1° del artículo 2.1.1.2.1.2.7.  </w:t>
      </w:r>
    </w:p>
    <w:p w14:paraId="46086A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DA16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clasificación de los hogares en condición de desplazamiento que hayan sido beneficiarios de un subsidio familiar de vivienda urbano asignado por Fonvivienda que se encontraban vinculados en proyectos indemnizados, en incumplimiento o paralizados, cuya ejecución no pueda ser concluida; de los hogares en condición de desplazamiento que hayan sido beneficiarios de un subsidio familiar de vivienda urbano asignado por Fonvivienda que se encuentre sin aplicar, de los hogares desplazados que se encuentren en estado “Calificado” en el sistema de información del subsidio familiar de vivienda administrado por Fonvivienda; y de los hogares beneficiarios de un subsidio familiar de vivienda urbano asignado en la bolsa de desastres naturales que se encuentre sin aplicar, se realizará con base en la información oficial remitida al Departamento Administrativo para la Prosperidad Social por Fonvivienda. </w:t>
      </w:r>
    </w:p>
    <w:p w14:paraId="40DD6C2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53" w:name="ver_30069365"/>
      <w:bookmarkEnd w:id="352"/>
      <w:bookmarkEnd w:id="353"/>
    </w:p>
    <w:p w14:paraId="098B8F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2.1.1.2.1.2.4. Listados de hogares potenciales beneficiarios. El DPS comunicará a FONVIVIENDA, la resolución que contenga la relación de los hogares potencialmente beneficiarios para cada proyecto de vivienda propendiendo para que en cada proyecto haya al menos el 150% de población potencial beneficiaria de cada grupo de población. </w:t>
      </w:r>
    </w:p>
    <w:p w14:paraId="4A11DD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691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para completar el porcentaje mínimo requerido, el DPS deba acudir a un nuevo orden, este será incluido en su totalidad en el listado de hogares potenciales beneficiarios remitido a FONVIVIENDA. </w:t>
      </w:r>
    </w:p>
    <w:p w14:paraId="1D7B37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FA13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 en el procedimiento de identificación de potenciales beneficiarios no se cumpliere con el porcentaje establecido en el presente artículo, el DPS informará al Fondo Nacional de Vivienda antes de la expedición del acto administrativo que contiene el listado de potenciales beneficiarios, quien podrá modificar la composición poblacional, atendiendo criterios de participación y equidad en los restantes grupos poblacionales. FONVIVIENDA informará las modificaciones al DPS, para que este proceda a la elaboración del listado. </w:t>
      </w:r>
    </w:p>
    <w:p w14:paraId="06C182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A6F3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Si una vez realizados 2 procedimientos de convocatoria y postulación de que tratan los artículos 2.1.1.2.1.2.5 y 2.1.1.2.1.2.6 de la presente sección, alguno de los grupos de población no completa el cupo del número de viviendas, el Fondo Nacional de Vivienda podrá modificar la composición poblacional en alguno de los otros grupos poblacionales, que cuenten con hogares habilitados, y siempre con criterios de participación o podrá como último recurso, solicitar al DPS la elaboración de un nuevo listado de potenciales beneficiarios que incluya el siguiente orden de priorización de acuerdo al artículo 2.1.1.2.1.2.3 de la presente sección. </w:t>
      </w:r>
    </w:p>
    <w:p w14:paraId="24D5991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54" w:name="ver_30167075"/>
      <w:bookmarkStart w:id="355" w:name="ver_30069366"/>
      <w:bookmarkEnd w:id="354"/>
    </w:p>
    <w:p w14:paraId="315FC1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2.1.1.2.1.2.5. Convocatoria. FONVIVIENDA, mediante acto administrativo, dará apertura a la convocatoria a los hogares potencialmente beneficiarios de acuerdo con los listados contenidos en la resolución emitida por el DPS, para su postulación ante FONVIVIENDA o el operador que este designe, y durante el término establecido por FONVIVIENDA mediante resolución. </w:t>
      </w:r>
    </w:p>
    <w:p w14:paraId="419EA8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C5C5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transcurra un término superior a 6 meses contados a partir de la expedición del listado de potenciales beneficiarios respectivo, por parte del DPS, sin que se haya dado apertura a la convocatoria, se deberá surtir nuevamente el proceso descrito en la presente sección a cabalidad. </w:t>
      </w:r>
    </w:p>
    <w:p w14:paraId="30E04A36" w14:textId="5B50F337" w:rsidR="00FC79C1" w:rsidRPr="009342F9" w:rsidRDefault="00FC79C1" w:rsidP="009342F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9C8FE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56" w:name="ver_30069367"/>
      <w:bookmarkEnd w:id="355"/>
      <w:bookmarkEnd w:id="356"/>
      <w:r w:rsidRPr="009342F9">
        <w:rPr>
          <w:rFonts w:ascii="Arial" w:eastAsia="Times New Roman" w:hAnsi="Arial" w:cs="Arial"/>
          <w:color w:val="000000"/>
          <w:lang w:eastAsia="es-CO"/>
        </w:rPr>
        <w:t xml:space="preserve">Artículo 2.1.1.2.1.2.6. Postulación. Los hogares potencialmente beneficiarios definidos por el DPS mediante </w:t>
      </w:r>
      <w:proofErr w:type="gramStart"/>
      <w:r w:rsidRPr="009342F9">
        <w:rPr>
          <w:rFonts w:ascii="Arial" w:eastAsia="Times New Roman" w:hAnsi="Arial" w:cs="Arial"/>
          <w:color w:val="000000"/>
          <w:lang w:eastAsia="es-CO"/>
        </w:rPr>
        <w:t>resolución,</w:t>
      </w:r>
      <w:proofErr w:type="gramEnd"/>
      <w:r w:rsidRPr="009342F9">
        <w:rPr>
          <w:rFonts w:ascii="Arial" w:eastAsia="Times New Roman" w:hAnsi="Arial" w:cs="Arial"/>
          <w:color w:val="000000"/>
          <w:lang w:eastAsia="es-CO"/>
        </w:rPr>
        <w:t xml:space="preserve"> deberán suministrar la información de postulación al operador designado, y entregar los documentos que se señalan a continuación: </w:t>
      </w:r>
    </w:p>
    <w:p w14:paraId="724A00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14C2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Formulario debidamente diligenciado con los datos de los miembros que conforman el hogar, con indicación de su información socioeconómica, jefe del hogar postulante, la condición de discapacidad, de mujer u hombre cabeza de hogar, indígena, </w:t>
      </w:r>
      <w:proofErr w:type="gramStart"/>
      <w:r w:rsidRPr="009342F9">
        <w:rPr>
          <w:rFonts w:ascii="Arial" w:eastAsia="Times New Roman" w:hAnsi="Arial" w:cs="Arial"/>
          <w:color w:val="000000"/>
          <w:lang w:eastAsia="es-CO"/>
        </w:rPr>
        <w:t>afro descendiente</w:t>
      </w:r>
      <w:proofErr w:type="gramEnd"/>
      <w:r w:rsidRPr="009342F9">
        <w:rPr>
          <w:rFonts w:ascii="Arial" w:eastAsia="Times New Roman" w:hAnsi="Arial" w:cs="Arial"/>
          <w:color w:val="000000"/>
          <w:lang w:eastAsia="es-CO"/>
        </w:rPr>
        <w:t xml:space="preserve">, </w:t>
      </w:r>
      <w:proofErr w:type="spellStart"/>
      <w:r w:rsidRPr="009342F9">
        <w:rPr>
          <w:rFonts w:ascii="Arial" w:eastAsia="Times New Roman" w:hAnsi="Arial" w:cs="Arial"/>
          <w:color w:val="000000"/>
          <w:lang w:eastAsia="es-CO"/>
        </w:rPr>
        <w:t>Rom</w:t>
      </w:r>
      <w:proofErr w:type="spellEnd"/>
      <w:r w:rsidRPr="009342F9">
        <w:rPr>
          <w:rFonts w:ascii="Arial" w:eastAsia="Times New Roman" w:hAnsi="Arial" w:cs="Arial"/>
          <w:color w:val="000000"/>
          <w:lang w:eastAsia="es-CO"/>
        </w:rPr>
        <w:t xml:space="preserve"> o gitano, y señalando de forma clara la dirección o referencia del lugar en que se encuentra habitando al momento de la postulación. </w:t>
      </w:r>
    </w:p>
    <w:p w14:paraId="6383F0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9CE7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Registro civil de matrimonio o prueba de unión marital de hecho de conformidad con la Ley 979 de 2005, cuando fuere el caso. </w:t>
      </w:r>
    </w:p>
    <w:p w14:paraId="3975B5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CC96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Fotocopia de la cédula de ciudadanía de los mayores de 18 años y registro civil de nacimiento de los demás miembros del hogar que se postula. </w:t>
      </w:r>
    </w:p>
    <w:p w14:paraId="0AABE2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1367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incluirá en el formulario la declaración jurada de los miembros del hogar postulante mayores de edad, que se entenderá surtida con la firma del mismo, en la que manifiestan que cumplen en forma conjunta con las condiciones para ser beneficiarios del subsidio familiar de vivienda en especie, que no están incursos en las inhabilidades para solicitarlo y que los datos suministrados son ciertos, así como la autorización para verificar la información suministrada y aceptación para ser excluido de manera automática del proceso de selección en caso de verificarse que la información aportada no corresponda a la verdad. </w:t>
      </w:r>
    </w:p>
    <w:p w14:paraId="266801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FF318F" w14:textId="77777777"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Parágrafo. El formulario de postulación será impreso por parte del operador que se designe para tal efecto, una vez culmine y cargue la captura en línea de la información suministrada por el hogar, para su revisión y firmas. </w:t>
      </w:r>
    </w:p>
    <w:p w14:paraId="3A4DABE2" w14:textId="77777777" w:rsidR="007C7D44" w:rsidRPr="009342F9" w:rsidRDefault="007C7D44" w:rsidP="00FC79C1">
      <w:pPr>
        <w:spacing w:after="0" w:line="240" w:lineRule="auto"/>
        <w:jc w:val="both"/>
        <w:rPr>
          <w:rFonts w:ascii="Arial" w:eastAsia="Times New Roman" w:hAnsi="Arial" w:cs="Arial"/>
          <w:color w:val="000000"/>
          <w:lang w:eastAsia="es-CO"/>
        </w:rPr>
      </w:pPr>
    </w:p>
    <w:p w14:paraId="2F9785DF" w14:textId="5610FB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57" w:name="ver_30167076"/>
      <w:bookmarkStart w:id="358" w:name="ver_30069368"/>
      <w:bookmarkEnd w:id="357"/>
      <w:r w:rsidRPr="009342F9">
        <w:rPr>
          <w:rFonts w:ascii="Arial" w:eastAsia="Times New Roman" w:hAnsi="Arial" w:cs="Arial"/>
          <w:color w:val="000000"/>
          <w:lang w:eastAsia="es-CO"/>
        </w:rPr>
        <w:t>Artículo 2.1.1.2.1.2.7. Verificación de la información. Antes de concluir el proceso de asignación del SFVE, el Fondo Nacional de Vivienda -FONVIVIENDA- tendrá la facultad de revisar en cualquier momento la consistencia y/o veracidad de la información suministrada por el postulante. Si se determina que existe imprecisión o falta de veracidad en los datos suministrados en el formulario de postulación y/o en los documentos que lo acompañan, o en las condiciones o requisitos del hogar, se solicitará al postulante emitir las aclaraciones del caso, para lo cual se otorgará un término por parte de la entidad que realice el proceso de verificación. Si dentro del plazo establecido no se subsanan las imprecisiones o se aclaran las presuntas irregularidades que se presenten, se rechazarán las postulaciones presentadas. </w:t>
      </w:r>
    </w:p>
    <w:p w14:paraId="62F79A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EBF5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información actualizada de residencia de los hogares en condición de desplazamiento que hayan sido beneficiarios de un subsidio familiar de vivienda urbano asignado por Fonvivienda que se encontraban vinculados en proyectos indemnizados, en incumplimiento o paralizados, cuya ejecución no pueda ser concluida; los hogares potencialmente beneficiarios en condición de desplazamiento que hayan sido beneficiarios de un subsidio familiar de vivienda urbano asignado por Fonvivienda que se encuentre sin aplicar; y los hogares desplazados que se encuentren en estado “Calificado” en el sistema de información del subsidio familiar de vivienda administrado por Fonvivienda, deberá ser remitida por la </w:t>
      </w:r>
      <w:proofErr w:type="spellStart"/>
      <w:r w:rsidRPr="009342F9">
        <w:rPr>
          <w:rFonts w:ascii="Arial" w:eastAsia="Times New Roman" w:hAnsi="Arial" w:cs="Arial"/>
          <w:color w:val="000000"/>
          <w:lang w:eastAsia="es-CO"/>
        </w:rPr>
        <w:t>Uariv</w:t>
      </w:r>
      <w:proofErr w:type="spellEnd"/>
      <w:r w:rsidRPr="009342F9">
        <w:rPr>
          <w:rFonts w:ascii="Arial" w:eastAsia="Times New Roman" w:hAnsi="Arial" w:cs="Arial"/>
          <w:color w:val="000000"/>
          <w:lang w:eastAsia="es-CO"/>
        </w:rPr>
        <w:t xml:space="preserve"> al Departamento Administrativo para la Prosperidad Social, como entidad encargada de la conformación del listado de hogares postulantes que cumplen requisito para ser beneficiarios del SFVE, con fundamento en la información actualizada en el RUV, con anterioridad a la selección de hogares beneficiarios del SFVE </w:t>
      </w:r>
    </w:p>
    <w:p w14:paraId="660EB09B" w14:textId="77777777" w:rsidR="005A1FCF" w:rsidRPr="009342F9" w:rsidRDefault="005A1FCF" w:rsidP="00FC79C1">
      <w:pPr>
        <w:spacing w:after="0" w:line="240" w:lineRule="auto"/>
        <w:jc w:val="both"/>
        <w:rPr>
          <w:rFonts w:ascii="Arial" w:eastAsia="Times New Roman" w:hAnsi="Arial" w:cs="Arial"/>
          <w:color w:val="000000"/>
          <w:lang w:eastAsia="es-CO"/>
        </w:rPr>
      </w:pPr>
      <w:bookmarkStart w:id="359" w:name="ver_30069369"/>
      <w:bookmarkEnd w:id="358"/>
      <w:bookmarkEnd w:id="359"/>
    </w:p>
    <w:p w14:paraId="5F1CB431" w14:textId="451C34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2.1.1.2.1.2.8. Efectos de la falsedad o imprecisión en la información. Si se advierte la presencia de presunta falsedad o imprecisión en la documentación o información presentada para acreditar los requisitos para ser beneficiario del subsidio familiar de vivienda en especie se solicitará al beneficiario emitir las aclaraciones del caso, para lo cual se otorgará un término por parte de la entidad otorgante. Si dentro del plazo establecido no se aclaran las imprecisiones o se controvierte la presunta falsedad, habrá lugar a la restitución del subsidio familiar de vivienda otorgado, de acuerdo con lo establecido en el inciso segundo del artículo 8° de la Ley 3a de 1991, modificado por el artículo 21 de la Ley 1537 de 2012. </w:t>
      </w:r>
    </w:p>
    <w:p w14:paraId="6B39A9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19E4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se comprueba la falsedad o la existencia de imprecisiones, de acuerdo con lo establecido en el presente artículo, o la condena de los beneficiarios por delitos cometidos en contra de menores de edad, con posterioridad a la asignación del SFVE, pero previa transferencia de la vivienda respectiva, se revocará la asignación y no procederá la transferencia. En el caso en que la vivienda otorgada a título de SFVE ya haya sido transferida, se revocará la asignación del subsidio y como consecuencia el hogar beneficiario deberá restituir la propiedad al patrimonio autónomo respectivo o a FONVIVIENDA, de acuerdo con las instrucciones de este último. </w:t>
      </w:r>
    </w:p>
    <w:p w14:paraId="6264AA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E87C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cualquiera de los casos señalados en este artículo, ninguno de los miembros mayores de edad del hogar postulante podrá solicitar de nuevo un subsidio familiar de vivienda durante un término de diez (10) años, de conformidad con lo estipulado en el artículo 30 de la Ley 3a de 1991. Adicionalmente, cuando se presenten los eventos señalados en el parágrafo 2° del artículo 8° de la Ley 3ª de 1991 modificado por el artículo 21 de la Ley 1537 de 2012, la entidad otorgante del subsidio familiar de vivienda deberá dar traslado de las actuaciones realizadas a la Fiscalía General de la Nación, para que se inicien las investigaciones a que haya lugar. </w:t>
      </w:r>
    </w:p>
    <w:p w14:paraId="2E2405AC" w14:textId="77777777" w:rsidR="009342F9" w:rsidRDefault="009342F9" w:rsidP="00FC79C1">
      <w:pPr>
        <w:spacing w:after="0" w:line="240" w:lineRule="auto"/>
        <w:jc w:val="both"/>
        <w:rPr>
          <w:rFonts w:ascii="Arial" w:eastAsia="Times New Roman" w:hAnsi="Arial" w:cs="Arial"/>
          <w:color w:val="000000"/>
          <w:lang w:eastAsia="es-CO"/>
        </w:rPr>
      </w:pPr>
      <w:bookmarkStart w:id="360" w:name="ver_30110584"/>
      <w:bookmarkStart w:id="361" w:name="ver_30110583"/>
      <w:bookmarkEnd w:id="360"/>
    </w:p>
    <w:p w14:paraId="4D8F35AE" w14:textId="571079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2.1.1.2.1.2.9. Rechazo de la postulación. Fonvivienda rechazará las postulaciones de los hogares que presenten alguna de las siguientes condiciones:  </w:t>
      </w:r>
    </w:p>
    <w:p w14:paraId="0A0B24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7CCB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el postulante comparta el mismo hogar potencial beneficiario con otro postulante.  </w:t>
      </w:r>
    </w:p>
    <w:p w14:paraId="168C88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558F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este caso se aceptará la primera postulación y se rechazarán las posteriores;  </w:t>
      </w:r>
    </w:p>
    <w:p w14:paraId="756EC4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6F29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alguno de los miembros del hogar sea propietario de una o más viviendas, salvo que esta i) haya sido abandonada o despojada en el marco del conflicto armado interno, o ii) se encuentre en zonas de riesgo por la ocurrencia de eventos físicos peligrosos de origen tecnológico o en zonas de afectación por el diseño, ejecución u operación de obras de infraestructura o proyectos de interés nacional y/o estratégicos desarrollados por el Gobierno nacional, de conformidad con los análisis específicos de riesgos y los planes de emergencia y contingencia de que trata el artículo 42 de la Ley 1523 de 2012 o las normas que lo modifiquen, adicionen o sustituyan;  </w:t>
      </w:r>
    </w:p>
    <w:p w14:paraId="048C83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9B27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Que alguno de los miembros del hogar postulante haya sido beneficiario de un subsidio familiar de vivienda que haya sido efectivamente aplicado, salvo quienes hayan perdido la vivienda por imposibilidad de pago, de acuerdo con lo establecido en el artículo 33 de la Ley 546 de 1999 o cuando la vivienda en la cual se haya aplicado el subsidio haya resultado totalmente destruida o quedado inhabitable como consecuencia de desastres naturales, calamidades públicas, emergencias, o atentados terroristas, o haya sido abandonada o despojada en el marco del conflicto armado interno, o se encuentre en zonas de riesgo o afectación a que se refiere el literal b) del presente artículo;  </w:t>
      </w:r>
    </w:p>
    <w:p w14:paraId="644600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9CB3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Que alguno de los miembros del hogar haya sido sancionado conforme a lo dispuesto por el artículo 30 de la Ley 3a de 1991 o las normas que la modifiquen, adicionen o sustituyan.  </w:t>
      </w:r>
    </w:p>
    <w:p w14:paraId="529452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28D7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acreditación de que la vivienda se encuentra en algunas de las situaciones a que se refiere el numeral ii) del literal b) del presente artículo, se realizará mediante certificación emitida por la entidad encargada del diseño, ejecución u operación de la obra e inclusión de los hogares en los censos elaborados por los Consejos Municipales para la Gestión del Riesgo de Desastres, avalados por los Consejos Departamentales para la Gestión del Riesgo de Desastres, refrendados por la Unidad Nacional para la Gestión del Riesgo de Desastres.  </w:t>
      </w:r>
    </w:p>
    <w:p w14:paraId="7CCF3E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99DB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este caso, para la asignación del subsidio familiar de vivienda de que trata el artículo 2.1.1.2.1.4.1 el hogar o el oferente del proyecto deberán acreditar la transferencia del derecho de dominio del inmueble desalojado a la entidad que corresponda de acuerdo con las normas vigentes, mediante la presentación del certificado de libertad y tradición respectivo o con certificación emitida por la entidad adquirente”.  </w:t>
      </w:r>
    </w:p>
    <w:p w14:paraId="1CF9C7D5" w14:textId="77777777" w:rsidR="005A1FCF" w:rsidRPr="009342F9" w:rsidRDefault="005A1FCF" w:rsidP="00FC79C1">
      <w:pPr>
        <w:spacing w:after="0" w:line="240" w:lineRule="auto"/>
        <w:jc w:val="both"/>
        <w:rPr>
          <w:rFonts w:ascii="Arial" w:eastAsia="Times New Roman" w:hAnsi="Arial" w:cs="Arial"/>
          <w:color w:val="000000"/>
          <w:lang w:eastAsia="es-CO"/>
        </w:rPr>
      </w:pPr>
      <w:bookmarkStart w:id="362" w:name="ver_30069371"/>
      <w:bookmarkEnd w:id="361"/>
      <w:bookmarkEnd w:id="362"/>
    </w:p>
    <w:p w14:paraId="53060AC3" w14:textId="5C9A0D36"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29D7BFE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SELECCIÓN DE HOGARES BENEFICIARIOS</w:t>
      </w:r>
    </w:p>
    <w:p w14:paraId="54EA757C"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63" w:name="ver_30167077"/>
      <w:bookmarkStart w:id="364" w:name="ver_30110585"/>
      <w:bookmarkStart w:id="365" w:name="ver_30110586"/>
      <w:bookmarkEnd w:id="363"/>
    </w:p>
    <w:p w14:paraId="41A9EB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2.1.1.2.1.3.1. Proceso de selección de hogares beneficiarios del SFVE. El Ministerio de Vivienda, Ciudad y Territorio y el Departamento Administrativo para la Prosperidad Social expedirán una resolución conjunta en la que establecerán los órdenes de selección de los hogares beneficiarios. Una vez surtidos los procesos establecidos en los artículos 2.1.1.2.1.2.7 y 2.1.1.2.1.2.9 de la presente sección, Fonvivienda remitirá al Departamento Administrativo para la Prosperidad Social el listado de hogares postulantes que cumplen requisito para ser beneficiarios del SFVE, por cada grupo de población. Con base en la resolución y en dichos listados, el Departamento Administrativo para la Prosperidad Social, dentro de los veinte (20) días siguientes al recibo del listado por parte de Fonvivienda, seleccionará a los hogares beneficiarios, con fundamento en los grupos poblacionales establecidos en el artículo 12 de la Ley 1537 de 2012 y demás normas que lo desarrollen, modifiquen o adicionen.  </w:t>
      </w:r>
    </w:p>
    <w:p w14:paraId="2EACB1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1F041A" w14:textId="36FA6483"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proyecto se ejecute en un corregimiento urbano de la jurisdicción de un municipio, se priorizarán en todos los criterios a los cuales se refiere esta sección, los hogares que luego del proceso de postulación reporten que se encuentren ubicados en los respectivos corregimientos, para lo cual Fonvivienda podrá solicitar la información respectiva a los alcaldes municipales o distritales.  </w:t>
      </w:r>
    </w:p>
    <w:p w14:paraId="3EEEC4F0" w14:textId="77777777" w:rsidR="009342F9" w:rsidRPr="009342F9" w:rsidRDefault="009342F9" w:rsidP="00FC79C1">
      <w:pPr>
        <w:spacing w:after="0" w:line="240" w:lineRule="auto"/>
        <w:jc w:val="both"/>
        <w:rPr>
          <w:rFonts w:ascii="Arial" w:eastAsia="Times New Roman" w:hAnsi="Arial" w:cs="Arial"/>
          <w:color w:val="000000"/>
          <w:lang w:eastAsia="es-CO"/>
        </w:rPr>
      </w:pPr>
    </w:p>
    <w:p w14:paraId="6AED36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este efecto, la resolución conjunta a la que hace referencia este artículo deberá tener en cuenta las siguientes condiciones de los hogares beneficiarios:  </w:t>
      </w:r>
    </w:p>
    <w:p w14:paraId="293FA4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9304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Población víctima de desplazamiento forzado:  </w:t>
      </w:r>
    </w:p>
    <w:p w14:paraId="6815BB66"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C316D7"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1. Hogares víctimas de desplazamiento forzado que hayan sido beneficiarios de un subsidio familiar de vivienda urbano asignado por Fonvivienda que se encontra</w:t>
      </w:r>
      <w:r w:rsidRPr="009342F9">
        <w:rPr>
          <w:rFonts w:ascii="Arial" w:eastAsia="Times New Roman" w:hAnsi="Arial" w:cs="Arial"/>
          <w:color w:val="000000"/>
          <w:lang w:eastAsia="es-CO"/>
        </w:rPr>
        <w:softHyphen/>
        <w:t>ban vinculados en proyectos indemnizados, en incumplimiento o paralizados, en programas o bolsas anteriores a la expedición de la Ley 1537 de 2012, cuya ejecución no pueda ser concluida.  </w:t>
      </w:r>
    </w:p>
    <w:p w14:paraId="6B500753"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35F775"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2. Hogares víctimas de desplazamiento forzado que hayan sido beneficiarios de un subsidio familiar de vivienda urbano asignado por Fonvivienda que se encuentre sin aplicar.  </w:t>
      </w:r>
    </w:p>
    <w:p w14:paraId="49632A88"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6373F3"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3. Hogares víctimas de desplazamiento forzado que se encuentren en estado “Cali</w:t>
      </w:r>
      <w:r w:rsidRPr="009342F9">
        <w:rPr>
          <w:rFonts w:ascii="Arial" w:eastAsia="Times New Roman" w:hAnsi="Arial" w:cs="Arial"/>
          <w:color w:val="000000"/>
          <w:lang w:eastAsia="es-CO"/>
        </w:rPr>
        <w:softHyphen/>
        <w:t>ficado” en el sistema de información del subsidio familiar de vivienda adminis</w:t>
      </w:r>
      <w:r w:rsidRPr="009342F9">
        <w:rPr>
          <w:rFonts w:ascii="Arial" w:eastAsia="Times New Roman" w:hAnsi="Arial" w:cs="Arial"/>
          <w:color w:val="000000"/>
          <w:lang w:eastAsia="es-CO"/>
        </w:rPr>
        <w:softHyphen/>
        <w:t>trado por Fonvivienda, que se hayan postulado en la convocatoria para población en situación de desplazamiento realizada en el año 2007.  </w:t>
      </w:r>
    </w:p>
    <w:p w14:paraId="0E643B99"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4F1C0C"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4. Hogares incorporados como víctimas de desplazamiento forzado en la base de datos del RUV.  </w:t>
      </w:r>
    </w:p>
    <w:p w14:paraId="13F3CC6F"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F66A29"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5. Hogares que cumplan con alguna de las condiciones anteriores y pertenezcan a la Red Unidos;  </w:t>
      </w:r>
    </w:p>
    <w:p w14:paraId="2A5364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3D0E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Población de la Red Unidos:  </w:t>
      </w:r>
    </w:p>
    <w:p w14:paraId="2D74A7EC"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5AE26C"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Hogares que cumplan con alguna de las condiciones del literal a) del presente artículo y pertenezcan a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Administra</w:t>
      </w:r>
      <w:r w:rsidRPr="009342F9">
        <w:rPr>
          <w:rFonts w:ascii="Arial" w:eastAsia="Times New Roman" w:hAnsi="Arial" w:cs="Arial"/>
          <w:color w:val="000000"/>
          <w:lang w:eastAsia="es-CO"/>
        </w:rPr>
        <w:softHyphen/>
        <w:t>tivo para la Prosperidad Social por resolución.  </w:t>
      </w:r>
    </w:p>
    <w:p w14:paraId="0CAD3356"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972582"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Hogares indígenas, afrocolombianos, negros, raizales, palenqueros, </w:t>
      </w:r>
      <w:proofErr w:type="spellStart"/>
      <w:r w:rsidRPr="009342F9">
        <w:rPr>
          <w:rFonts w:ascii="Arial" w:eastAsia="Times New Roman" w:hAnsi="Arial" w:cs="Arial"/>
          <w:color w:val="000000"/>
          <w:lang w:eastAsia="es-CO"/>
        </w:rPr>
        <w:t>Rom</w:t>
      </w:r>
      <w:proofErr w:type="spellEnd"/>
      <w:r w:rsidRPr="009342F9">
        <w:rPr>
          <w:rFonts w:ascii="Arial" w:eastAsia="Times New Roman" w:hAnsi="Arial" w:cs="Arial"/>
          <w:color w:val="000000"/>
          <w:lang w:eastAsia="es-CO"/>
        </w:rPr>
        <w:t xml:space="preserve"> o gita</w:t>
      </w:r>
      <w:r w:rsidRPr="009342F9">
        <w:rPr>
          <w:rFonts w:ascii="Arial" w:eastAsia="Times New Roman" w:hAnsi="Arial" w:cs="Arial"/>
          <w:color w:val="000000"/>
          <w:lang w:eastAsia="es-CO"/>
        </w:rPr>
        <w:softHyphen/>
        <w:t>nos que hagan parte de la Red Unidos.  </w:t>
      </w:r>
    </w:p>
    <w:p w14:paraId="2086E011"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4EBF1E"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Hogares que hagan parte de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w:t>
      </w:r>
      <w:r w:rsidRPr="009342F9">
        <w:rPr>
          <w:rFonts w:ascii="Arial" w:eastAsia="Times New Roman" w:hAnsi="Arial" w:cs="Arial"/>
          <w:color w:val="000000"/>
          <w:lang w:eastAsia="es-CO"/>
        </w:rPr>
        <w:softHyphen/>
        <w:t>ministrativo para la Prosperidad Social por resolución.  </w:t>
      </w:r>
    </w:p>
    <w:p w14:paraId="7506E5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8CEC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Hogares damnificados de desastre natural, calamidad pública o emergencia, o localizados en zonas de alto riesgo:  </w:t>
      </w:r>
    </w:p>
    <w:p w14:paraId="4D4F26D7"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91E1AA"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Hogares que hayan sido beneficiarios de un subsidio familiar de vivienda urbano asignado en la bolsa de desastres naturales por Fonvivienda, que se encuentre sin aplicar, y que pertenezcan a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Administrativo para la Prosperidad Social por resolución.  </w:t>
      </w:r>
    </w:p>
    <w:p w14:paraId="278B359D"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948F72"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Hogares damnificados de desastre natural, calamidad pública o emergencia y hogares localizados en zonas de alto riesgo, que se encuentren incluidos en los censos ya elaborados por los Consejos Municipales para la Gestión del Riesgo de Desastres (antes </w:t>
      </w:r>
      <w:proofErr w:type="spellStart"/>
      <w:r w:rsidRPr="009342F9">
        <w:rPr>
          <w:rFonts w:ascii="Arial" w:eastAsia="Times New Roman" w:hAnsi="Arial" w:cs="Arial"/>
          <w:color w:val="000000"/>
          <w:lang w:eastAsia="es-CO"/>
        </w:rPr>
        <w:t>Clopad</w:t>
      </w:r>
      <w:proofErr w:type="spellEnd"/>
      <w:r w:rsidRPr="009342F9">
        <w:rPr>
          <w:rFonts w:ascii="Arial" w:eastAsia="Times New Roman" w:hAnsi="Arial" w:cs="Arial"/>
          <w:color w:val="000000"/>
          <w:lang w:eastAsia="es-CO"/>
        </w:rPr>
        <w:t>), avalados por los Consejos Departamentales para la Gestión del Riesgo de Desastres (antes Crepad) y refrendados por la Unidad Nacional para la Gestión del Riesgo de Desastres (UNGRD), al 29 de diciembre de 2014, y que pertenezcan a la Red Unidos o que estén incluidos en la base del Sisbén III, de acuerdo a los puntos de corte que establezca el Departamento Ad</w:t>
      </w:r>
      <w:r w:rsidRPr="009342F9">
        <w:rPr>
          <w:rFonts w:ascii="Arial" w:eastAsia="Times New Roman" w:hAnsi="Arial" w:cs="Arial"/>
          <w:color w:val="000000"/>
          <w:lang w:eastAsia="es-CO"/>
        </w:rPr>
        <w:softHyphen/>
        <w:t>ministrativo para la Prosperidad Social por resolución.  </w:t>
      </w:r>
    </w:p>
    <w:p w14:paraId="384FBFDD"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8044A5"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Hogares damnificados de desastre natural, calamidad pública o emergencia y hogares localizados en zonas de alto riesgo, que se encuentren incluidos en los censos que se elaboren, avalen y refrenden, a partir del 29 de diciembre de 2014, y que pertenezcan a la Red Unidos o que estén incluidos en la base del Sisbén III,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puntos de corte que establezca el Departamento Administrativo para la Prosperidad Social por resolución.  </w:t>
      </w:r>
    </w:p>
    <w:p w14:paraId="61D65318"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3EA1CC" w14:textId="690612BC" w:rsidR="00FC79C1"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4. Hogares localizados en zonas de riesgo por la ocurrencia de eventos físicos peligrosos de origen tecnológico derivados de la ejecución u operación de obras de infraestructura o proyectos de interés nacional y estratégico desa</w:t>
      </w:r>
      <w:r w:rsidRPr="009342F9">
        <w:rPr>
          <w:rFonts w:ascii="Arial" w:eastAsia="Times New Roman" w:hAnsi="Arial" w:cs="Arial"/>
          <w:color w:val="000000"/>
          <w:lang w:eastAsia="es-CO"/>
        </w:rPr>
        <w:softHyphen/>
        <w:t>rrollados por el Gobierno nacional, así como hogares localizados en zonas de afectación, reserva o retiro, por el diseño, ejecución un operación de una obra de infraestructura o proyectos de interés nacional y estratégico desarro</w:t>
      </w:r>
      <w:r w:rsidRPr="009342F9">
        <w:rPr>
          <w:rFonts w:ascii="Arial" w:eastAsia="Times New Roman" w:hAnsi="Arial" w:cs="Arial"/>
          <w:color w:val="000000"/>
          <w:lang w:eastAsia="es-CO"/>
        </w:rPr>
        <w:softHyphen/>
        <w:t>llados por el Gobierno nacional, de conformidad con los análisis específicos de riesgos y planes de contingencia de que trata el artículo 42 de la Ley 1523 de 2012. En ambos eventos, los hogares deberán estar identificados por la en</w:t>
      </w:r>
      <w:r w:rsidRPr="009342F9">
        <w:rPr>
          <w:rFonts w:ascii="Arial" w:eastAsia="Times New Roman" w:hAnsi="Arial" w:cs="Arial"/>
          <w:color w:val="000000"/>
          <w:lang w:eastAsia="es-CO"/>
        </w:rPr>
        <w:softHyphen/>
        <w:t xml:space="preserve">tidad encargada del diseño, ejecución u operación de la obra, incluidos en los censos elaborados por los Consejos Municipales para la Gestión del Riesgo de Desastres (antes </w:t>
      </w:r>
      <w:proofErr w:type="spellStart"/>
      <w:r w:rsidRPr="009342F9">
        <w:rPr>
          <w:rFonts w:ascii="Arial" w:eastAsia="Times New Roman" w:hAnsi="Arial" w:cs="Arial"/>
          <w:color w:val="000000"/>
          <w:lang w:eastAsia="es-CO"/>
        </w:rPr>
        <w:t>Clopad</w:t>
      </w:r>
      <w:proofErr w:type="spellEnd"/>
      <w:r w:rsidRPr="009342F9">
        <w:rPr>
          <w:rFonts w:ascii="Arial" w:eastAsia="Times New Roman" w:hAnsi="Arial" w:cs="Arial"/>
          <w:color w:val="000000"/>
          <w:lang w:eastAsia="es-CO"/>
        </w:rPr>
        <w:t>), avalados por los Consejos Departamentales para la Gestión del Riesgo de Desastres (antes Crepad), refrendados por la Unidad Nacional para la Gestión del Riesgo de Desastres (UNGRD), y que pertenez</w:t>
      </w:r>
      <w:r w:rsidRPr="009342F9">
        <w:rPr>
          <w:rFonts w:ascii="Arial" w:eastAsia="Times New Roman" w:hAnsi="Arial" w:cs="Arial"/>
          <w:color w:val="000000"/>
          <w:lang w:eastAsia="es-CO"/>
        </w:rPr>
        <w:softHyphen/>
        <w:t>can a la Red Unidos o que estén incluidos en la base del Sisbén III, de acuerdo a los puntos de corte que establezca el Departamento Administrativo para la Prosperidad Social por resolución.  </w:t>
      </w:r>
    </w:p>
    <w:p w14:paraId="2909B78D" w14:textId="77777777" w:rsidR="009342F9" w:rsidRPr="009342F9" w:rsidRDefault="009342F9" w:rsidP="00FC79C1">
      <w:pPr>
        <w:spacing w:after="0" w:line="240" w:lineRule="auto"/>
        <w:ind w:left="700"/>
        <w:jc w:val="both"/>
        <w:rPr>
          <w:rFonts w:ascii="Arial" w:eastAsia="Times New Roman" w:hAnsi="Arial" w:cs="Arial"/>
          <w:color w:val="000000"/>
          <w:lang w:eastAsia="es-CO"/>
        </w:rPr>
      </w:pPr>
    </w:p>
    <w:p w14:paraId="5BD206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criterios antes mencionados se aplicarán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 metodología que se expone a continuación:  </w:t>
      </w:r>
    </w:p>
    <w:p w14:paraId="234C31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0569B3"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a) Si los hogares que conforman el primer criterio de priorización exceden el núme</w:t>
      </w:r>
      <w:r w:rsidRPr="009342F9">
        <w:rPr>
          <w:rFonts w:ascii="Arial" w:eastAsia="Times New Roman" w:hAnsi="Arial" w:cs="Arial"/>
          <w:color w:val="000000"/>
          <w:lang w:eastAsia="es-CO"/>
        </w:rPr>
        <w:softHyphen/>
        <w:t>ro de viviendas a transferir a un grupo de población en el proyecto, se realizará un sorteo entre los hogares del respectivo criterio de priorización, en las condiciones establecidas en la presente sección y se tendrán como beneficiarios del SFVE aquellos que resulten seleccionados en el sorteo.  </w:t>
      </w:r>
    </w:p>
    <w:p w14:paraId="13B4C0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37E2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número de viviendas a transferir a un grupo de población en el proyecto excede el número de hogares del primer criterio de priorización, la selección de estos hogares se hará en forma directa por el Departamento Administrativo para la Prosperidad Social y los demás hogares se seleccionarán a partir del segundo criterio de priorización.  </w:t>
      </w:r>
    </w:p>
    <w:p w14:paraId="32E9C834"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B234AD"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b) Si los hogares que conforman el segundo criterio de priorización exceden el número de viviendas restantes a transferir para su grupo de población en el pro</w:t>
      </w:r>
      <w:r w:rsidRPr="009342F9">
        <w:rPr>
          <w:rFonts w:ascii="Arial" w:eastAsia="Times New Roman" w:hAnsi="Arial" w:cs="Arial"/>
          <w:color w:val="000000"/>
          <w:lang w:eastAsia="es-CO"/>
        </w:rPr>
        <w:softHyphen/>
        <w:t>yecto, se realizará un sorteo entre los hogares del respectivo criterio de prioriza</w:t>
      </w:r>
      <w:r w:rsidRPr="009342F9">
        <w:rPr>
          <w:rFonts w:ascii="Arial" w:eastAsia="Times New Roman" w:hAnsi="Arial" w:cs="Arial"/>
          <w:color w:val="000000"/>
          <w:lang w:eastAsia="es-CO"/>
        </w:rPr>
        <w:softHyphen/>
        <w:t>ción, en las condiciones establecidas en la presente sección y se tendrán como beneficiarios del SFVE aquellos que resulten seleccionados en el sorteo.  </w:t>
      </w:r>
    </w:p>
    <w:p w14:paraId="489BBD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B313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número de viviendas a transferir a un grupo de población en el proyecto excede el número de hogares del segundo criterio de priorización, la selección de estos hogares se hará en forma directa por el Departamento Administrativo para la Prosperidad Social y los demás hogares se seleccionarán a partir del tercer criterio de priorización;  </w:t>
      </w:r>
    </w:p>
    <w:p w14:paraId="060B42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F622EA" w14:textId="77777777" w:rsidR="00FC79C1" w:rsidRPr="009342F9" w:rsidRDefault="00FC79C1" w:rsidP="00FC79C1">
      <w:pPr>
        <w:spacing w:after="0" w:line="240" w:lineRule="auto"/>
        <w:ind w:left="708"/>
        <w:jc w:val="both"/>
        <w:rPr>
          <w:rFonts w:ascii="Arial" w:eastAsia="Times New Roman" w:hAnsi="Arial" w:cs="Arial"/>
          <w:color w:val="000000"/>
          <w:lang w:eastAsia="es-CO"/>
        </w:rPr>
      </w:pPr>
      <w:r w:rsidRPr="009342F9">
        <w:rPr>
          <w:rFonts w:ascii="Arial" w:eastAsia="Times New Roman" w:hAnsi="Arial" w:cs="Arial"/>
          <w:color w:val="000000"/>
          <w:lang w:eastAsia="es-CO"/>
        </w:rPr>
        <w:t>c) Si los hogares que conforman el tercer criterio de priorización exceden el número de viviendas restantes a transferir para su grupo de población en el proyecto, se realizará un sorteo entre los hogares del respectivo criterio de priorización, en las condiciones establecidas en la presente sección y se tendrán como beneficiarios del SFVE aquellos que resulten seleccionados en el sorteo.  </w:t>
      </w:r>
    </w:p>
    <w:p w14:paraId="15A66D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B685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número de viviendas a transferir a un grupo de población en el proyecto excede el número de hogares del tercer criterio de priorización, la selección de estos hogares se hará por el Departamento Administrativo para la Prosperidad Social en forma directa y los demás hogares se seleccionarán a partir del cuarto criterio de priorización, cuando este esté previsto para el respectivo grupo de población;  </w:t>
      </w:r>
    </w:p>
    <w:p w14:paraId="7119394C"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B812D1"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d) Se continuará con el procedimiento de los literales a), b) y c) del presente artí</w:t>
      </w:r>
      <w:r w:rsidRPr="009342F9">
        <w:rPr>
          <w:rFonts w:ascii="Arial" w:eastAsia="Times New Roman" w:hAnsi="Arial" w:cs="Arial"/>
          <w:color w:val="000000"/>
          <w:lang w:eastAsia="es-CO"/>
        </w:rPr>
        <w:softHyphen/>
        <w:t>culo hasta llegar al último criterio de priorización para cada uno de los grupos de población en el proyecto.  </w:t>
      </w:r>
    </w:p>
    <w:p w14:paraId="03B6BF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E360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para las órdenes de priorización que utilizan Sisbén III, el número de hogares postulantes que cumplen requisitos excede el número de viviendas a transferir, los cupos restantes se seleccionarán en estricto orden ascendente según el puntaje Sisbén III de postulante, cuando aplique, teniendo en cuenta para ello la clasificación geográfica establecida por el mismo Sisbén. El número de viviendas asignadas a cada área geográfica (según clasificación Sisbén) será proporcional al número de postulantes en cada una de ellas. En todos los casos los hogares postulantes deberán tener un puntaje Sisbén III inferior al máximo que defina el Departamento Administrativo para la Prosperidad Social por Resolución.  </w:t>
      </w:r>
    </w:p>
    <w:p w14:paraId="720871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EBAD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objeto de observar los lineamientos previstos en el inciso segundo del artículo 12 de la Ley 1537 de 2012 respecto de la población vulnerable que allí se señala, en caso de empate al segundo decimal en el puntaje Sisbén III correspondiente a una misma área geográfica, se tendrá el siguiente orden de prioridad:  </w:t>
      </w:r>
    </w:p>
    <w:p w14:paraId="145BEC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BBC1D6" w14:textId="77777777" w:rsidR="00524495"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i) Hogares con hombres o mujeres cabeza de hogar </w:t>
      </w:r>
    </w:p>
    <w:p w14:paraId="25946259" w14:textId="3EACF18F"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8DC992"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ii) Hogares con personas en situación de discapacidad  </w:t>
      </w:r>
    </w:p>
    <w:p w14:paraId="027ACCB2" w14:textId="77777777" w:rsidR="00FC79C1" w:rsidRPr="009342F9" w:rsidRDefault="00FC79C1" w:rsidP="00FC79C1">
      <w:pPr>
        <w:spacing w:after="0" w:line="240" w:lineRule="auto"/>
        <w:ind w:left="700"/>
        <w:jc w:val="both"/>
        <w:rPr>
          <w:rFonts w:ascii="Arial" w:eastAsia="Times New Roman" w:hAnsi="Arial" w:cs="Arial"/>
          <w:color w:val="000000"/>
          <w:lang w:eastAsia="es-CO"/>
        </w:rPr>
      </w:pPr>
      <w:r w:rsidRPr="009342F9">
        <w:rPr>
          <w:rFonts w:ascii="Arial" w:eastAsia="Times New Roman" w:hAnsi="Arial" w:cs="Arial"/>
          <w:color w:val="000000"/>
          <w:lang w:eastAsia="es-CO"/>
        </w:rPr>
        <w:t>iii) Hogares con adultos mayores.  </w:t>
      </w:r>
    </w:p>
    <w:p w14:paraId="3C0B76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C60C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persistir el empate, se realizará un sorteo de los hogares que presenten esta situación.  </w:t>
      </w:r>
    </w:p>
    <w:p w14:paraId="2EE76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40D0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aquellos casos en donde aplique la realización del sorteo, el Departamento Administrativo para la Prosperidad Social podrá sortear, en los términos del artículo 2.1.1.2.1.3.2 de la presente sección, un porcentaje adicional del 5% al número de viviendas disponibles para cada orden de priorización, para conformar una lista de espera. Esta lista será empleada en el evento en que un hogar ganador del sorteo resulte rechazado en su postulación por alguna de las causales establecidas en el artículo 2.1.1.2.1.2.9 de la presente sección. Los hogares incluidos en la lista de espera no tendrán derecho a la asignación del subsidio familiar de vivienda en especie, hasta tanto no se les notifique por parte de Fonvivienda, a través de un acto administrativo, su inclusión como beneficiarios del programa.  </w:t>
      </w:r>
    </w:p>
    <w:p w14:paraId="749681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FC1D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aquellos casos en donde el porcentaje del 5% no corresponda a un número entero, se aproximará a la unidad siguiente al número resultante de la operación matemática.  </w:t>
      </w:r>
    </w:p>
    <w:p w14:paraId="7F1322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0EE4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orden en que los hogares que componen el listado de espera pueden ser beneficiarios del subsidio familiar de vivienda en especie, será siguiendo la secuencia numérica, iniciando por el primero que, realizando el sorteo, resulte incluido en esta lista y continuando en orden descendente por el segundo, tercero y así sucesivamente, hasta completar el número de viviendas disponibles. Este listado, con su orden, se dejará establecido por escrito en el acta del sorteo.  </w:t>
      </w:r>
    </w:p>
    <w:p w14:paraId="02610C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2174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aquellos casos que, después de utilizar estos listados de espera, quedaren viviendas sin transferir, se acudirá a la realización de un nuevo sorteo, si existen hogares habilitados disponibles, o a la realización de un nuevo proceso de convocatoria.  </w:t>
      </w:r>
    </w:p>
    <w:p w14:paraId="7E7F82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B31A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 acuerdo con la Ley 1145 de 2007, los hogares con personas en situación de discapacidad serán identificados con base en el instrumento idóneo que proporcione el Ministerio de Salud y Protección Social para este fin.  </w:t>
      </w:r>
    </w:p>
    <w:p w14:paraId="7DFC17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14F6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Siempre que se presente una contradicción entre lo indicado en el formulario de postulación para los escalones donde se apliquen las bases de datos de Sisbén III o lo reportado por la Unidad para la Atención y Reparación Integral a las Víctimas (</w:t>
      </w:r>
      <w:proofErr w:type="spellStart"/>
      <w:r w:rsidRPr="009342F9">
        <w:rPr>
          <w:rFonts w:ascii="Arial" w:eastAsia="Times New Roman" w:hAnsi="Arial" w:cs="Arial"/>
          <w:color w:val="000000"/>
          <w:lang w:eastAsia="es-CO"/>
        </w:rPr>
        <w:t>Uariv</w:t>
      </w:r>
      <w:proofErr w:type="spellEnd"/>
      <w:r w:rsidRPr="009342F9">
        <w:rPr>
          <w:rFonts w:ascii="Arial" w:eastAsia="Times New Roman" w:hAnsi="Arial" w:cs="Arial"/>
          <w:color w:val="000000"/>
          <w:lang w:eastAsia="es-CO"/>
        </w:rPr>
        <w:t>) en el marco de la Ruta de Atención, Asistencia y Reparación Integral o la información actualizada remitida por la Unidad para la Atención y Reparación Integral a las Víctimas (</w:t>
      </w:r>
      <w:proofErr w:type="spellStart"/>
      <w:r w:rsidRPr="009342F9">
        <w:rPr>
          <w:rFonts w:ascii="Arial" w:eastAsia="Times New Roman" w:hAnsi="Arial" w:cs="Arial"/>
          <w:color w:val="000000"/>
          <w:lang w:eastAsia="es-CO"/>
        </w:rPr>
        <w:t>Uariv</w:t>
      </w:r>
      <w:proofErr w:type="spellEnd"/>
      <w:r w:rsidRPr="009342F9">
        <w:rPr>
          <w:rFonts w:ascii="Arial" w:eastAsia="Times New Roman" w:hAnsi="Arial" w:cs="Arial"/>
          <w:color w:val="000000"/>
          <w:lang w:eastAsia="es-CO"/>
        </w:rPr>
        <w:t>) en el proceso de selección a que se refiere la presente sección, en relación con la clase de suelo (urbano o rural) en que se encuentre ubicado el hogar potencialmente beneficiario del SFVE, los criterios de selección se aplicarán teniendo en consideración la información contenida en las bases de datos del Gobierno Nacional.  </w:t>
      </w:r>
    </w:p>
    <w:p w14:paraId="7E3017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0948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antes de la entrega del listado de hogares que cumplen requisitos de postulación por parte de Fonvivienda, esta entidad podrá solicitar al alcalde del municipio o distrito en que se ejecute el proyecto de vivienda que, con fundamento en los instrumentos o bases de información que considere pertinentes, verifique si los hogares potencialmente beneficiarios están habitando en suelo urbano o rural del municipio.  </w:t>
      </w:r>
    </w:p>
    <w:p w14:paraId="7D320B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F55D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Si el alcalde municipal no se pronuncia respecto de la solicitud a que se refiere el inciso anterior de este parágrafo, dentro de los diez (10) días siguientes al recibo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se aplicarán los criterios establecidos en la presente sección y se continuará con el proceso”.  </w:t>
      </w:r>
    </w:p>
    <w:p w14:paraId="163FD541" w14:textId="3AD0E8E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66" w:name="ver_30110588"/>
      <w:bookmarkStart w:id="367" w:name="ver_30110587"/>
      <w:bookmarkEnd w:id="364"/>
      <w:bookmarkEnd w:id="365"/>
      <w:bookmarkEnd w:id="366"/>
    </w:p>
    <w:p w14:paraId="29E4CC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2.1.1.2.1.3.2. Condiciones para el sorteo. En los casos en los que deba realizarse el sorteo, el DPS a través de resolución establecerá los mecanismos para surtir dicho procedimiento, el cual se llevará a cabo en presencia de por lo menos tres (3) de los siguientes testigos: </w:t>
      </w:r>
    </w:p>
    <w:p w14:paraId="499916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D5B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gobernador o quien este designe. </w:t>
      </w:r>
    </w:p>
    <w:p w14:paraId="487700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51DF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alcalde o quien este designe. </w:t>
      </w:r>
    </w:p>
    <w:p w14:paraId="17F392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4E31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director del DPS o quien este designe. </w:t>
      </w:r>
    </w:p>
    <w:p w14:paraId="30E093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8842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director ejecutivo del Fondo Nacional de Vivienda o quien este designe. </w:t>
      </w:r>
    </w:p>
    <w:p w14:paraId="307141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EDA6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personero municipal o quien este designe. </w:t>
      </w:r>
    </w:p>
    <w:p w14:paraId="4F26DC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D6A2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más tardar el día hábil anterior a la fecha de realización del sorteo, se deberá publicar en cualquier lugar visible del municipio el listado de hogares potencialmente beneficiarios del subsidio. </w:t>
      </w:r>
    </w:p>
    <w:p w14:paraId="651CF0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4B4B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se convoque la diligencia de sorteo dos (2) veces y no sea posible realizarla por falta de quórum, la tercera vez que se convoque podrá realizarse solamente con la presencia del director del DPS o quien este designe, y el director ejecutivo del Fondo Nacional de Vivienda o quien este designe. En este caso, se invitará un delegado de la Procuraduría General de la Nación, para que acompañe el sorteo. </w:t>
      </w:r>
    </w:p>
    <w:p w14:paraId="3D9503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BB90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DPS levantará un acta del resultado del sorteo, la cual será firmada por los testigos asistentes. </w:t>
      </w:r>
    </w:p>
    <w:p w14:paraId="6E90C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27F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DPS podrá invitar a un delegado del Programa Presidencial de Modernización, Eficiencia, Transparencia y Lucha contra la Corrupción, para que acompañe el sorteo, en aquellos casos, que lo considere necesario. </w:t>
      </w:r>
    </w:p>
    <w:p w14:paraId="708EB2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6A3D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El listado definitivo de beneficiarios será determinado mediante resolución del DPS, la cual será comunicada al Fondo Nacional de Vivienda, dentro del término establecido en el artículo 2.1.1.2.1.3.1 de la presente sección”. </w:t>
      </w:r>
    </w:p>
    <w:p w14:paraId="0EA56F91"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7BB5D2AE"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68" w:name="ver_30069374"/>
      <w:bookmarkEnd w:id="367"/>
      <w:bookmarkEnd w:id="368"/>
      <w:r w:rsidRPr="009342F9">
        <w:rPr>
          <w:rFonts w:ascii="Arial" w:eastAsia="Times New Roman" w:hAnsi="Arial" w:cs="Arial"/>
          <w:b/>
          <w:bCs/>
          <w:color w:val="000000"/>
          <w:lang w:eastAsia="es-CO"/>
        </w:rPr>
        <w:t>SUBSECCIÓN 4</w:t>
      </w:r>
    </w:p>
    <w:p w14:paraId="09606895"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ASIGNACIÓN DE SUBSIDIOS FAMILIARES DE VIVIENDA EN ESPECIE</w:t>
      </w:r>
    </w:p>
    <w:p w14:paraId="5298C9E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69" w:name="ver_30069375"/>
      <w:bookmarkEnd w:id="369"/>
    </w:p>
    <w:p w14:paraId="4A86C8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2.1.1.2.1.4.1. Asignación. FONVIVIENDA expedirá el acto administrativo de asignación del subsidio familiar de vivienda en especie a los beneficiarios señalados en la resolución emitida por el DPS. La resolución de asignación por parte del Fondo Nacional de Vivienda será publicada en el Diario Oficial. </w:t>
      </w:r>
    </w:p>
    <w:p w14:paraId="2FD28C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7392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Fondo Nacional de Vivienda comunicará a los hogares beneficiarios, a través del operador designado, el resultado del proceso de asignación, mediante una carta para cada hogar, en donde se le informará su condición de hogar beneficiario y el procedimiento mediante el cual podrá hacer efectivo el subsidio. </w:t>
      </w:r>
    </w:p>
    <w:p w14:paraId="5BBD39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481E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Ni la entidad otorgante ni el DPS asumirán compromiso alguno con los postulantes que no queden incorporados en los listados de beneficiarios contenidos en la resolución de asignación. </w:t>
      </w:r>
    </w:p>
    <w:p w14:paraId="059EE446" w14:textId="0F43172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70" w:name="ver_30110590"/>
      <w:bookmarkStart w:id="371" w:name="ver_30110589"/>
      <w:bookmarkEnd w:id="370"/>
    </w:p>
    <w:p w14:paraId="3BA807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2.1.1.2.1.4.2. Determinación de la vivienda a ser transferida a título de subsidio en especie. Una vez finalizada la comunicación de la resolución de asignación a cada uno de los beneficiarios, se realizará un sorteo, al cual podrán asistir los beneficiarios, el cual tendrá por objeto asignar una vivienda específica, dentro del proyecto respectivo, a cada uno de los beneficiarios. </w:t>
      </w:r>
    </w:p>
    <w:p w14:paraId="382A25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FE81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sorteo al que hace referencia el presente artículo se llevará a cabo en presencia de los siguientes testigos: </w:t>
      </w:r>
    </w:p>
    <w:p w14:paraId="0CF3BC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alcalde o quien este designe. </w:t>
      </w:r>
    </w:p>
    <w:p w14:paraId="7D94F9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4347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director ejecutivo de Fonvivienda o quien este designe. </w:t>
      </w:r>
    </w:p>
    <w:p w14:paraId="4B221D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C16E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personero municipal o quien este designe. </w:t>
      </w:r>
    </w:p>
    <w:p w14:paraId="75A83C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2D4D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se convoque la diligencia de sorteo dos (2) veces y no sea posible realizarla por falta de quórum, la tercera vez que se convoque podrá realizarse solamente con la presencia del director ejecutivo del Fondo Nacional de Vivienda o quien este designe. En este caso, se invitará un delegado de la Procuraduría General de la Nación, para que acompañe el sorteo. </w:t>
      </w:r>
    </w:p>
    <w:p w14:paraId="2EF9B9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547C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definirá el procedimiento para la realización del sorteo de la vivienda a ser entregada a cada beneficiario, teniendo en cuenta en todo caso, que los hogares que cuenten con miembros en situación de discapacidad, de acuerdo con la información del proceso de postulación, tendrán prioridad en la asignación de los primeros pisos, cuando se trate de vivienda multifamiliar. </w:t>
      </w:r>
    </w:p>
    <w:p w14:paraId="6D401B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77FD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Del sorteo que se realice, Fonvivienda levantará un acta que será firmada por todos los testigos, la cual será publicada en la página web del Ministerio de Vivienda, Ciudad y Territorio y en la del programa de vivienda gratuita, para conocimiento de todos los interesados. </w:t>
      </w:r>
    </w:p>
    <w:p w14:paraId="49409E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0D5E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proceso de transferencia, entrega y legalización de los subsidios se tendrá en cuenta la vivienda que haya correspondido a cada uno de los hogares, de acuerdo con el sorteo realizado”. </w:t>
      </w:r>
    </w:p>
    <w:p w14:paraId="7B86C885" w14:textId="77777777"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72" w:name="ver_30069377"/>
      <w:bookmarkEnd w:id="371"/>
      <w:bookmarkEnd w:id="372"/>
    </w:p>
    <w:p w14:paraId="4DCAE69D" w14:textId="69EE718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2.1.1.2.1.4.3. Asignaciones parciales. El Fondo Nacional de Vivienda podrá efectuar asignaciones del SFVE, en un número inferior al total de viviendas a transferir en un determinado proyecto y hasta completar la totalidad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de acuerdo al procedimiento que defina el Fondo Nacional de Vivienda para tal fin. </w:t>
      </w:r>
    </w:p>
    <w:p w14:paraId="2AE4E147" w14:textId="6177D55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73" w:name="ver_30069378"/>
      <w:bookmarkEnd w:id="373"/>
    </w:p>
    <w:p w14:paraId="29A337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2.1.1.2.1.4.4. Reclamaciones. Los hogares postulantes que no resulten beneficiarios del SFVE, podrán interponer en los términos y condiciones establecidos por la ley, los recursos a los que haya lugar contra el acto administrativo de asignación correspondiente. </w:t>
      </w:r>
    </w:p>
    <w:p w14:paraId="10ABDCD4" w14:textId="45FE82C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74" w:name="ver_30069379"/>
      <w:bookmarkEnd w:id="374"/>
    </w:p>
    <w:p w14:paraId="2C437D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2.1.1.2.1.4.5. Condiciones de transferencia de las viviendas. Las condiciones de transferencia, entrega y/o legalización de los subsidios familiares de vivienda en especie asignados a los beneficiarios serán definidas por el Ministerio de Vivienda, Ciudad y Territorio. </w:t>
      </w:r>
    </w:p>
    <w:p w14:paraId="709C8698" w14:textId="41AB8FE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75" w:name="ver_30210167"/>
      <w:bookmarkStart w:id="376" w:name="ver_30069380"/>
      <w:bookmarkEnd w:id="375"/>
    </w:p>
    <w:p w14:paraId="3FE46649" w14:textId="0E7EEE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2.1.1.2.1.4.6. Valor del subsidio familiar de vivienda en especie. El Subsidio familiar de vivienda en especie que se asigne mediante el procedimiento establecido en la presente sección, será hasta de noventa (90) Salarios Mínimos Legales Mensuales Vigentes en cualquier parte del territorio nacional.  </w:t>
      </w:r>
    </w:p>
    <w:p w14:paraId="3688F7C9"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3834DC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En los departamentos de Amazonas, Guainía, San Andrés, Providencia y Santa Catalina, Putumayo, Chocó, Vaupés y Vichada, el Subsidio Familiar de Vivienda en Especie podrá superar el valor de noventa (90) Salarios Mínimos Legales Mensuales Vigentes, de acuerdo con las condiciones que para el efecto defina el Ministerio de Vivienda, Ciudad y Territorio y previa aprobación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5EECCC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D4C33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77" w:name="ver_30069381"/>
      <w:bookmarkEnd w:id="376"/>
      <w:bookmarkEnd w:id="377"/>
      <w:r w:rsidRPr="009342F9">
        <w:rPr>
          <w:rFonts w:ascii="Arial" w:eastAsia="Times New Roman" w:hAnsi="Arial" w:cs="Arial"/>
          <w:color w:val="000000"/>
          <w:lang w:eastAsia="es-CO"/>
        </w:rPr>
        <w:t>Artículo 2.1.1.2.1.4.7. Vigencia del subsidio familiar de vivienda en especie. La vigencia de los subsidios familiares de vivienda de que trata esta sección será de seis (6) meses contados desde el primer día del mes siguiente a la fecha de publicación de la resolución de asignación en el Diario Oficial y podrán ser prorrogados mediante resolución del Fondo Nacional de Vivienda. </w:t>
      </w:r>
    </w:p>
    <w:p w14:paraId="73184DB3" w14:textId="64EA51F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78" w:name="ver_30069382"/>
      <w:bookmarkEnd w:id="378"/>
    </w:p>
    <w:p w14:paraId="0669CE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2.1.1.2.1.4.8. Sustitución de hogares de subsidio familiar de vivienda. En aquellos casos en que el beneficiario no cumpla, dentro de los términos o en las fechas establecidas, las condiciones que se definan en el marco del programa de vivienda gratuita para hacer efectivo el subsidio, o cuando mediante cualquier acto manifieste no tener interés en convertirse en propietario de la vivienda que le ha sido asignada, FONVIVIENDA podrá sustituir al hogar beneficiario por un hogar postulante que haya cumplido con los criterios establecidos en la presente sección y no haya sido beneficiario del subsidio familiar de vivienda en especie. </w:t>
      </w:r>
    </w:p>
    <w:p w14:paraId="2414A1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92CD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definir los hogares sustitutos, se recurrirá a los hogares que se encuentran incluidos en los listados de espera,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 establecido en el parágrafo 1° del artículo 2.1.1.2.1.3.1 de la presente sección. En caso de que el número de hogares a sustituir sea superior al número de hogares que conforman la lista de espera, se realizará un sorteo en las condiciones establecidas en el artículo 2.1.1.2.1.3.2 de la presente sección, entre los hogares postulantes que habiendo cumplido con los requisitos establecidos en la presente sección no fueron beneficiarios del subsidio familiar de vivienda en especie, por exceder el cupo de viviendas a transferir. </w:t>
      </w:r>
    </w:p>
    <w:p w14:paraId="08E125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74D0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Si después de recurrir a los listados de espera y al sorteo, en los términos señalados en el presente artículo no es posible obtener la totalidad de los hogares que deban ser sustituidos, el proceso de selección de beneficiarios del SFVE se retrotraerá hasta la fase de convocatoria y postulación establecida en </w:t>
      </w:r>
      <w:proofErr w:type="gramStart"/>
      <w:r w:rsidRPr="009342F9">
        <w:rPr>
          <w:rFonts w:ascii="Arial" w:eastAsia="Times New Roman" w:hAnsi="Arial" w:cs="Arial"/>
          <w:color w:val="000000"/>
          <w:lang w:eastAsia="es-CO"/>
        </w:rPr>
        <w:t>los artículo</w:t>
      </w:r>
      <w:proofErr w:type="gramEnd"/>
      <w:r w:rsidRPr="009342F9">
        <w:rPr>
          <w:rFonts w:ascii="Arial" w:eastAsia="Times New Roman" w:hAnsi="Arial" w:cs="Arial"/>
          <w:color w:val="000000"/>
          <w:lang w:eastAsia="es-CO"/>
        </w:rPr>
        <w:t xml:space="preserve"> 2.1.1.2.1.2.5 y 2.1.1.2.1.2.6 de la presente sección. </w:t>
      </w:r>
    </w:p>
    <w:p w14:paraId="6BAC0652" w14:textId="064DD5F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79" w:name="ver_30069383"/>
      <w:bookmarkEnd w:id="379"/>
    </w:p>
    <w:p w14:paraId="417B6E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2.1.1.2.1.4.9. Aplicación de subsidios familiares de vivienda asignados antes de la expedición de la ley 1537 de 2012. Los hogares que resulten beneficiarios del SFVE de acuerdo con lo establecido en la presente sección, que adicionalmente hayan sido beneficiarios de Subsidios Familiares de Vivienda por parte del Fondo Nacional de Vivienda antes de la entrada en vigencia de la Ley 1537 de 2012 y que no hubieren realizado el proceso de cobro del subsidio y por ende no se hubiere aplicado y legalizado antes de su postulación de conformidad con lo establecido en esta sección, deberá aportar el subsidio asignado en dinero al patrimonio autónomo que le indique la entidad otorgante, para adquirir una vivienda a través del Subsidio Familiar de Vivienda en Especie en los proyectos de vivienda urbana de interés prioritaria nueva que se desarrollen en el marco del programa de vivienda gratuita. Una vez realizada la postulación, el hogar postulante que se encuentre en las condiciones señaladas en este artículo, no podrá aplicar ni legalizar el subsidio familiar de vivienda asignado en dinero, ni negarse a aportarlo para la adquisición del SFVE, so pena de la revocatoria de este último. </w:t>
      </w:r>
    </w:p>
    <w:p w14:paraId="374A0D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EFC1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lograr el traslado de los recursos del subsidio asignado en dinero, el hogar autorizará en el momento de la postulación, mediante comunicación escrita al Fondo Nacional de Vivienda, la movilización de los recursos de la cuenta CAP al patrimonio autónomo que defina la entidad otorgante. El Fondo Nacional de Vivienda autorizará y hará efectiva la movilización únicamente </w:t>
      </w: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el hogar resulte beneficiario del SFVE del programa de vivienda gratuita. </w:t>
      </w:r>
    </w:p>
    <w:p w14:paraId="4AB16209" w14:textId="0E6D93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80" w:name="ver_30069384"/>
      <w:bookmarkEnd w:id="380"/>
    </w:p>
    <w:p w14:paraId="120ACC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2.1.1.2.1.4.10. Sustitución de hogares de subsidio familiar de vivienda en dinero. Para el caso de los subsidios familiares de vivienda en dinero que cumplan con las condiciones establecidas en el artículo 24 de la Ley 1537 de 2012, las entidades otorgantes podrán efectuar la sustitución mediante acto administrativo a hogares postulados que cumplan con los requisitos establecidos en cada convocatoria, teniendo en cuenta el resultado del respectivo proceso. </w:t>
      </w:r>
    </w:p>
    <w:p w14:paraId="0FEAA6CC" w14:textId="77777777" w:rsid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81" w:name="ver_30069387"/>
      <w:bookmarkEnd w:id="381"/>
    </w:p>
    <w:p w14:paraId="796C0DC4" w14:textId="14B8C8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2.1.1.2.1.4.11. Transitorio. Los artículos 2.1.1.2.1.2.3, 2.1.1.2.1.2.6, 2.1.1.2.1.3.1 y 2.1.1.2.1.3.2 regirán para los procesos de convocatoria que se realicen con posterioridad al 29 de diciembre de 2014. Los procesos de convocatoria realizados con anterioridad al 29 de diciembre de 2014 continuarán rigiéndose por lo regulado en los extintos decretos1921 de 2012 y 2164 de 2013. </w:t>
      </w:r>
    </w:p>
    <w:p w14:paraId="001DA8A6" w14:textId="77777777" w:rsidR="009342F9" w:rsidRDefault="009342F9" w:rsidP="00FC79C1">
      <w:pPr>
        <w:spacing w:after="0" w:line="240" w:lineRule="auto"/>
        <w:jc w:val="both"/>
        <w:rPr>
          <w:rFonts w:ascii="Arial" w:eastAsia="Times New Roman" w:hAnsi="Arial" w:cs="Arial"/>
          <w:color w:val="000000"/>
          <w:lang w:eastAsia="es-CO"/>
        </w:rPr>
      </w:pPr>
      <w:bookmarkStart w:id="382" w:name="ver_30069392"/>
      <w:bookmarkEnd w:id="382"/>
    </w:p>
    <w:p w14:paraId="3B5D4EDB" w14:textId="4B330A44" w:rsidR="00FC79C1" w:rsidRPr="009342F9" w:rsidRDefault="00FC79C1" w:rsidP="009342F9">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05A6EB13" w14:textId="77777777" w:rsidR="00FC79C1" w:rsidRPr="009342F9" w:rsidRDefault="00FC79C1" w:rsidP="009342F9">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VALOR VIVIENDA DE INTERÉS PRIORITARIO EN DEPARTAMENTOS ESPECIALES</w:t>
      </w:r>
    </w:p>
    <w:p w14:paraId="6F94DE4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83" w:name="ver_30069393"/>
      <w:bookmarkEnd w:id="383"/>
    </w:p>
    <w:p w14:paraId="3D1FB0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2.1.1.2.2.1. Objeto. La presente sección define el valor máximo que de manera diferencial podrán tener las viviendas de interés prioritario que se desarrollen en los departamentos de Amazonas, Guainía, San Andrés, Providencia y Santa Catalina, Putumayo, Chocó, Vaupés y Vichada. </w:t>
      </w:r>
    </w:p>
    <w:p w14:paraId="2967AD62" w14:textId="3261FE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84" w:name="ver_30210168"/>
      <w:bookmarkStart w:id="385" w:name="ver_30069395"/>
      <w:bookmarkEnd w:id="384"/>
    </w:p>
    <w:p w14:paraId="097351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2.1.1.2.2.2. Departamentos y valor de la vivienda de interés prioritario. Los departamentos en los que el valor máximo de la vivienda de interés prioritario será de cien (100) salarios mínimos legales mensuales vigentes, son los siguientes:  </w:t>
      </w:r>
    </w:p>
    <w:p w14:paraId="27F978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San Andrés, Providencia y Santa Catalina, Amazonas, Chocó, Putumayo, Vichada, Vaupés y Guainía.  </w:t>
      </w:r>
    </w:p>
    <w:p w14:paraId="28994DF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7DFA5171"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86" w:name="ver_30069396"/>
      <w:bookmarkEnd w:id="385"/>
      <w:bookmarkEnd w:id="386"/>
      <w:r w:rsidRPr="009342F9">
        <w:rPr>
          <w:rFonts w:ascii="Arial" w:eastAsia="Times New Roman" w:hAnsi="Arial" w:cs="Arial"/>
          <w:b/>
          <w:bCs/>
          <w:color w:val="000000"/>
          <w:lang w:eastAsia="es-CO"/>
        </w:rPr>
        <w:t>SECCIÓN 3</w:t>
      </w:r>
    </w:p>
    <w:p w14:paraId="07136985"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DEL OFERENTE</w:t>
      </w:r>
    </w:p>
    <w:p w14:paraId="0EC3C466"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87" w:name="ver_30069397"/>
      <w:bookmarkEnd w:id="387"/>
    </w:p>
    <w:p w14:paraId="07522F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2.1.1.2.3.1. Inhabilidades generales y especiales de los constructores u oferentes de proyectos de vivienda de interés prioritario. En todo proceso que se adelante por parte de los patrimonios autónomos a los que hace referencia el artículo 6° de la Ley 1537 de 2012, con el fin de seleccionar interesados en desarrollar proyectos de vivienda o para adquirir proyectos de vivienda de interés prioritario, se exigirá que los proponentes no se encuentren incursos en causales de inhabilidad para contratar con el Estado de conformidad con las normas que regulan la contratación estatal ni hayan sido sancionados por incumplimientos contractuales relacionados con la construcción en los términos del numeral 2 del artículo 6° de la Ley 1537 de 2012, los cuales se verificarán de acuerdo con lo establecido en la presente sección. </w:t>
      </w:r>
    </w:p>
    <w:p w14:paraId="6AC9B5EE" w14:textId="7519618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88" w:name="ver_30069399"/>
      <w:bookmarkEnd w:id="388"/>
    </w:p>
    <w:p w14:paraId="57555D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2.1.1.2.3.2. Inhabilidades generales para participar y celebrar contratos en las convocatorias a que se refiere la Ley 1537 de 2012. En los procesos de convocatoria y selección de los interesados en desarrollar proyectos de vivienda y/o para la adquisición de proyectos de vivienda de interés prioritario no podrán participar las personas naturales o jurídicas que se encuentren incursas en causales de inhabilidad para celebrar contratos con el Estado previstas en la Constitución Política y la ley, en especial en el artículo 8° de la Ley 80 de 1993 y el artículo 90 de la Ley 1474 de 2011. Dichas inhabilidades se verificarán con la información contenida en el Registro Único de Proponentes a cargo de las Cámaras de Comercio. </w:t>
      </w:r>
    </w:p>
    <w:p w14:paraId="6A84C879" w14:textId="16D5AC5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89" w:name="ver_30069400"/>
      <w:bookmarkEnd w:id="389"/>
    </w:p>
    <w:p w14:paraId="030BC0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2.1.1.2.3.3. Inhabilidades especiales por incumplimientos contractuales relacionados con la construcción. Para los electos de lo previsto en el numeral 2 del artículo 6° de la Ley 1537 de 2012 solo se entenderá que una persona natural o jurídica ha sido sancionada por incumplimientos contractuales relacionados con la construcción en los últimos cinco (5) años, cuando de acuerdo con la información contenida en el Registro Único de Proponentes a cargo de las Cámaras de Comercio se advierta que ha sido objeto de al menos una declaratoria de caducidad o una declaratoria de incumplimiento relacionada con contratos de construcción en los cinco (5) años anteriores a la fecha prevista para la presentación de propuestas en el respectivo proceso de selección. Para los efectos de lo previsto en el inciso primero de este artículo, si la sanción es la imposición de multas en el período antes señalado, solo se tendrán en cuenta si se configuran los supuestos del artículo 90 de la Ley 1474 de 2011. </w:t>
      </w:r>
    </w:p>
    <w:p w14:paraId="74E8D9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DA5F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Se entenderá que el proponente incurrió en un “incumplimiento contractual relacionado con la construcción” cuando haya sido objeto de declaratorias de incumplimiento en los términos previstos en este artículo, en desarrollo de contratos de obra civil y/o interventoría de contratos de obra civil. </w:t>
      </w:r>
    </w:p>
    <w:p w14:paraId="552AE524" w14:textId="7E53D2F6"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90" w:name="ver_30069401"/>
      <w:bookmarkEnd w:id="390"/>
    </w:p>
    <w:p w14:paraId="54CC7723" w14:textId="3301551C"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43036F5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PARA REALIZAR APORTES A LOS PATRIMONIOS AUTÓNOMOS</w:t>
      </w:r>
    </w:p>
    <w:p w14:paraId="75D3BBB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91" w:name="ver_30069402"/>
      <w:bookmarkEnd w:id="391"/>
    </w:p>
    <w:p w14:paraId="56D63F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2.1.1.2.4.1. Definición de grupos poblacionales por los aportantes del orden nacional a los fideicomisos. Cuando, en ejercicio de la facultad otorgada por el artículo 8° de la Ley 1537 de 2012, cualquier entidad pública del orden nacional entregue bienes o transfiera directamente recursos a los patrimonios autónomos constituidos de conformidad con la misma norma, la entidad aportante de los bienes o recursos podrá definir los grupos de población beneficiaria de los proyectos de vivienda que se ejecuten con los recursos aportados, siempre y cuando se trate de población objeto de priorización y focalización, de conformidad con lo establecido en la ley. </w:t>
      </w:r>
    </w:p>
    <w:p w14:paraId="743C51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2094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pública del orden nacional, aportante de los bienes y recursos de acuerdo con lo señalado en este artículo, también podrá definir si los recursos se destinan a proyectos de vivienda de interés social urbana o rural, siempre que su naturaleza y funciones le permitan invertir en una y/u otra clase de suelo, sin embargo, la asignación de los subsidios familiares de vivienda deberá realizarla la entidad otorgante que tenga la competencia para el efecto, de acuerdo con sus funciones. </w:t>
      </w:r>
    </w:p>
    <w:p w14:paraId="42BE2387" w14:textId="1C89887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92" w:name="ver_30069403"/>
      <w:bookmarkEnd w:id="392"/>
    </w:p>
    <w:p w14:paraId="1365DA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2.1.1.2.4.2. Vinculación de otorgantes del subsidio familiar de vivienda rural a los fideicomisos. En desarrollo de la facultad otorgada por el artículo 31 de la Ley 1537 de 2012, las entidades otorgantes de subsidios de vivienda de interés social rural podrán vincularse como fideicomitentes y/o aportantes de los patrimonios autónomos o esquemas fiduciarios que se constituyan por cualquiera de las entidades facultadas por el artículo 6° de la misma ley, de acuerdo con lo establecido en el artículo 2.1.1.2.4.1 de esta sección. </w:t>
      </w:r>
    </w:p>
    <w:p w14:paraId="458A54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E835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vinculación a los referidos patrimonios autónomos, y la ejecución y liquidación de los proyectos, se regirá por las normas del Derecho Privado, de conformidad con lo establecido en el artículo 6° de la Ley 1537 de 2012. </w:t>
      </w:r>
    </w:p>
    <w:p w14:paraId="75576F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5FF2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ejercicio de sus funciones como fideicomitentes, las entidades a que hace referencia esta sección podrán actuar como otorgantes de los subsidios familiares de vivienda a que haya lugar, en el marco de sus funciones. </w:t>
      </w:r>
    </w:p>
    <w:p w14:paraId="0EDF6CB7" w14:textId="2BB1C3DE"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93" w:name="ver_30069404"/>
      <w:bookmarkEnd w:id="393"/>
    </w:p>
    <w:p w14:paraId="10BA2776" w14:textId="69A58B5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50888566"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PARA NOTARIOS Y REGISTRADORES</w:t>
      </w:r>
    </w:p>
    <w:p w14:paraId="2072885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94" w:name="ver_30069406"/>
      <w:bookmarkEnd w:id="394"/>
    </w:p>
    <w:p w14:paraId="64E5A6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2.1.1.2.5.1. Obligaciones de los notarios. Las escrituras públicas mediante las cuales se transfiera el derecho de dominio a quienes resulten beneficiarios del Subsidio Familiar de Vivienda en Especie (SFVE) de acuerdo con la sección 2.1.1.2.1 del presente decreto o las normas que lo modifiquen, adicionen o sustituyan, deberán indicar que la vivienda se ejecutó en el marco del Programa de Vivienda Gratuita. </w:t>
      </w:r>
    </w:p>
    <w:p w14:paraId="593388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14EE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Notarios de todos los círculos notariales del país, deberán velar porque en las referidas escrituras públicas siempre se establezca la prohibición de transferir cualquier derecho real sobre el inmueble por el término establecido en esta sección, se señale el derecho de preferencia de que trata el artículo 8° de la Ley 3ª de 1991, modificado por el artículo 21 de la Ley 1537 de 2012, y se constituya el patrimonio familiar inembargable, por parte del hogar beneficiario o de su apoderado. </w:t>
      </w:r>
    </w:p>
    <w:p w14:paraId="230BBB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20C5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Notarios deberán verificar que en las escrituras públicas a las que hace referencia el presente artículo se incluya la obligación clara, expresa y exigible por parte del beneficiario del SFVE de restituir la titularidad de la vivienda en el caso en que se revoque el subsidio Familiar de Vivienda. Se podrá incluir, según sea el caso, la condición resolutoria de la transferencia del derecho de dominio de la vivienda transferida a título de SFVE, por la misma causa. </w:t>
      </w:r>
    </w:p>
    <w:p w14:paraId="48445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4EC2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Notarios deberán abstenerse de autorizar cualquier acto de disposición total o parcial de cualquier derecho real, que el propietario de las viviendas a las que hace referencia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pretenda realizar dentro de los diez (10) años siguientes a la fecha de transferencia de la vivienda, salvo que se adjunte autorización para la enajenación de la vivienda emitida por la entidad otorgante del SFVE. </w:t>
      </w:r>
    </w:p>
    <w:p w14:paraId="687CEE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CCF1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Notarios deberán abstenerse de autorizar cualquier acto de disposición total o parcial de cualquier derecho real que el propietario de las viviendas a las que hace referencia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pretenda realizar después de transcurridos los diez (10) años siguientes a la fecha de transferencia de la vivienda, desconociendo el derecho de preferencia de que trata el artículo 21 de la Ley 1537 de 2012. </w:t>
      </w:r>
    </w:p>
    <w:p w14:paraId="7706BDA1" w14:textId="2EFEFB0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395" w:name="ver_30069408"/>
      <w:bookmarkEnd w:id="395"/>
    </w:p>
    <w:p w14:paraId="58A5CA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2.1.1.2.5.2. Obligaciones de las oficinas de registro de instrumentos públicos. Los Registradores de las Oficinas de Registro de Instrumentos Públicos, al momento de registrar las escrituras públicas mediante las cuales se transfiera el derecho de dominio a quienes resulten beneficiarios del SFVE de acuerdo con la sección 2.1.1.2.1 del presente decreto o las normas que lo modifiquen, adicionen o sustituyan, deberán incluir las anotaciones correspondientes a la constitución del patrimonio familiar inembargable. </w:t>
      </w:r>
    </w:p>
    <w:p w14:paraId="6B59DB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466C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los registradores de las Oficinas de Registro de Instrumentos Públicos, al momento de registrar las escrituras públicas de transferencia a las que hace referencia el presente artículo incluirán la anotación relativa a la prohibición de enajenación de cualquier derecho real sobre el inmueble por el término de 10 años contados a partir de la fecha de la transferencia del inmueble, y el derecho de preferencia de que trata el artículo 8° de la Ley 3ª de 1991, modificado por el artículo 21 de la Ley 1537 de 2012. </w:t>
      </w:r>
    </w:p>
    <w:p w14:paraId="35B9A0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5057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en que se haya pactado la condición resolutoria de la transferencia del derecho de dominio de la vivienda transferida a título de SFVE, esta deberá inscribirse en los folios de matrícula inmobiliaria respectivos. </w:t>
      </w:r>
    </w:p>
    <w:p w14:paraId="7E3F57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16D9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Registradores de las Oficinas de Registro de Instrumentos Públicos deberán abstenerse de inscribir cualquier acto de disposición total o parcial de cualquier derecho real que el propietario de las viviendas a las que hace referencia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pretenda realizar dentro de los diez (10) años siguientes a la fecha de transferencia de la vivienda, salvo que se adjunte autorización para la enajenación de la vivienda emitida por la entidad otorgante del SFVE. </w:t>
      </w:r>
    </w:p>
    <w:p w14:paraId="0AA632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DFA4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Registradores de las Oficinas de Registro de Instrumentos públicos deberán abstenerse de inscribir cualquier acto de disposición total o parcial de cualquier derecho real que el propietario de las viviendas a las que hace referencia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pretenda realizar después de transcurridos los diez (10) años siguientes a la fecha de transferencia de la vivienda, desconociendo el derecho de preferencia de que trata el artículo 21 de la Ley 1537 de 2012. </w:t>
      </w:r>
    </w:p>
    <w:p w14:paraId="07E085A3" w14:textId="67D0A421" w:rsidR="00FC79C1" w:rsidRPr="009342F9" w:rsidRDefault="00FC79C1" w:rsidP="002B70CD">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p>
    <w:p w14:paraId="4B737BBB"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96" w:name="ver_30069409"/>
      <w:bookmarkEnd w:id="396"/>
      <w:r w:rsidRPr="009342F9">
        <w:rPr>
          <w:rFonts w:ascii="Arial" w:eastAsia="Times New Roman" w:hAnsi="Arial" w:cs="Arial"/>
          <w:b/>
          <w:bCs/>
          <w:color w:val="000000"/>
          <w:lang w:eastAsia="es-CO"/>
        </w:rPr>
        <w:t>SECCIÓN 6</w:t>
      </w:r>
    </w:p>
    <w:p w14:paraId="285E93A5" w14:textId="77777777" w:rsidR="00FC79C1"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RESPONSABILIDAD DE LOS BENEFICIARIOS Y RESTITUCIÓN DEL SUBSIDIO FAMILIAR DE VIVIENDA EN ESPECIE</w:t>
      </w:r>
    </w:p>
    <w:p w14:paraId="1C573B31" w14:textId="77777777" w:rsidR="007C7D44" w:rsidRPr="009342F9" w:rsidRDefault="007C7D44" w:rsidP="005A1FCF">
      <w:pPr>
        <w:spacing w:after="0" w:line="240" w:lineRule="auto"/>
        <w:jc w:val="center"/>
        <w:rPr>
          <w:rFonts w:ascii="Arial" w:eastAsia="Times New Roman" w:hAnsi="Arial" w:cs="Arial"/>
          <w:b/>
          <w:bCs/>
          <w:color w:val="000000"/>
          <w:lang w:eastAsia="es-CO"/>
        </w:rPr>
      </w:pPr>
    </w:p>
    <w:p w14:paraId="4F52EB32"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3B15B73A"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PRESENTACIÓN</w:t>
      </w:r>
    </w:p>
    <w:p w14:paraId="4B2312A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97" w:name="ver_30069410"/>
      <w:bookmarkEnd w:id="397"/>
    </w:p>
    <w:p w14:paraId="1B8F37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2.1.1.2.6.1.1. Objeto. La presente sección define las responsabilidades de los hogares beneficiarios del Subsidio Familiar de Vivienda en Especie - SFVE que se otorgue en el marco del Programa de Vivienda Gratuita que se encuentra implementando el Gobierno Nacional, al igual que desarrolla el procedimiento para la revocatoria de la asignación del mencionado subsidio y para la restitución de la titularidad de la vivienda de interés prioritaria asignada en los términos de la Ley 1537 de 2012. </w:t>
      </w:r>
    </w:p>
    <w:p w14:paraId="7FBBE5A5" w14:textId="6586818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65F7CE"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398" w:name="ver_30069412"/>
      <w:bookmarkEnd w:id="398"/>
      <w:r w:rsidRPr="009342F9">
        <w:rPr>
          <w:rFonts w:ascii="Arial" w:eastAsia="Times New Roman" w:hAnsi="Arial" w:cs="Arial"/>
          <w:b/>
          <w:bCs/>
          <w:color w:val="000000"/>
          <w:lang w:eastAsia="es-CO"/>
        </w:rPr>
        <w:t>SUBSECCIÓN 2</w:t>
      </w:r>
    </w:p>
    <w:p w14:paraId="70E08641"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COMPROMISOS DE LOS POSTULANTES Y BENEFICIARIOS DEL SUBSIDIO FAMILIAR DE VIVIENDA 100% EN ESPECIE</w:t>
      </w:r>
    </w:p>
    <w:p w14:paraId="708B657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399" w:name="ver_30069413"/>
      <w:bookmarkEnd w:id="399"/>
    </w:p>
    <w:p w14:paraId="2EBFAD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2.1.1.2.6.2.1. Obligaciones de los postulantes para el subsidio familiar de vivienda en especie. Los hogares que se postulen a los procesos que se desarrollen de acuerdo con la sección 2.1.1.2.1 del presente decreto, para seleccionar a los beneficiarios de los Subsidios Familiares de Vivienda en Especie a otorgar en el marco del Programa de Vivienda Gratuita, por parte del FONVIVIENDA, tendrán las siguientes obligaciones: </w:t>
      </w:r>
    </w:p>
    <w:p w14:paraId="0A7918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9DB1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Entregar la totalidad de la información y los documentos que le sean solicitados por el operador designado para adelantar el proceso de postulación, de conformidad con lo establecido en el artículo 2.1.1.2.1.2.6 del presente decreto, o las normas que lo modifiquen, adicionen o sustituyan, el cual se refiere expresamente a la suscripción del formulario de declaración jurada de los miembros del hogar postulante, en el que deberán manifestar el cumplimiento de las condiciones para ser beneficiarios del subsidio familiar de vivienda en especie. </w:t>
      </w:r>
    </w:p>
    <w:p w14:paraId="569FF3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4409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Informar a la entidad encargada del proceso de postulación y a FONVIVIENDA, los hechos que se presenten durante el mencionado proceso y que impliquen la modificación de las condiciones del hogar, de manera que le impidan ser beneficiario del Programa de Vivienda Gratuita. Especialmente, el hogar postulante deberá informar cualquiera de las condiciones que darían lugar al rechazo de la postulación, de conformidad con lo establecido en el artículo 2.1.1.2.1.4.8 del presente decreto o las normas que lo modifiquen, adicionen o sustituyan. </w:t>
      </w:r>
    </w:p>
    <w:p w14:paraId="3A28EF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80DD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Informar al momento de la postulación, si ha sido condenado por delitos en contra de menores de edad. </w:t>
      </w:r>
    </w:p>
    <w:p w14:paraId="2449D7C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00" w:name="ver_30069414"/>
      <w:bookmarkEnd w:id="400"/>
    </w:p>
    <w:p w14:paraId="3FE81A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2.1.1.2.6.2.2. Trámite para verificar la información y la documentación. El Fondo Nacional de Vivienda – FONVIVIENDA, podrá en cualquier momento revisar la consistencia y/o veracidad de la información y documentación suministrada por el hogar postulante. </w:t>
      </w:r>
    </w:p>
    <w:p w14:paraId="463D45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ADE5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se advierte la posible existencia de imprecisiones, presuntas falsedades, falta de veracidad en los datos suministrados en el formulario de postulación y/o en los documentos que lo acompañan, o el posible incumplimiento de las obligaciones previstas en el artículo anterior, se solicitará al postulante emitir las aclaraciones del caso, de conformidad con lo establecido en el artículo 2.1.1.2.1.2.7 del presente decreto, y en el evento en que no se subsanen las imprecisiones o se aclaren las presuntas irregularidades, dentro de los términos establecidos, se rechazarán las postulaciones presentadas. </w:t>
      </w:r>
    </w:p>
    <w:p w14:paraId="254B7F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6FDC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postulantes para el subsidio familiar de vivienda en especie aceptarán someterse a las condiciones de transferencia, entrega y legalización del SFVE definidas por el Ministerio de Vivienda, Ciudad y Territorio en la Resolución 937 del 28 de diciembre de 2012, las normas que la </w:t>
      </w:r>
      <w:proofErr w:type="gramStart"/>
      <w:r w:rsidRPr="009342F9">
        <w:rPr>
          <w:rFonts w:ascii="Arial" w:eastAsia="Times New Roman" w:hAnsi="Arial" w:cs="Arial"/>
          <w:color w:val="000000"/>
          <w:lang w:eastAsia="es-CO"/>
        </w:rPr>
        <w:t>modifiquen,</w:t>
      </w:r>
      <w:proofErr w:type="gramEnd"/>
      <w:r w:rsidRPr="009342F9">
        <w:rPr>
          <w:rFonts w:ascii="Arial" w:eastAsia="Times New Roman" w:hAnsi="Arial" w:cs="Arial"/>
          <w:color w:val="000000"/>
          <w:lang w:eastAsia="es-CO"/>
        </w:rPr>
        <w:t xml:space="preserve"> adicionen o sustituyan. </w:t>
      </w:r>
    </w:p>
    <w:p w14:paraId="362FC312" w14:textId="2261679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1" w:name="ver_30069416"/>
      <w:bookmarkEnd w:id="401"/>
    </w:p>
    <w:p w14:paraId="615B63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2.1.1.2.6.2.3. Obligaciones de los beneficiarios del subsidio familiar de vivienda en especie (SFVE). Los hogares que resulten beneficiados con la asignación de una vivienda de interés prioritario, a título de subsidio familiar de vivienda en especie, en el marco del programa de vivienda gratuita, por parte de FONVIVIENDA, tendrán las siguientes obligaciones: </w:t>
      </w:r>
    </w:p>
    <w:p w14:paraId="09F209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6597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el proceso de transferencia y entrega de las viviendas de interés prioritario, a título de subsidio familiar de vivienda en especie. </w:t>
      </w:r>
    </w:p>
    <w:p w14:paraId="45805F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EC71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Otorgar poder a la sociedad fiduciaria vocera de los patrimonios autónomos que se hayan constituido para el desarrollo del programa de vivienda gratuita, cuando así lo defina FONVIVIENDA en la respectiva resolución de asignación, para que la sociedad fiduciaria: i) adquiera para el mandante la vivienda de interés prioritaria que le ha sido asignada, y ii) constituya sobre el inmueble que reciba a título del subsidio familiar de vivienda el patrimonio de familia inembargable, de acuerdo con lo establecido en el artículo 9° de la Ley 1537 de 2012. </w:t>
      </w:r>
    </w:p>
    <w:p w14:paraId="51C329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1E08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Asistir a la diligencia de reconocimiento de la vivienda, en las fechas o plazos establecidos por FONVIVIENDA y suscribir el acta en la que conste su comparecencia, en el formato que se establezca por la mencionada entidad, indicando si acepta o no la vivienda asignada a título de subsidio 100% en especie. </w:t>
      </w:r>
    </w:p>
    <w:p w14:paraId="662E52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12FE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Revisar y suscribir el acta de recibo material de la vivienda, en las condiciones, fechas y/o plazos que se definan para tal efecto por parte de los patrimonios autónomos que se hayan constituido para el desarrollo del Programa de Vivienda Gratuita. </w:t>
      </w:r>
    </w:p>
    <w:p w14:paraId="65C708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A199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1.4. Asumir la custodia y la vigilancia de la vivienda asignada a título de subsidio en especie, a partir de la firma del recibo material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158C39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8D3C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su condición de propietarios de las viviendas de interés prioritario otorgadas a título de subsidio en especie: </w:t>
      </w:r>
    </w:p>
    <w:p w14:paraId="285A8D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F352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Destinar el inmueble recibido para vivienda, como uso principal, y para los usos permitidos y compatibles con la misma, de conformidad con lo establecido en las normas urbanísticas contenidas en el Plan de Ordenamiento Territorial respectivo y/o los instrumentos que lo desarrollen y complementen. </w:t>
      </w:r>
    </w:p>
    <w:p w14:paraId="75A25B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95BC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Mantener la vivienda asignada en condiciones de habitabilidad y salubridad y no destruirla o desmantelarla total ni parcialmente. </w:t>
      </w:r>
    </w:p>
    <w:p w14:paraId="3B74A7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55FA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Abstenerse de destinar la vivienda para la comisión de actividades ilícitas. </w:t>
      </w:r>
    </w:p>
    <w:p w14:paraId="4E712B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98F6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Residir en la vivienda asignada por el término mínimo de diez (10) años contados desde la fecha de su transferencia, salvo que medie permiso de la entidad otorgante fundamentado en razones de fuerza mayor o caso fortuito, en los términos señalados en la presente sección. En consecuencia, debe abstenerse de arrendar o entregar a título de comodato, total o parcialmente, la vivienda asignada, dentro del término establecido en el presente numeral. </w:t>
      </w:r>
    </w:p>
    <w:p w14:paraId="1532D8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B771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Abstenerse de transferir total o parcialmente cualquier derecho real que ejerza sobre la vivienda, antes de haber transcurrido diez (10) años desde la fecha de su transferencia, sin mediar permiso específico fundamentado en razones de fuerza mayor, según lo señalado en la presente sección. </w:t>
      </w:r>
    </w:p>
    <w:p w14:paraId="4A7BD1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prohibición incluye la suscripción de documentos privados o el otorgamiento de escrituras públicas en las cuales se prometa transferir o se transfiera, total o parcialmente, cualquiera de los referidos derechos reales. </w:t>
      </w:r>
    </w:p>
    <w:p w14:paraId="0B28F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3103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 Abstenerse de realizar modificaciones a la vivienda asignada, o construcciones en el predio en que se haya ejecutado la misma, sin obtener previamente las licencias urbanísticas correspondientes y los demás permisos a que haya lugar. </w:t>
      </w:r>
    </w:p>
    <w:p w14:paraId="796854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7DB3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2.7. Pagar en forma debida y oportuna las obligaciones tributarias que recaigan sobre la vivienda asignada. Si por cualquier razón, previa entrega de la vivienda, el patrimonio autónomo constituido por FONVIVIENDA para la ejecución del Programa de Vivienda </w:t>
      </w:r>
      <w:proofErr w:type="gramStart"/>
      <w:r w:rsidRPr="009342F9">
        <w:rPr>
          <w:rFonts w:ascii="Arial" w:eastAsia="Times New Roman" w:hAnsi="Arial" w:cs="Arial"/>
          <w:color w:val="000000"/>
          <w:lang w:eastAsia="es-CO"/>
        </w:rPr>
        <w:t>Gratuita,</w:t>
      </w:r>
      <w:proofErr w:type="gramEnd"/>
      <w:r w:rsidRPr="009342F9">
        <w:rPr>
          <w:rFonts w:ascii="Arial" w:eastAsia="Times New Roman" w:hAnsi="Arial" w:cs="Arial"/>
          <w:color w:val="000000"/>
          <w:lang w:eastAsia="es-CO"/>
        </w:rPr>
        <w:t xml:space="preserve"> efectúa pagos de obligaciones tributarias, el beneficiario deberá devolver, dentro del término que establezca FONVIVIENDA, el valor proporcional del tributo, desde la fecha en que reciba efectivamente la vivienda. </w:t>
      </w:r>
    </w:p>
    <w:p w14:paraId="1B648D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8826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2.8. Pagar en forma debida y oportuna los servicios públicos domiciliarios de la vivienda asignada. </w:t>
      </w:r>
    </w:p>
    <w:p w14:paraId="313137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1BBB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2.9. Pagar en forma debida y oportuna las cuotas a que haya lugar por concepto de administración de la vivienda asignada y de las zonas comunes del proyecto en que esta se haya construido, cuando sea el caso. </w:t>
      </w:r>
    </w:p>
    <w:p w14:paraId="6AE312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58D8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2.10. En el caso en se encuentre incluido en un programa estatal para la superación de la pobreza, mantenerse en el programa hasta cumplir todas las etapas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acogiéndose a los requisitos y condiciones señalados en el programa. </w:t>
      </w:r>
    </w:p>
    <w:p w14:paraId="7F6709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D60C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2.11. Ofrecer la vivienda en primer término a la entidad otorgante del SFVE si decide enajenarla, transcurridos diez años (10) después de la transferencia de la vivienda asignada, a efectos de cumplir con el derecho de preferencia en cabeza de la misma, para la compra del inmueble, acorde a los lineamientos del artículo 21 de la Ley 1537 de </w:t>
      </w:r>
      <w:proofErr w:type="gramStart"/>
      <w:r w:rsidRPr="009342F9">
        <w:rPr>
          <w:rFonts w:ascii="Arial" w:eastAsia="Times New Roman" w:hAnsi="Arial" w:cs="Arial"/>
          <w:color w:val="000000"/>
          <w:lang w:eastAsia="es-CO"/>
        </w:rPr>
        <w:t>2012 .</w:t>
      </w:r>
      <w:proofErr w:type="gramEnd"/>
      <w:r w:rsidRPr="009342F9">
        <w:rPr>
          <w:rFonts w:ascii="Arial" w:eastAsia="Times New Roman" w:hAnsi="Arial" w:cs="Arial"/>
          <w:color w:val="000000"/>
          <w:lang w:eastAsia="es-CO"/>
        </w:rPr>
        <w:t> </w:t>
      </w:r>
    </w:p>
    <w:p w14:paraId="79FD68C6" w14:textId="325DFDE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2" w:name="ver_30069418"/>
      <w:bookmarkEnd w:id="402"/>
    </w:p>
    <w:p w14:paraId="09A961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2.1.1.2.6.2.4. Eventos de fuerza mayor en que es posible enajenar derechos reales de la vivienda transferida o dejar de residir en ella. El hogar beneficiario del SFVE podrá solicitar ante la entidad otorgante autorización para transferir cualquier derecho real o para dejar de residir en la solución de vivienda transferida, antes de haber transcurrido diez (10) años desde la fecha de la transferencia, de conformidad con lo establecido en el artículo 21 de la Ley 1537 de 2012, cuando acredite ante la entidad otorgante circunstancias de fuerza mayor, previstas en el artículo 64 del Código Civil. </w:t>
      </w:r>
    </w:p>
    <w:p w14:paraId="42130D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0BAA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el hogar beneficiario eleve la petición ante el Fondo Nacional de Vivienda FONVIVIENDA, y este le dé trámite de acuerdo al procedimiento establecido en el Código de Procedimiento Administrativo y de lo Contencioso Administrativo, el Fondo Nacional de Vivienda, FONVIVIENDA, evaluará la solicitud y las pruebas aportadas por el hogar, y procederá a expedir un acto administrativo donde se resolverá la solicitud de autorización de enajenación o el permiso para dejar de residir, según sea el caso. </w:t>
      </w:r>
    </w:p>
    <w:p w14:paraId="0A9BAE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7600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simple manifestación de una circunstancia de fuerza mayor por parte del hogar beneficiario no será suficiente para emitir la autorización a la que hace referencia el presente artículo. </w:t>
      </w:r>
    </w:p>
    <w:p w14:paraId="6540239B" w14:textId="4A2C7A76"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3" w:name="ver_30069419"/>
      <w:bookmarkEnd w:id="403"/>
    </w:p>
    <w:p w14:paraId="09D9AA78" w14:textId="1FA3AD68"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7E6D7CF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INCUMPLIMIENTO DE LAS OBLIGACIONES ESTABLECIDAS EN EL PROGRAMA DE VIVIENDA GRATUITA</w:t>
      </w:r>
    </w:p>
    <w:p w14:paraId="49609CA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04" w:name="ver_30069421"/>
      <w:bookmarkEnd w:id="404"/>
    </w:p>
    <w:p w14:paraId="1A6662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2.1.1.2.6.3.1. Trámite frente a la inobservancia de las obligaciones en el proceso de transferencia de las viviendas. El Fondo Nacional de Vivienda, FONVIVIENDA, verificará el cumplimiento de las obligaciones de los beneficiarios del subsidio familiar de vivienda en especie en el proceso de transferencia y entrega de las viviendas de interés prioritario. </w:t>
      </w:r>
    </w:p>
    <w:p w14:paraId="64E531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9809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FONVIVIENDA establezca que existe mérito ante el presunto incumplimiento de las obligaciones contenidas en el numeral 4.1 de la presente sección, requerirá al beneficiario para que dentro de los 15 días hábiles siguientes exponga la respectiva justificación y manifieste su intención de adelantar las actuaciones necesarias para proceder a la transferencia y ulterior entrega de la vivienda. </w:t>
      </w:r>
    </w:p>
    <w:p w14:paraId="2EC2B8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3FE2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dentro del término establecido el hogar beneficiario no presenta la justificación correspondiente o manifiesta no tener intención de adelantar las actuaciones necesarias para adquirir y recibir la vivienda, se dará inicio al procedimiento de restitución del subsidio al que alude el artículo 2.1.1.2.6.3.3 de la presente sección. </w:t>
      </w:r>
    </w:p>
    <w:p w14:paraId="50F1AB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4F8A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el hogar beneficiario presente la justificación correspondiente, dentro del término antes señalado, y manifieste su intención de adelantar las actuaciones necesarias para adquirir y recibir la vivienda, FONVIVIENDA dispondrá de un término máximo de 15 días hábiles para fijar nueva fecha o plazo para adelantar las diligencias tendientes al reconocimiento, transferencia y entrega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208AE6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CBEE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el beneficiario no atienda la nueva fecha o plazo señalado, o cuando en dicho término no cumpla las obligaciones establecidas para el reconocimiento, transferencia y entrega de la vivienda, se dará inicio al procedimiento de restitución del subsidio al que alude el artículo 2.1.1.2.6.3.3 de la presente sección. </w:t>
      </w:r>
    </w:p>
    <w:p w14:paraId="1763E91B" w14:textId="4BB571D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5" w:name="ver_30069422"/>
      <w:bookmarkEnd w:id="405"/>
    </w:p>
    <w:p w14:paraId="6EF27C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2.1.1.2.6.3.2. Causales de revocatoria de la asignación del SFVE. La entidad otorgante del SFVE dará inicio al procedimiento para la revocatoria de la asignación del subsidio, al cual hace referencia el artículo 2.1.1.2.6.3.3 de la presente sección, cuando por cualquier medio advierta la ocurrencia de alguna o algunas de las siguientes situaciones: </w:t>
      </w:r>
    </w:p>
    <w:p w14:paraId="6795EC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AA8C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Cuando se acredite objetivamente la descripción típica del delito de falsedad, en cualquier documento suministrado o suscrito por el hogar beneficiario, durante la postulación, asignación, reconocimiento, transferencia o entrega de la vivienda. </w:t>
      </w:r>
    </w:p>
    <w:p w14:paraId="12D739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CB97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Cuando se compruebe, con un certificado emitido por la autoridad competente, que el beneficiario ha sido condenado por delitos cometidos en contra de menores de edad, caso en el cual los niños menores de edad no perderán los beneficios del subsidio de vivienda y los conservarán a través de la persona que los represente, de conformidad con lo establecido en el artículo 8° de la Ley 3ª de 1991, modificado por el 21 de la Ley 1537 de 2012. </w:t>
      </w:r>
    </w:p>
    <w:p w14:paraId="4E786A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A5D7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Cuando se presente la inobservancia de las obligaciones señaladas en el artículo 2.1.1.2.6.3.1 de la presente sección, durante la etapa de transferencia y entrega de las viviendas. </w:t>
      </w:r>
    </w:p>
    <w:p w14:paraId="01423C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04DC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Cuando se incumplan las obligaciones contenidas en los numerales 4.2.1, 4.2.2, 4.2.4, </w:t>
      </w:r>
    </w:p>
    <w:p w14:paraId="06931C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4.2.5, 4.2.6, 4.2.10 y 4.2.11 de la presente sección. </w:t>
      </w:r>
    </w:p>
    <w:p w14:paraId="54AA51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F691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Cuando la autoridad competente considere que la vivienda asignada ha sido utilizada en forma permanente o temporal, para la comisión de actividades ilícitas. </w:t>
      </w:r>
    </w:p>
    <w:p w14:paraId="22364F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989F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Cuando el hogar beneficiario incurra en mora de más de seis meses en el pago de los servicios públicos domiciliarios de la vivienda asignada o en el pago del impuesto predial u otros tributos que recaigan sobre la vivienda asignada, incluyendo el pago al patrimonio autónomo referido en el numeral 4.2.7 de la presente sección. </w:t>
      </w:r>
    </w:p>
    <w:p w14:paraId="322F12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EF91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Cuando el hogar beneficiario incurra en mora de más de tres meses en el pago de las cuotas a que haya lugar por concepto de administración de la vivienda asignada y de las zonas comunes del proyecto en que esta se haya construido, cuando sea el caso. </w:t>
      </w:r>
    </w:p>
    <w:p w14:paraId="03F63C96" w14:textId="00E79EF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6" w:name="ver_30069423"/>
      <w:bookmarkEnd w:id="406"/>
    </w:p>
    <w:p w14:paraId="187F09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2.1.1.2.6.3.3. Trámite para la revocatoria de la asignación. El Fondo Nacional de Vivienda, FONVIVIENDA, revocará mediante acto administrativo la asignación del SFVE, en caso de verificar la ocurrencia de alguna o algunas de las causales previstas en el artículo 2.1.1.2.6.3.2 de la presente sección, previo desarrollo del procedimiento administrativo sancionatorio al que hace referencia el artículo 47 y siguientes del Código de Procedimiento Administrativo y de lo Contencioso Administrativo, o las normas que lo modifiquen, adicionen o sustituyan. </w:t>
      </w:r>
    </w:p>
    <w:p w14:paraId="5C9896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C41E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se revoque el SFVE, el mismo acto ordenará la restitución de la titularidad del inmueble. </w:t>
      </w:r>
    </w:p>
    <w:p w14:paraId="52C267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FE78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se trate del incumplimiento de obligaciones relacionadas con el pago de responsabilidades tributarias, servicios públicos domiciliarios o cuotas de administración de la vivienda entregada a título de subsidio en especie, el interesado podrá acreditar en el marco del proceso la realización de los pagos o la suscripción de acuerdos de pago con las entidades acreedoras, lo cual dará lugar a la terminación anticipada del proceso. </w:t>
      </w:r>
    </w:p>
    <w:p w14:paraId="261B5CFC" w14:textId="4544AB3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7" w:name="ver_30069437"/>
      <w:bookmarkEnd w:id="407"/>
    </w:p>
    <w:p w14:paraId="02CB03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2.1.1.2.6.3.4. Condiciones de la restitución. A más tardar dentro de los cinco (5) días hábiles siguientes a la ejecutoria del acto administrativo mediante el cual el Fondo Nacional de Vivienda revoque el SFVE y ordene la restitución de la titularidad de la vivienda otorgada, por las causales señaladas en la presente sección, el hogar beneficiario deberá suscribir el acto de restitución de la vivienda, a la entidad otorgante del subsidio, así como el acta de entrega material respectiva, so pena de que se inicien las acciones policivas y/o judiciales a que haya lugar. </w:t>
      </w:r>
    </w:p>
    <w:p w14:paraId="415696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DC29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vivienda deberá ser restituida en las mismas condiciones en las cuales fue entregada, salvo por el deterioro normal por el transcurso del tiempo y el uso legítimo de la misma. La entidad otorgante podrá solicitar la indemnización de los perjuicios a que haya lugar, cuando la vivienda no se encuentre en condiciones de habitabilidad o haya tenido un deterioro diferente al mencionado en el presente artículo. </w:t>
      </w:r>
    </w:p>
    <w:p w14:paraId="661EB9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CF7E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mejoras </w:t>
      </w:r>
      <w:proofErr w:type="spellStart"/>
      <w:r w:rsidRPr="009342F9">
        <w:rPr>
          <w:rFonts w:ascii="Arial" w:eastAsia="Times New Roman" w:hAnsi="Arial" w:cs="Arial"/>
          <w:color w:val="000000"/>
          <w:lang w:eastAsia="es-CO"/>
        </w:rPr>
        <w:t>voluptuarias</w:t>
      </w:r>
      <w:proofErr w:type="spellEnd"/>
      <w:r w:rsidRPr="009342F9">
        <w:rPr>
          <w:rFonts w:ascii="Arial" w:eastAsia="Times New Roman" w:hAnsi="Arial" w:cs="Arial"/>
          <w:color w:val="000000"/>
          <w:lang w:eastAsia="es-CO"/>
        </w:rPr>
        <w:t xml:space="preserve"> realizadas en el inmueble restituido por el hogar beneficiario, en ningún caso serán pagadas por la entidad otorgante y solo podrán retirarse cuando con el retiro no se cause ningún perjuicio al inmueble. </w:t>
      </w:r>
    </w:p>
    <w:p w14:paraId="2828C2BB" w14:textId="46F2469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8" w:name="ver_30069442"/>
      <w:bookmarkEnd w:id="408"/>
    </w:p>
    <w:p w14:paraId="3EC351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2.1.1.2.6.3.5. Sanciones adicionales. Cuando se compruebe que se recibió el beneficio del Subsidio Familiar de Vivienda en Especie de manera fraudulenta o utilizando documentos falsos, se solicitará a la autoridad competente el inicio de una investigación por el delito de Fraude en Subvenciones, conforme al artículo 403A de la Ley 599 de 2000, y de acuerdo con lo establecido en el parágrafo 2° del artículo 21 de la Ley 1537 de 2012. </w:t>
      </w:r>
    </w:p>
    <w:p w14:paraId="661BA0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F5B7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beneficiarios que por sentencia ejecutoriada hubiesen sido condenados por haber presentado documento o información falsos con el objeto de resultar beneficiarios de un subsidio familiar de vivienda en especie, quedarán inhabilitados por el término de diez (10) años para volver a solicitarlo. </w:t>
      </w:r>
    </w:p>
    <w:p w14:paraId="1CC6B99A" w14:textId="2CEAA3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09" w:name="ver_30069446"/>
      <w:bookmarkEnd w:id="409"/>
    </w:p>
    <w:p w14:paraId="0ECB1B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2.1.1.2.6.3.6. Sustitución del beneficiario del SFVE. Una vez concluido el procedimiento de revocatoria del SFVE y de restitución de la titularidad de la vivienda asignada, de acuerdo con lo establecido en la presente sección, se realizará la sustitución del hogar beneficiario, en los términos señalados en el artículo 2.1.1.2.1.4.8 del presente decreto o las normas que lo modifiquen, adicionen o sustituyan. </w:t>
      </w:r>
    </w:p>
    <w:p w14:paraId="48AB9EBA" w14:textId="71994190"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10" w:name="ver_30069450"/>
      <w:bookmarkEnd w:id="410"/>
    </w:p>
    <w:p w14:paraId="2E5EDE10" w14:textId="68A2CD52"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4</w:t>
      </w:r>
    </w:p>
    <w:p w14:paraId="0879D060"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DISPOSICIONES.</w:t>
      </w:r>
    </w:p>
    <w:p w14:paraId="443BAE1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11" w:name="ver_30069451"/>
      <w:bookmarkEnd w:id="411"/>
    </w:p>
    <w:p w14:paraId="4091AF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2.1.1.2.6.4.1. Solicitud de información. El Fondo Nacional de Vivienda podrá solicitar información a cualquier entidad o autoridad que considere competente, para verificar el acaecimiento de cualquiera de las causales incorporadas en el artículo 2.1.1.2.6.3.3 de la presente sección. </w:t>
      </w:r>
    </w:p>
    <w:p w14:paraId="2FF536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3010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transcurrido un (1) año contado a partir de la entrega de la vivienda asignada a título de SFVE y sucesiva y periódicamente durante un periodo de diez (10) años, FONVIVIENDA solicitará, a las siguientes entidades la información relativa a las viviendas otorgadas a título de SFVE: </w:t>
      </w:r>
    </w:p>
    <w:p w14:paraId="67EBF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0FF9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 las secretarías de hacienda municipales o la entidad que haga sus veces, la información de las viviendas transferidas que se encuentren en mora de más de seis meses por concepto del pago del impuesto predial u otros tributos que recaigan sobre el inmueble. </w:t>
      </w:r>
    </w:p>
    <w:p w14:paraId="76F076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05FF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 las empresas prestadoras de servicios públicos domiciliarios, la información de las viviendas transferidas que se encuentren en mora de más de seis meses por concepto del pago de servicios públicos domiciliarios. </w:t>
      </w:r>
    </w:p>
    <w:p w14:paraId="3B2D68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15D2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 los administradores de los proyectos de vivienda de interés prioritario que se encuentren sometidos a propiedad horizontal, la información de las viviendas transferidas que presenten mora de más de tres meses por concepto de pago de cuotas de administración. </w:t>
      </w:r>
    </w:p>
    <w:p w14:paraId="582DCA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AEAC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entidades o personas competentes deberán suministrar sin costo alguno, en medio magnético, la información requerida de acuerdo con lo establecido en el presente artículo. </w:t>
      </w:r>
    </w:p>
    <w:p w14:paraId="2807F939" w14:textId="77777777" w:rsidR="005A1FCF" w:rsidRPr="009342F9" w:rsidRDefault="005A1FCF" w:rsidP="00FC79C1">
      <w:pPr>
        <w:spacing w:after="0" w:line="240" w:lineRule="auto"/>
        <w:jc w:val="both"/>
        <w:rPr>
          <w:rFonts w:ascii="Arial" w:eastAsia="Times New Roman" w:hAnsi="Arial" w:cs="Arial"/>
          <w:color w:val="000000"/>
          <w:lang w:eastAsia="es-CO"/>
        </w:rPr>
      </w:pPr>
      <w:bookmarkStart w:id="412" w:name="ver_30069452"/>
      <w:bookmarkEnd w:id="412"/>
    </w:p>
    <w:p w14:paraId="2CF0CA1A" w14:textId="7AF51A89"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7</w:t>
      </w:r>
    </w:p>
    <w:p w14:paraId="2C860EEE"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CRITERIOS DE FOCALIZACIÓN PARA EL ACCESO AL SUBSIDIO FAMILIAR DE VIVIENDA EN ESPECIE</w:t>
      </w:r>
    </w:p>
    <w:p w14:paraId="71871B23" w14:textId="77777777" w:rsidR="00524495" w:rsidRDefault="00524495" w:rsidP="005A1FCF">
      <w:pPr>
        <w:spacing w:after="0" w:line="240" w:lineRule="auto"/>
        <w:jc w:val="center"/>
        <w:rPr>
          <w:rFonts w:ascii="Arial" w:eastAsia="Times New Roman" w:hAnsi="Arial" w:cs="Arial"/>
          <w:b/>
          <w:bCs/>
          <w:color w:val="000000"/>
          <w:lang w:eastAsia="es-CO"/>
        </w:rPr>
      </w:pPr>
    </w:p>
    <w:p w14:paraId="2DF77EE1" w14:textId="3D07DBC6"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0ACB3CF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CRITERIO DE FOCALIZACIÓN PARA ACCESO AL SUBSIDIO FAMILIAR DE VIVIENDA PARA ÁREAS URBANAS EN ESPECIE A LOS HOGARES QUE TENGAN COMO MIEMBRO A DEPORTISTAS Y ENTRENADORES MEDALLISTAS</w:t>
      </w:r>
    </w:p>
    <w:p w14:paraId="31EF285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13" w:name="ver_30069455"/>
      <w:bookmarkEnd w:id="413"/>
    </w:p>
    <w:p w14:paraId="3EEBBC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2.1.1.2.7.1.1. Criterio de focalización. Establézcase como criterio de focalización para el acceso al subsidio familiar de vivienda en especie para áreas urbanas de que trata la Ley 1537 de 2012, a los hogares que tengan como miembro del grupo familiar a deportistas y entrenadores medallistas que se encuentran en estado de vulnerabilidad por carecer de recursos y no contar con una solución habitacional digna que hayan representado a la República de Colombia en juegos olímpicos, juegos paralímpicos, juegos sordo-olímpicos, eventos del ciclo olímpico y paralímpico y campeonatos mundiales, con el fin de facilitar el acceso a una solución de vivienda. </w:t>
      </w:r>
    </w:p>
    <w:p w14:paraId="64B5F13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14" w:name="ver_30069457"/>
      <w:bookmarkEnd w:id="414"/>
    </w:p>
    <w:p w14:paraId="32F45E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2.1.1.2.7.1.2. Condiciones para el acceso al subsidio familiar de vivienda. Podrá acceder al subsidio familiar de vivienda en especie para áreas urbanas de que trata la presente subsección, el hogar que cumpla con las siguientes condiciones: </w:t>
      </w:r>
    </w:p>
    <w:p w14:paraId="63E83C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730E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Estar conformado por un miembro deportista y entrenador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representación de la República de Colombia, hubiesen obtenido medallas en Juegos Olímpicos, Juegos Paralímpicos, Juegos Sordo-Olímpicos, eventos del ciclo olímpico y paralímpico y campeonatos mundiales, individualmente o por equipos; </w:t>
      </w:r>
    </w:p>
    <w:p w14:paraId="5BF76B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D745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la respectiva disciplina deportiva esté reconocida por el Departamento Administrativo del Deporte, la Recreación, la Actividad Física y el Aprovechamiento del Tiempo Libre- COLDEPORTES y vinculada al Sistema Nacional del Deporte; </w:t>
      </w:r>
    </w:p>
    <w:p w14:paraId="068CB4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E680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Que el deportista y entrenador medallista haya obtenido medalla dentro de los certámenes previstos en el literal a) de este artículo dentro del ciclo olímpico y paraolímpico que establezca COLDEPORTES; </w:t>
      </w:r>
    </w:p>
    <w:p w14:paraId="4BD3B8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6178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Que el deportista y entrenador medallista se encuentre dentro del listado de personas y familias potencialmente elegibles por carecer de recursos y no contar con una solución habitacional digna, que remita la Agencia Nacional para la Superación de la Pobreza Extrema adscrita al Departamento Administrativo para la Prosperidad Social, a la entidad otorgante. </w:t>
      </w:r>
    </w:p>
    <w:p w14:paraId="7A58BF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BD85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relación de deportistas y entrenadores medallistas en las condiciones aquí establecidas, será remitida por el Departamento Administrativo del Deporte, la Recreación, la Actividad Física y el Aprovechamiento del Tiempo Libre- COLDEPORTES, acompañada de una certificación que acredite el cumplimiento de las presentes condiciones, a la Agencia Nacional para la Superación de la Pobreza Extrema adscrita al Departamento Administrativo para la Prosperidad Social. </w:t>
      </w:r>
    </w:p>
    <w:p w14:paraId="36AC92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7C4A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asignación del subsidio familiar de vivienda para áreas urbanas de que trata la presente subsección se sujetará a la disponibilidad de recursos con que cuente el Fondo Nacional de Vivienda - FONVIVIENDA en su calidad de otorgante del subsidio. </w:t>
      </w:r>
    </w:p>
    <w:p w14:paraId="39D6214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15" w:name="ver_30069458"/>
      <w:bookmarkEnd w:id="415"/>
    </w:p>
    <w:p w14:paraId="66C887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2.1.1.2.7.1.3. Determinación de requisitos de acceso y aplicación de subsidio familiar de vivienda. Los demás requisitos de acceso y aplicación del subsidio familiar de vivienda para áreas urbanas de que trata la presente subsección se efectuarán en los términos y condiciones que defina el Ministerio de Vivienda, Ciudad y Territorio, en coordinación con las demás entidades a que haya lugar. </w:t>
      </w:r>
    </w:p>
    <w:p w14:paraId="1DA10D0D" w14:textId="4B124938" w:rsidR="00FC79C1" w:rsidRPr="009342F9" w:rsidRDefault="00FC79C1" w:rsidP="002B70CD">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AE6358" w14:textId="77777777" w:rsidR="005A1FCF" w:rsidRPr="009342F9" w:rsidRDefault="005A1FCF" w:rsidP="00FC79C1">
      <w:pPr>
        <w:spacing w:after="0" w:line="240" w:lineRule="auto"/>
        <w:jc w:val="both"/>
        <w:rPr>
          <w:rFonts w:ascii="Arial" w:eastAsia="Times New Roman" w:hAnsi="Arial" w:cs="Arial"/>
          <w:color w:val="000000"/>
          <w:lang w:eastAsia="es-CO"/>
        </w:rPr>
      </w:pPr>
      <w:bookmarkStart w:id="416" w:name="ver_30176479"/>
      <w:bookmarkEnd w:id="416"/>
    </w:p>
    <w:p w14:paraId="467E6318" w14:textId="54F0D87F"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79AC7279"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CRITERIO DE FOCALIZACIÓN PARA EL ACCESO AL SUBSIDIO FAMI</w:t>
      </w:r>
      <w:r w:rsidRPr="009342F9">
        <w:rPr>
          <w:rFonts w:ascii="Arial" w:eastAsia="Times New Roman" w:hAnsi="Arial" w:cs="Arial"/>
          <w:b/>
          <w:bCs/>
          <w:color w:val="000000"/>
          <w:lang w:eastAsia="es-CO"/>
        </w:rPr>
        <w:softHyphen/>
        <w:t>LIAR DE VIVIENDA EN ESPECIE PARA ÁREAS URBANAS A LOS HOGARES QUE TENGAN COMO MIEMBRO DEL GRUPO FAMILIAR A UN INTEGRAN</w:t>
      </w:r>
      <w:r w:rsidRPr="009342F9">
        <w:rPr>
          <w:rFonts w:ascii="Arial" w:eastAsia="Times New Roman" w:hAnsi="Arial" w:cs="Arial"/>
          <w:b/>
          <w:bCs/>
          <w:color w:val="000000"/>
          <w:lang w:eastAsia="es-CO"/>
        </w:rPr>
        <w:softHyphen/>
        <w:t>TE DE LA FUERZA PÚBLICA, QUE SE ENCUENTRE EN ESTADO DE VUL</w:t>
      </w:r>
      <w:r w:rsidRPr="009342F9">
        <w:rPr>
          <w:rFonts w:ascii="Arial" w:eastAsia="Times New Roman" w:hAnsi="Arial" w:cs="Arial"/>
          <w:b/>
          <w:bCs/>
          <w:color w:val="000000"/>
          <w:lang w:eastAsia="es-CO"/>
        </w:rPr>
        <w:softHyphen/>
        <w:t>NERABILIDAD Y NO CUENTE CON UNA SOLUCIÓN HABITACIONAL.</w:t>
      </w:r>
    </w:p>
    <w:p w14:paraId="28957555" w14:textId="77777777" w:rsidR="00524495" w:rsidRDefault="00524495" w:rsidP="005A1FCF">
      <w:pPr>
        <w:spacing w:after="0" w:line="240" w:lineRule="auto"/>
        <w:jc w:val="center"/>
        <w:rPr>
          <w:rFonts w:ascii="Arial" w:eastAsia="Times New Roman" w:hAnsi="Arial" w:cs="Arial"/>
          <w:b/>
          <w:bCs/>
          <w:color w:val="000000"/>
          <w:lang w:eastAsia="es-CO"/>
        </w:rPr>
      </w:pPr>
      <w:bookmarkStart w:id="417" w:name="ver_30176475"/>
      <w:bookmarkEnd w:id="417"/>
    </w:p>
    <w:p w14:paraId="58861C7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18" w:name="ver_30109439"/>
      <w:bookmarkStart w:id="419" w:name="ver_30109443"/>
      <w:r w:rsidRPr="009342F9">
        <w:rPr>
          <w:rFonts w:ascii="Arial" w:eastAsia="Times New Roman" w:hAnsi="Arial" w:cs="Arial"/>
          <w:color w:val="000000"/>
          <w:lang w:eastAsia="es-CO"/>
        </w:rPr>
        <w:t>Artículo 2.1.1.2.7.2.1. Criterio de focalización. Establézcase como criterio de foca</w:t>
      </w:r>
      <w:r w:rsidRPr="009342F9">
        <w:rPr>
          <w:rFonts w:ascii="Arial" w:eastAsia="Times New Roman" w:hAnsi="Arial" w:cs="Arial"/>
          <w:color w:val="000000"/>
          <w:lang w:eastAsia="es-CO"/>
        </w:rPr>
        <w:softHyphen/>
        <w:t>lización para el acceso al subsidio familiar de vivienda en especie para áreas urbanas de que trata esta subsección, a los hogares que tengan como miembro del grupo familiar a un integrante de la Fuerza Pública, activo o retirado, que haya sido herido en combate, o como consecuencia de la acción del enemigo, o en actos meritorios del servicio, y/o como consecuencia de actos del servicio o por causas inherentes al mismo, que se encuentre en estado de vulnerabilidad y no cuente con una solución habitacional. Para el efecto podrán ser beneficiarios los oficiales, suboficiales, nivel ejecutivo, soldado, agente y/o auxiliar de las Fuerzas Militares o Policía Nacional, según sea el caso.</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La asignación del subsidio familiar de vivienda en especie para áreas urbanas de que trata la presente subsección se sujetará a la disponibilidad de recursos con que cuente el Fondo Nacional Vivienda (Fonvivienda).</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El subsidio familiar de vivienda en especie para áreas urbanas de que trata la presente subsección, no se podrá asignar cuando el destinatario haya sido beneficiario del subsidio de vivienda otorgado por el Estado a través de la Caja Promotora de Vivienda Militar y de Policía.</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Parágrafo transitorio. Los integrantes de la Fuerza Pública beneficiarios del subsidio familiar de vivienda otorgado por la Caja Promotora de Vivienda Militar y de Policía, po</w:t>
      </w:r>
      <w:r w:rsidRPr="009342F9">
        <w:rPr>
          <w:rFonts w:ascii="Arial" w:eastAsia="Times New Roman" w:hAnsi="Arial" w:cs="Arial"/>
          <w:color w:val="000000"/>
          <w:lang w:eastAsia="es-CO"/>
        </w:rPr>
        <w:softHyphen/>
        <w:t>drán acceder, por una sola vez, al subsidio de que trata la presente subsección, en el evento que se cumpla la totalidad de las siguientes condiciones:</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a) Que la Caja Promotora de Vivienda Militar y de Policía como entidad otorgante del subsidio inicial expida constancia acerca de los hechos que hubiesen impedido ejercer su derecho constitucional a la vivienda digna, y de la condición de vulnerabilidad del be</w:t>
      </w:r>
      <w:r w:rsidRPr="009342F9">
        <w:rPr>
          <w:rFonts w:ascii="Arial" w:eastAsia="Times New Roman" w:hAnsi="Arial" w:cs="Arial"/>
          <w:color w:val="000000"/>
          <w:lang w:eastAsia="es-CO"/>
        </w:rPr>
        <w:softHyphen/>
        <w:t>neficiario en los términos del presente Decreto.</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b) Que los integrantes de la Fuerza Pública que aspiran al otorgamiento del subsidio se encuentren inscritos en el Registro Único de Víctimas (RUV) en fecha posterior a la asignación del subsidio otorgado por parte de la Caja Promotora de Vivienda Militar y de Policía;</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c) Que el beneficiario del subsidio realice las gestiones necesarias para transferir la propiedad de la vivienda adquirida con el subsidio de la Caja Promotora de Vivienda Militar y de Policía a la misma. Para tales efectos, la Caja Promotora de Vivienda Militar y de Policía señalará los lineamientos administrativos y financieros pertinentes;</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d) Que se cumplan las condiciones de acceso determinadas por el artículo 2.1.1.2.7.2.3 del presente decreto. </w:t>
      </w:r>
    </w:p>
    <w:p w14:paraId="2BFEB0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84161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20" w:name="ver_30109441"/>
      <w:bookmarkEnd w:id="418"/>
      <w:bookmarkEnd w:id="419"/>
      <w:r w:rsidRPr="009342F9">
        <w:rPr>
          <w:rFonts w:ascii="Arial" w:eastAsia="Times New Roman" w:hAnsi="Arial" w:cs="Arial"/>
          <w:color w:val="000000"/>
          <w:lang w:eastAsia="es-CO"/>
        </w:rPr>
        <w:t>Artículo 2.1.1.2.7.2.2. Hogar objeto del subsidio familiar 100% de vivienda en espe</w:t>
      </w:r>
      <w:r w:rsidRPr="009342F9">
        <w:rPr>
          <w:rFonts w:ascii="Arial" w:eastAsia="Times New Roman" w:hAnsi="Arial" w:cs="Arial"/>
          <w:color w:val="000000"/>
          <w:lang w:eastAsia="es-CO"/>
        </w:rPr>
        <w:softHyphen/>
        <w:t>cie. Para la presente reglamentación se entenderá por hogar objeto del Subsidio Familiar 100% de Vivienda en Especie a una o más personas que integren el mismo grupo familiar, unidas o no por vínculos de parentesco, incluidos los cónyuges y las uniones maritales de hecho, incluyendo las parejas del mismo sexo, que compartan un mismo espacio habita</w:t>
      </w:r>
      <w:r w:rsidRPr="009342F9">
        <w:rPr>
          <w:rFonts w:ascii="Arial" w:eastAsia="Times New Roman" w:hAnsi="Arial" w:cs="Arial"/>
          <w:color w:val="000000"/>
          <w:lang w:eastAsia="es-CO"/>
        </w:rPr>
        <w:softHyphen/>
        <w:t>cional.  </w:t>
      </w:r>
    </w:p>
    <w:p w14:paraId="2C4F7EFE"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72E8F9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21" w:name="ver_30176444"/>
      <w:bookmarkStart w:id="422" w:name="ver_30109440"/>
      <w:bookmarkStart w:id="423" w:name="ver_30109444"/>
      <w:bookmarkEnd w:id="420"/>
      <w:bookmarkEnd w:id="421"/>
      <w:r w:rsidRPr="009342F9">
        <w:rPr>
          <w:rFonts w:ascii="Arial" w:eastAsia="Times New Roman" w:hAnsi="Arial" w:cs="Arial"/>
          <w:color w:val="000000"/>
          <w:lang w:eastAsia="es-CO"/>
        </w:rPr>
        <w:t>Artículo 2.1.1.2.7.2.3. Condiciones para acceso. Podrá acceder al subsidio familiar de vivienda en especie para áreas urbanas el hogar que cumpla con las siguientes condi</w:t>
      </w:r>
      <w:r w:rsidRPr="009342F9">
        <w:rPr>
          <w:rFonts w:ascii="Arial" w:eastAsia="Times New Roman" w:hAnsi="Arial" w:cs="Arial"/>
          <w:color w:val="000000"/>
          <w:lang w:eastAsia="es-CO"/>
        </w:rPr>
        <w:softHyphen/>
        <w:t>ciones:  </w:t>
      </w:r>
    </w:p>
    <w:p w14:paraId="4E81F294"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2046FD01" w14:textId="6FB0037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Que tenga como miembro del hogar a un integrante de la Fuerza Pública, de que trata el artículo 2.1.1.2.7.2.1 del presente decreto.  </w:t>
      </w:r>
    </w:p>
    <w:p w14:paraId="60E29661"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5E64D9D7" w14:textId="51A924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Que su discapacidad se encuentre debidamente diagnosticada y certificada por una Junta Médica de las Fuerzas Militares o Policía Nacional.  </w:t>
      </w:r>
    </w:p>
    <w:p w14:paraId="49C6EDEE"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5E05FC13" w14:textId="6A43E5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No ser afiliado a la Caja Promotora de Vivienda Militar y de Policía para solu</w:t>
      </w:r>
      <w:r w:rsidRPr="009342F9">
        <w:rPr>
          <w:rFonts w:ascii="Arial" w:eastAsia="Times New Roman" w:hAnsi="Arial" w:cs="Arial"/>
          <w:color w:val="000000"/>
          <w:lang w:eastAsia="es-CO"/>
        </w:rPr>
        <w:softHyphen/>
        <w:t>ción de vivienda.  </w:t>
      </w:r>
    </w:p>
    <w:p w14:paraId="53A882EC"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26A43F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Ministerio de Defensa Nacional a través del </w:t>
      </w:r>
      <w:proofErr w:type="gramStart"/>
      <w:r w:rsidRPr="009342F9">
        <w:rPr>
          <w:rFonts w:ascii="Arial" w:eastAsia="Times New Roman" w:hAnsi="Arial" w:cs="Arial"/>
          <w:color w:val="000000"/>
          <w:lang w:eastAsia="es-CO"/>
        </w:rPr>
        <w:t>Viceministro</w:t>
      </w:r>
      <w:proofErr w:type="gramEnd"/>
      <w:r w:rsidRPr="009342F9">
        <w:rPr>
          <w:rFonts w:ascii="Arial" w:eastAsia="Times New Roman" w:hAnsi="Arial" w:cs="Arial"/>
          <w:color w:val="000000"/>
          <w:lang w:eastAsia="es-CO"/>
        </w:rPr>
        <w:t xml:space="preserve"> del Grupo Social Em</w:t>
      </w:r>
      <w:r w:rsidRPr="009342F9">
        <w:rPr>
          <w:rFonts w:ascii="Arial" w:eastAsia="Times New Roman" w:hAnsi="Arial" w:cs="Arial"/>
          <w:color w:val="000000"/>
          <w:lang w:eastAsia="es-CO"/>
        </w:rPr>
        <w:softHyphen/>
        <w:t>presarial del Sector Defensa “GSED” y Bienestar, deberá verificar el cumplimiento de las condiciones establecidas en el presente artículo, de manera previa a la remisión del listado de que trata el artículo 2.1.1.2.7.2.4 del presente decreto. </w:t>
      </w:r>
    </w:p>
    <w:p w14:paraId="590E787F" w14:textId="77777777" w:rsidR="005A1FCF" w:rsidRPr="009342F9" w:rsidRDefault="005A1FCF" w:rsidP="00FC79C1">
      <w:pPr>
        <w:spacing w:after="0" w:line="240" w:lineRule="auto"/>
        <w:jc w:val="both"/>
        <w:rPr>
          <w:rFonts w:ascii="Arial" w:eastAsia="Times New Roman" w:hAnsi="Arial" w:cs="Arial"/>
          <w:color w:val="000000"/>
          <w:lang w:eastAsia="es-CO"/>
        </w:rPr>
      </w:pPr>
      <w:bookmarkStart w:id="424" w:name="ver_30176445"/>
      <w:bookmarkStart w:id="425" w:name="ver_30109442"/>
      <w:bookmarkStart w:id="426" w:name="ver_30109447"/>
      <w:bookmarkEnd w:id="422"/>
      <w:bookmarkEnd w:id="423"/>
      <w:bookmarkEnd w:id="424"/>
    </w:p>
    <w:p w14:paraId="4CF54992" w14:textId="7A7606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2.1.1.2.7.2.4.</w:t>
      </w:r>
      <w:r w:rsidR="00D02DC1">
        <w:rPr>
          <w:rFonts w:ascii="Arial" w:eastAsia="Times New Roman" w:hAnsi="Arial" w:cs="Arial"/>
          <w:color w:val="000000"/>
          <w:lang w:eastAsia="es-CO"/>
        </w:rPr>
        <w:t xml:space="preserve"> </w:t>
      </w:r>
      <w:r w:rsidRPr="009342F9">
        <w:rPr>
          <w:rFonts w:ascii="Arial" w:eastAsia="Times New Roman" w:hAnsi="Arial" w:cs="Arial"/>
          <w:color w:val="000000"/>
          <w:lang w:eastAsia="es-CO"/>
        </w:rPr>
        <w:t>Selección de hogares. La relación de integrantes de la Fuerza Pública, activos o retirados, que hayan sido heridos en combate, o como consecuencia de la acción del enemigo, o en actos meritorios del servicio, y/o como consecuencia de actos del servicio o por causas inherentes al mismo, potenciales beneficiarios del subsidio familiar de vivienda en especie de que trata la presente subsección será remitida por el Ministerio de Defensa Nacional al Fondo Nacional de Vivienda (Fonvivienda).  </w:t>
      </w:r>
    </w:p>
    <w:p w14:paraId="2663F56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27" w:name="ver_30176446"/>
      <w:bookmarkStart w:id="428" w:name="ver_30070921"/>
      <w:bookmarkEnd w:id="425"/>
      <w:bookmarkEnd w:id="426"/>
      <w:bookmarkEnd w:id="427"/>
    </w:p>
    <w:p w14:paraId="63CA1F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2.1.1.2.7.2.5. Asignación y aplicación del subsidio familiar de vivienda en especie. Los demás requisitos de acceso y aplicación del subsidio familiar de vivienda para áreas urbanas de que trata la presente subsección se efectuarán en los términos y condicio</w:t>
      </w:r>
      <w:r w:rsidRPr="009342F9">
        <w:rPr>
          <w:rFonts w:ascii="Arial" w:eastAsia="Times New Roman" w:hAnsi="Arial" w:cs="Arial"/>
          <w:color w:val="000000"/>
          <w:lang w:eastAsia="es-CO"/>
        </w:rPr>
        <w:softHyphen/>
        <w:t>nes que defina el Fondo Nacional de Vivienda (Fonvivienda). </w:t>
      </w:r>
    </w:p>
    <w:p w14:paraId="5C1DA1E1"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3C2E78D"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429" w:name="ver_30110920"/>
      <w:bookmarkEnd w:id="428"/>
      <w:bookmarkEnd w:id="429"/>
      <w:r w:rsidRPr="009342F9">
        <w:rPr>
          <w:rFonts w:ascii="Arial" w:eastAsia="Times New Roman" w:hAnsi="Arial" w:cs="Arial"/>
          <w:b/>
          <w:bCs/>
          <w:color w:val="000000"/>
          <w:lang w:eastAsia="es-CO"/>
        </w:rPr>
        <w:t>SUBSECCIÓN 3</w:t>
      </w:r>
    </w:p>
    <w:p w14:paraId="5739E3D0"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CRITERIO DE FOCALIZACIÓN PARA EL ACCESO AL SUBSIDIO FAMILIAR DE VIVIENDA PARA ÁREAS URBANAS EN ESPECIE A LOS HOGARES QUE PERTENEZCAN A PUEBLOS Y COMUNIDADES INDÍGENAS EN ATENCIÓN A SU SITUACIÓN DE VULNERABILIDAD</w:t>
      </w:r>
    </w:p>
    <w:p w14:paraId="62E5895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0" w:name="ver_30110921"/>
      <w:bookmarkEnd w:id="430"/>
    </w:p>
    <w:p w14:paraId="1AD396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2.1.1.2.7.3.1. Criterio de focalización. Establézcase como criterio de focalización para el acceso al subsidio familiar de vivienda en especie para áreas urbanas de que trata la Ley 1537 de 2012, a los hogares que pertenezcan a pueblos y comunidades indígenas en atención a su situación de vulnerabilidad, con el fin de facilitar el acceso a una solución habitacional en condiciones dignas y adecuadas a su cultura, usos y costumbres. </w:t>
      </w:r>
    </w:p>
    <w:p w14:paraId="15CDDAA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1" w:name="ver_30210170"/>
      <w:bookmarkStart w:id="432" w:name="ver_30110922"/>
      <w:bookmarkEnd w:id="431"/>
    </w:p>
    <w:p w14:paraId="1548FB2D" w14:textId="6FA2AC4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2.1.1.2.7.3.2. Condiciones especiales de las viviendas. En el marco de la presente subsección podrán adelantarse convocatorias especiales encaminadas al desarrollo de proyectos que contemplen especificaciones técnicas para las viviendas en condiciones adecuadas a la cultura, usos y costumbres de los pueblos y comunidades indígenas. En todo caso, el valor de las viviendas no podrá exceder los noventa (90) salarios mínimos legales mensuales vigentes.  </w:t>
      </w:r>
    </w:p>
    <w:p w14:paraId="4EB84AC7"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2BD8B9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definirá las condiciones técnicas especiales de las viviendas y los mecanismos para adelantar estas convocatorias.  </w:t>
      </w:r>
    </w:p>
    <w:p w14:paraId="70EB3439" w14:textId="414363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E9FA1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3" w:name="ver_30110923"/>
      <w:bookmarkEnd w:id="432"/>
      <w:bookmarkEnd w:id="433"/>
      <w:r w:rsidRPr="009342F9">
        <w:rPr>
          <w:rFonts w:ascii="Arial" w:eastAsia="Times New Roman" w:hAnsi="Arial" w:cs="Arial"/>
          <w:color w:val="000000"/>
          <w:lang w:eastAsia="es-CO"/>
        </w:rPr>
        <w:t>Artículo 2.1.1.2.7.3.3. Condiciones para el acceso al subsidio familiar de vivienda. Podrá acceder al subsidio familiar de vivienda en especie para áreas urbanas de que trata la presente subsección, el hogar que cumpla con las siguientes condiciones:  </w:t>
      </w:r>
    </w:p>
    <w:p w14:paraId="032BB9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6C64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Que el hogar se encuentre incluido en los listados elaborados en Asamblea General por el Resguardo o la comunidad o parcialidad indígena definida en el artículo 2.14.7.1.2. del Decreto 1071 de 2015, Decreto Único Reglamentario del Sector Administrativo Agropecuario, Pesquero y de Desarrollo Rural,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usos y costumbres de los pueblos y comunidades indígenas, y posteriormente entregados al Ministerio del Interior por parte de la Autoridad Indígena respectiva;  </w:t>
      </w:r>
    </w:p>
    <w:p w14:paraId="3C4B97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00A8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el hogar se encuentre incluido dentro del censo del resguardo o la comunidad o parcialidad indígena definida en el artículo 2.14.7.1.2. del Decreto 1071 de 2015, Decreto Único Reglamentario del Sector Administrativo Agropecuario, Pesquero y de Desarrollo Rural;  </w:t>
      </w:r>
    </w:p>
    <w:p w14:paraId="23437E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554F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Que el pueblo y/o </w:t>
      </w:r>
      <w:proofErr w:type="gramStart"/>
      <w:r w:rsidRPr="009342F9">
        <w:rPr>
          <w:rFonts w:ascii="Arial" w:eastAsia="Times New Roman" w:hAnsi="Arial" w:cs="Arial"/>
          <w:color w:val="000000"/>
          <w:lang w:eastAsia="es-CO"/>
        </w:rPr>
        <w:t>comunidad indígena o parcialidad indígena</w:t>
      </w:r>
      <w:proofErr w:type="gramEnd"/>
      <w:r w:rsidRPr="009342F9">
        <w:rPr>
          <w:rFonts w:ascii="Arial" w:eastAsia="Times New Roman" w:hAnsi="Arial" w:cs="Arial"/>
          <w:color w:val="000000"/>
          <w:lang w:eastAsia="es-CO"/>
        </w:rPr>
        <w:t xml:space="preserve"> definida en el artículo 2.14.7.1.2. del Decreto 1071 de 2015, Decreto Único Reglamentario del Sector Administrativo Agropecuario, Pesquero y de Desarrollo Rural, esté debidamente reconocido por el Ministerio del Interior, a través de su Dirección General de Asuntos Indígenas </w:t>
      </w:r>
      <w:proofErr w:type="spellStart"/>
      <w:r w:rsidRPr="009342F9">
        <w:rPr>
          <w:rFonts w:ascii="Arial" w:eastAsia="Times New Roman" w:hAnsi="Arial" w:cs="Arial"/>
          <w:color w:val="000000"/>
          <w:lang w:eastAsia="es-CO"/>
        </w:rPr>
        <w:t>rom</w:t>
      </w:r>
      <w:proofErr w:type="spellEnd"/>
      <w:r w:rsidRPr="009342F9">
        <w:rPr>
          <w:rFonts w:ascii="Arial" w:eastAsia="Times New Roman" w:hAnsi="Arial" w:cs="Arial"/>
          <w:color w:val="000000"/>
          <w:lang w:eastAsia="es-CO"/>
        </w:rPr>
        <w:t xml:space="preserve"> y Minorías o la que haga sus veces.  </w:t>
      </w:r>
    </w:p>
    <w:p w14:paraId="36E4F9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37CF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Será responsabilidad del Ministerio del Interior, a través de su Dirección de Asuntos Indígenas </w:t>
      </w:r>
      <w:proofErr w:type="spellStart"/>
      <w:r w:rsidRPr="009342F9">
        <w:rPr>
          <w:rFonts w:ascii="Arial" w:eastAsia="Times New Roman" w:hAnsi="Arial" w:cs="Arial"/>
          <w:color w:val="000000"/>
          <w:lang w:eastAsia="es-CO"/>
        </w:rPr>
        <w:t>rom</w:t>
      </w:r>
      <w:proofErr w:type="spellEnd"/>
      <w:r w:rsidRPr="009342F9">
        <w:rPr>
          <w:rFonts w:ascii="Arial" w:eastAsia="Times New Roman" w:hAnsi="Arial" w:cs="Arial"/>
          <w:color w:val="000000"/>
          <w:lang w:eastAsia="es-CO"/>
        </w:rPr>
        <w:t xml:space="preserve"> y minorías, realizar los cruces de información para garantizar que los hogares o familias incluidos en Asamblea General por el Resguardo o la comunidad o parcialidad indígena definida en el artículo 2.14.7.1.2 del Decreto 1071 de 2015, Decreto Único Reglamentario del Sector Administrativo Agropecuario, Pesquero y de Desarrollo Rural, cumplan además con el requisito de estar incluidos dentro del censo al que hace referencia el literal b) de este artículo, y posteriormente entregarlos al Departamento Administrativo para la Prosperidad Social.  </w:t>
      </w:r>
    </w:p>
    <w:p w14:paraId="3D1E26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680F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2.1.1.2.7.3.4. Información sobre los proyectos en que se desarrollarán las viviendas a ser asignadas como subsidio familiar de vivienda en especie. El Fondo Nacional de Vivienda informará al Departamento Administrativo para la Prosperidad Social de los proyectos en que se desarrollarán viviendas a ser asignadas como subsidio familiar de vivienda en especie para los hogares que pertenezcan a pueblos y comunidades </w:t>
      </w:r>
      <w:proofErr w:type="spellStart"/>
      <w:r w:rsidRPr="009342F9">
        <w:rPr>
          <w:rFonts w:ascii="Arial" w:eastAsia="Times New Roman" w:hAnsi="Arial" w:cs="Arial"/>
          <w:color w:val="000000"/>
          <w:lang w:eastAsia="es-CO"/>
        </w:rPr>
        <w:t>indí</w:t>
      </w:r>
      <w:proofErr w:type="spellEnd"/>
      <w:r w:rsidRPr="009342F9">
        <w:rPr>
          <w:rFonts w:ascii="Arial" w:eastAsia="Times New Roman" w:hAnsi="Arial" w:cs="Arial"/>
          <w:color w:val="000000"/>
          <w:lang w:eastAsia="es-CO"/>
        </w:rPr>
        <w:t>- genas, indicando el lugar donde se ejecutarán los proyectos, el número de viviendas a ser transferidas y el Resguardo o la comunidad o parcialidad indígena definida en el artículo 2.14.7.1.2. del Decreto 1071 de 2015, al cual será dirigido. Lo anterior, a fin de que el Departamento Administrativo para la Prosperidad Social, realice la identificación de los hogares potencialmente beneficiarios del subsidio familiar de vivienda en especie de que trata la presente subsección. </w:t>
      </w:r>
    </w:p>
    <w:p w14:paraId="0017E63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4" w:name="ver_30110925"/>
      <w:bookmarkEnd w:id="434"/>
    </w:p>
    <w:p w14:paraId="2FE71D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2.1.1.2.7.3.5. Listado de hogares potenciales beneficiarios. El Departamento Administrativo para la Prosperidad Social remitirá al Fondo Nacional de Vivienda la relación de hogares que cumplan con las condiciones establecidas en el artículo 2.1.1.2.7.3.3. del presente decreto. Fonvivienda, de considerarlo necesario, podrá requerir al Departamento Administrativo para la Prosperidad Social, la actualización de dichos listados. </w:t>
      </w:r>
    </w:p>
    <w:p w14:paraId="505EC67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35D7A4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5" w:name="ver_30110926"/>
      <w:bookmarkEnd w:id="435"/>
      <w:r w:rsidRPr="009342F9">
        <w:rPr>
          <w:rFonts w:ascii="Arial" w:eastAsia="Times New Roman" w:hAnsi="Arial" w:cs="Arial"/>
          <w:color w:val="000000"/>
          <w:lang w:eastAsia="es-CO"/>
        </w:rPr>
        <w:t>Artículo 2.1.1.2.7.3.6. Convocatoria. Fonvivienda, mediante acto administrativo, dará apertura a la convocatoria a los hogares potencialmente beneficiarios, de acuerdo con los listados remitidos por el Departamento Administrativo para la Prosperidad Social, a fin de que estos se postulen ante Fonvivienda o el operador que este designe. El término de duración de la convocatoria será establecido por Fonvivienda en el mismo acto administrativo. </w:t>
      </w:r>
    </w:p>
    <w:p w14:paraId="594F19A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6" w:name="ver_30110927"/>
      <w:bookmarkEnd w:id="436"/>
    </w:p>
    <w:p w14:paraId="4A973B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2.1.1.2.7.3.7. Postulación. Los hogares potencialmente beneficiarios, identificados por el Departamento Administrativo para la Prosperidad Social, deberán suministrar la información de postulación a Fonvivienda o el operador designado por este.  </w:t>
      </w:r>
    </w:p>
    <w:p w14:paraId="26DC6E80"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La documentación a entregar</w:t>
      </w:r>
      <w:proofErr w:type="gramEnd"/>
      <w:r w:rsidRPr="009342F9">
        <w:rPr>
          <w:rFonts w:ascii="Arial" w:eastAsia="Times New Roman" w:hAnsi="Arial" w:cs="Arial"/>
          <w:color w:val="000000"/>
          <w:lang w:eastAsia="es-CO"/>
        </w:rPr>
        <w:t xml:space="preserve"> y las condiciones para la postulación serán definidas por Fonvivienda </w:t>
      </w:r>
    </w:p>
    <w:p w14:paraId="303F06FC"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4E72B129" w14:textId="43B5CB2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2.1.1.2.7.3.8. Verificación de la información. Efectuada la correspondiente postulación por parte de los hogares identificados como potencialmente beneficiarios, Fonvivienda procederá a verificar que los mismos cumplan con las condiciones para acceder al subsidio familiar de vivienda en especie para áreas urbanas de que trata la presente subsección y no estén incursos en las causales de rechazo de postulación establecidas en el artículo 2.1.1.2.1.2.9 del Decreto 1077 de 2015. </w:t>
      </w:r>
    </w:p>
    <w:p w14:paraId="41FF6DB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7" w:name="ver_30110930"/>
      <w:bookmarkEnd w:id="437"/>
    </w:p>
    <w:p w14:paraId="7F2199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2.1.1.2.7.3.9. Proceso de selección y asignación de hogares beneficiarios. Una vez surtido el proceso de verificación de información establecido en la presente subsección, Fonvivienda seleccionará y asignará mediante acto administrativo a los hogares beneficiarios, teniendo en cuenta los siguientes criterios:  </w:t>
      </w:r>
    </w:p>
    <w:p w14:paraId="470B3D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3350A2" w14:textId="615D76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De manera directa cuando el número de hogares postulados que cumplan con los requisitos para ser beneficiarios del subsidio sea inferior o igual al número de viviendas del proyecto.  </w:t>
      </w:r>
    </w:p>
    <w:p w14:paraId="598AB1E0"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6CA90F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Mediante sorteo cuando el número de hogares postulados que cumplan con los requisitos para ser beneficiarios del subsidio excedan el número de viviendas a transferir  </w:t>
      </w:r>
    </w:p>
    <w:p w14:paraId="0D630BD8" w14:textId="7CFBC26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38" w:name="ver_30110931"/>
      <w:bookmarkEnd w:id="438"/>
    </w:p>
    <w:p w14:paraId="2BCA1F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2.1.1.2.7.3.10. Selección por sorteo. En los casos en los que deba realizarse el sorteo, Fonvivienda establecerá los mecanismos para surtir dicho procedimiento, el cual deberá llevarse a cabo con la presencia de por lo menos tres (3) de los siguientes testigos:  </w:t>
      </w:r>
    </w:p>
    <w:p w14:paraId="04154D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4248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Máxima autoridad tradicional del resguardo o la comunidad o parcialidad indígena definida en el artículo 2.14.7.1.2. Del Decreto 1071 de 2015, o a quien este delegue.  </w:t>
      </w:r>
    </w:p>
    <w:p w14:paraId="1FC20F07"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49DD8672" w14:textId="38D6B3F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Director Ejecutivo del Fondo Nacional de Vivienda o quien este delegue.  </w:t>
      </w:r>
    </w:p>
    <w:p w14:paraId="390CDE20"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527BABA3" w14:textId="3C4EE0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El Director de Asuntos Indígenas </w:t>
      </w:r>
      <w:proofErr w:type="spellStart"/>
      <w:r w:rsidRPr="009342F9">
        <w:rPr>
          <w:rFonts w:ascii="Arial" w:eastAsia="Times New Roman" w:hAnsi="Arial" w:cs="Arial"/>
          <w:color w:val="000000"/>
          <w:lang w:eastAsia="es-CO"/>
        </w:rPr>
        <w:t>Rom</w:t>
      </w:r>
      <w:proofErr w:type="spellEnd"/>
      <w:r w:rsidRPr="009342F9">
        <w:rPr>
          <w:rFonts w:ascii="Arial" w:eastAsia="Times New Roman" w:hAnsi="Arial" w:cs="Arial"/>
          <w:color w:val="000000"/>
          <w:lang w:eastAsia="es-CO"/>
        </w:rPr>
        <w:t xml:space="preserve"> y Minorías del Ministerio del Interior o quien este delegue  </w:t>
      </w:r>
    </w:p>
    <w:p w14:paraId="7DB51280"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6D747F74" w14:textId="3DB256B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personero municipal o quien este delegue  </w:t>
      </w:r>
    </w:p>
    <w:p w14:paraId="294A6C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413C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En el evento en que se convoque la diligencia de sorteo dos (2) veces y no sea posible realizarla por falta de quórum, la tercera podrá realizarse solamente con la presencia del Director Ejecutivo del Fondo Nacional de Vivienda o quien este delegue y el Director de Asuntos Indígenas </w:t>
      </w:r>
      <w:proofErr w:type="spellStart"/>
      <w:r w:rsidRPr="009342F9">
        <w:rPr>
          <w:rFonts w:ascii="Arial" w:eastAsia="Times New Roman" w:hAnsi="Arial" w:cs="Arial"/>
          <w:color w:val="000000"/>
          <w:lang w:eastAsia="es-CO"/>
        </w:rPr>
        <w:t>Rom</w:t>
      </w:r>
      <w:proofErr w:type="spellEnd"/>
      <w:r w:rsidRPr="009342F9">
        <w:rPr>
          <w:rFonts w:ascii="Arial" w:eastAsia="Times New Roman" w:hAnsi="Arial" w:cs="Arial"/>
          <w:color w:val="000000"/>
          <w:lang w:eastAsia="es-CO"/>
        </w:rPr>
        <w:t xml:space="preserve"> y Minorías del Ministerio del Interior o quien este delegue. En este caso, se invitará un delegado de la Procuraduría General de la Nación, para que acompañe el sorteo.  </w:t>
      </w:r>
    </w:p>
    <w:p w14:paraId="0CC93E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6EDE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Fonvivienda levantará un acta del resultado del sorteo, la cual será firmada por los testigos e invitados presentes. </w:t>
      </w:r>
    </w:p>
    <w:p w14:paraId="33231E7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39" w:name="ver_30110932"/>
      <w:bookmarkEnd w:id="439"/>
    </w:p>
    <w:p w14:paraId="6554B0B7" w14:textId="4E66702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2.1.1.2.7.3.11.</w:t>
      </w:r>
      <w:r w:rsidR="006C03C2">
        <w:rPr>
          <w:rFonts w:ascii="Arial" w:eastAsia="Times New Roman" w:hAnsi="Arial" w:cs="Arial"/>
          <w:color w:val="000000"/>
          <w:lang w:eastAsia="es-CO"/>
        </w:rPr>
        <w:t xml:space="preserve"> </w:t>
      </w:r>
      <w:r w:rsidRPr="009342F9">
        <w:rPr>
          <w:rFonts w:ascii="Arial" w:eastAsia="Times New Roman" w:hAnsi="Arial" w:cs="Arial"/>
          <w:color w:val="000000"/>
          <w:lang w:eastAsia="es-CO"/>
        </w:rPr>
        <w:t>Acceso y aplicación del subsidio familiar de vivienda en especie. Los demás requisitos de acceso y aplicación del subsidio familiar de vivienda para áreas urbanas de que trata la presente subsección se efectuarán en los términos y condiciones que defina el Fondo Nacional de Vivienda”. </w:t>
      </w:r>
    </w:p>
    <w:p w14:paraId="7D0C557C"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C1FCFEC" w14:textId="598690E7" w:rsidR="00FC79C1" w:rsidRPr="002B70CD" w:rsidRDefault="00FC79C1" w:rsidP="005A1FCF">
      <w:pPr>
        <w:spacing w:after="0" w:line="240" w:lineRule="auto"/>
        <w:jc w:val="center"/>
        <w:rPr>
          <w:rFonts w:ascii="Arial" w:eastAsia="Times New Roman" w:hAnsi="Arial" w:cs="Arial"/>
          <w:b/>
          <w:bCs/>
          <w:color w:val="000000"/>
          <w:lang w:eastAsia="es-CO"/>
        </w:rPr>
      </w:pPr>
      <w:bookmarkStart w:id="440" w:name="ver_30210149"/>
      <w:bookmarkEnd w:id="440"/>
      <w:r w:rsidRPr="002B70CD">
        <w:rPr>
          <w:rFonts w:ascii="Arial" w:eastAsia="Times New Roman" w:hAnsi="Arial" w:cs="Arial"/>
          <w:b/>
          <w:bCs/>
          <w:color w:val="000000"/>
          <w:lang w:eastAsia="es-CO"/>
        </w:rPr>
        <w:t>SUBSECCIÓN 4</w:t>
      </w:r>
    </w:p>
    <w:p w14:paraId="4B786F4B" w14:textId="77777777" w:rsidR="00FC79C1" w:rsidRPr="002B70CD" w:rsidRDefault="00FC79C1" w:rsidP="005A1FCF">
      <w:pPr>
        <w:spacing w:after="0" w:line="240" w:lineRule="auto"/>
        <w:jc w:val="center"/>
        <w:rPr>
          <w:rFonts w:ascii="Arial" w:eastAsia="Times New Roman" w:hAnsi="Arial" w:cs="Arial"/>
          <w:b/>
          <w:bCs/>
          <w:color w:val="000000"/>
          <w:lang w:eastAsia="es-CO"/>
        </w:rPr>
      </w:pPr>
      <w:r w:rsidRPr="002B70CD">
        <w:rPr>
          <w:rFonts w:ascii="Arial" w:eastAsia="Times New Roman" w:hAnsi="Arial" w:cs="Arial"/>
          <w:b/>
          <w:bCs/>
          <w:color w:val="000000"/>
          <w:lang w:eastAsia="es-CO"/>
        </w:rPr>
        <w:t>CRITERIO DE FOCALIZACIÓN PARA EL ACCESO AL SUBSIDIO FAMILIAR DE VIVIENDA PARA ÁREAS URBANAS EN ESPECIE A LOS HOGARES QUE PERTENEZCAN AL PUEBLO RROM O GITANO EN ATENCIÓN A SU SITUACIÓN DE VULNERABILIDAD</w:t>
      </w:r>
    </w:p>
    <w:p w14:paraId="040FD06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41" w:name="ver_30210150"/>
      <w:bookmarkEnd w:id="441"/>
    </w:p>
    <w:p w14:paraId="6DBAE53E" w14:textId="0B69AB6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2.1.1.2.7.4.1. Criterio de focalización. Establézcase como criterio de focalización para el acceso al subsidio familiar de vivienda en especie para áreas urbanas de que trata la Ley 1537 de 2012, a las familias que pertenezcan al pueblo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Gitano en atención a su situación de vulnerabilidad, con el fin de facilitar el acceso a una solución habitacional en condiciones dignas y adecuadas a sus usos y costumbres.  </w:t>
      </w:r>
    </w:p>
    <w:p w14:paraId="6FE1DD11"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35F975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asignación del subsidio familiar de vivienda en especie para áreas urbanas de que trata la presente </w:t>
      </w:r>
      <w:proofErr w:type="gramStart"/>
      <w:r w:rsidRPr="009342F9">
        <w:rPr>
          <w:rFonts w:ascii="Arial" w:eastAsia="Times New Roman" w:hAnsi="Arial" w:cs="Arial"/>
          <w:color w:val="000000"/>
          <w:lang w:eastAsia="es-CO"/>
        </w:rPr>
        <w:t>Subsección,</w:t>
      </w:r>
      <w:proofErr w:type="gramEnd"/>
      <w:r w:rsidRPr="009342F9">
        <w:rPr>
          <w:rFonts w:ascii="Arial" w:eastAsia="Times New Roman" w:hAnsi="Arial" w:cs="Arial"/>
          <w:color w:val="000000"/>
          <w:lang w:eastAsia="es-CO"/>
        </w:rPr>
        <w:t xml:space="preserve"> se sujetará a la disponibilidad de recursos con que cuente el Fondo Nacional de Vivienda en su calidad de otorgante del subsidio.  </w:t>
      </w:r>
    </w:p>
    <w:p w14:paraId="5E42008A" w14:textId="2693B3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42" w:name="ver_30210151"/>
      <w:bookmarkEnd w:id="442"/>
    </w:p>
    <w:p w14:paraId="251BA725" w14:textId="46EAD40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2.1.1.2.7.4.2. Condiciones especiales de las viviendas. En el marco de la presente Subsección, podrán adelantarse convocatorias especiales encaminadas al desarrollo de proyectos que contemplen especificaciones técnicas para las viviendas en condiciones adecuadas a los usos y costumbres del pueblo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Gitano. En todo caso, el valor de las viviendas no podrá exceder el valor tope para la vivienda de interés social prioritario.  </w:t>
      </w:r>
    </w:p>
    <w:p w14:paraId="39D4FE50"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30E7F7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Ministerio de Vivienda, Ciudad y Territorio, en el marco de la Comisión Nacional de Diálogo con el Pueblo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Gitano, definirá las condiciones técnicas de las viviendas, en concordancia con los usos y costumbres del pueblo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Gitano, y los mecanismos para adelantar estas convocatorias.  </w:t>
      </w:r>
    </w:p>
    <w:p w14:paraId="3A1E6B9B" w14:textId="3B2D20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43" w:name="ver_30210152"/>
      <w:bookmarkEnd w:id="443"/>
    </w:p>
    <w:p w14:paraId="3C12DFD1" w14:textId="4D52F4B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2.1.1.2.7.4.3. Familias potencialmente beneficiarias del subsidio familiar de vivienda en especie. Para efectos de lo establecido en la presente Subsección, entiéndase por familia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el vínculo conformado por los cónyuges o uniones maritales de hecho, las familias unipersonales y/o el grupo de personas unidas por vínculos de parentesco hasta tercer grado de consanguinidad, segundo de afinidad y primero civil, que compartan un mismo espacio habitacional y se encuentren asentadas en </w:t>
      </w:r>
      <w:proofErr w:type="spellStart"/>
      <w:r w:rsidRPr="009342F9">
        <w:rPr>
          <w:rFonts w:ascii="Arial" w:eastAsia="Times New Roman" w:hAnsi="Arial" w:cs="Arial"/>
          <w:color w:val="000000"/>
          <w:lang w:eastAsia="es-CO"/>
        </w:rPr>
        <w:t>Kumpania</w:t>
      </w:r>
      <w:proofErr w:type="spellEnd"/>
      <w:r w:rsidRPr="009342F9">
        <w:rPr>
          <w:rFonts w:ascii="Arial" w:eastAsia="Times New Roman" w:hAnsi="Arial" w:cs="Arial"/>
          <w:color w:val="000000"/>
          <w:lang w:eastAsia="es-CO"/>
        </w:rPr>
        <w:t>, con el objeto de vivir cerca para conservar su cultura o para itinerar de manera conjunta.  </w:t>
      </w:r>
    </w:p>
    <w:p w14:paraId="0283B574"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3B212B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Para efectos de lo establecido en la presente Subsección, entiéndase por </w:t>
      </w:r>
      <w:proofErr w:type="spellStart"/>
      <w:r w:rsidRPr="009342F9">
        <w:rPr>
          <w:rFonts w:ascii="Arial" w:eastAsia="Times New Roman" w:hAnsi="Arial" w:cs="Arial"/>
          <w:color w:val="000000"/>
          <w:lang w:eastAsia="es-CO"/>
        </w:rPr>
        <w:t>Kumpania</w:t>
      </w:r>
      <w:proofErr w:type="spellEnd"/>
      <w:r w:rsidRPr="009342F9">
        <w:rPr>
          <w:rFonts w:ascii="Arial" w:eastAsia="Times New Roman" w:hAnsi="Arial" w:cs="Arial"/>
          <w:color w:val="000000"/>
          <w:lang w:eastAsia="es-CO"/>
        </w:rPr>
        <w:t xml:space="preserve"> la definición consagrada en el numeral 2.1 del artículo 2.5.2.1.4 del Decreto 1066 de 2015. </w:t>
      </w:r>
    </w:p>
    <w:p w14:paraId="029BCBEC"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83BA05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44" w:name="ver_30210153"/>
      <w:bookmarkEnd w:id="444"/>
      <w:r w:rsidRPr="009342F9">
        <w:rPr>
          <w:rFonts w:ascii="Arial" w:eastAsia="Times New Roman" w:hAnsi="Arial" w:cs="Arial"/>
          <w:color w:val="000000"/>
          <w:lang w:eastAsia="es-CO"/>
        </w:rPr>
        <w:t>Artículo 2.1.1.2.7.4.4. Condiciones para el acceso al subsidio familiar de vivienda. Podrá acceder al subsidio familiar de vivienda en especie para áreas urbanas de que trata la presente Subsección, la familia que cumpla con las siguientes condiciones:  </w:t>
      </w:r>
    </w:p>
    <w:p w14:paraId="2E766ED9"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02827768" w14:textId="11D4DED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Que la </w:t>
      </w:r>
      <w:proofErr w:type="spellStart"/>
      <w:r w:rsidRPr="009342F9">
        <w:rPr>
          <w:rFonts w:ascii="Arial" w:eastAsia="Times New Roman" w:hAnsi="Arial" w:cs="Arial"/>
          <w:color w:val="000000"/>
          <w:lang w:eastAsia="es-CO"/>
        </w:rPr>
        <w:t>Kumpania</w:t>
      </w:r>
      <w:proofErr w:type="spellEnd"/>
      <w:r w:rsidRPr="009342F9">
        <w:rPr>
          <w:rFonts w:ascii="Arial" w:eastAsia="Times New Roman" w:hAnsi="Arial" w:cs="Arial"/>
          <w:color w:val="000000"/>
          <w:lang w:eastAsia="es-CO"/>
        </w:rPr>
        <w:t xml:space="preserve"> u organización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a la que pertenece la familia esté debidamente registrada en la Dirección de Asuntos Indígenas,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y Minorías del Ministerio del Interior o la que haga sus veces;  </w:t>
      </w:r>
    </w:p>
    <w:p w14:paraId="3177CB4A"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622B8FCB" w14:textId="10874B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Que la familia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esté incluida en el censo del pueblo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Gitano que administra el Ministerio del Interior;  </w:t>
      </w:r>
    </w:p>
    <w:p w14:paraId="23EF1E41"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3C3855BC" w14:textId="0C012B8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Que la familia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esté incluida en el listado de familias potencial</w:t>
      </w:r>
      <w:r w:rsidRPr="009342F9">
        <w:rPr>
          <w:rFonts w:ascii="Arial" w:eastAsia="Times New Roman" w:hAnsi="Arial" w:cs="Arial"/>
          <w:color w:val="000000"/>
          <w:lang w:eastAsia="es-CO"/>
        </w:rPr>
        <w:softHyphen/>
        <w:t xml:space="preserve">mente beneficiarias del subsidio familiar de vivienda elaborado y aprobado en Asamblea General de cada </w:t>
      </w:r>
      <w:proofErr w:type="spellStart"/>
      <w:r w:rsidRPr="009342F9">
        <w:rPr>
          <w:rFonts w:ascii="Arial" w:eastAsia="Times New Roman" w:hAnsi="Arial" w:cs="Arial"/>
          <w:color w:val="000000"/>
          <w:lang w:eastAsia="es-CO"/>
        </w:rPr>
        <w:t>Kumpania</w:t>
      </w:r>
      <w:proofErr w:type="spellEnd"/>
      <w:r w:rsidRPr="009342F9">
        <w:rPr>
          <w:rFonts w:ascii="Arial" w:eastAsia="Times New Roman" w:hAnsi="Arial" w:cs="Arial"/>
          <w:color w:val="000000"/>
          <w:lang w:eastAsia="es-CO"/>
        </w:rPr>
        <w:t xml:space="preserve"> u organización.  </w:t>
      </w:r>
    </w:p>
    <w:p w14:paraId="692C9BAA"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583DE8DC" w14:textId="276859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La Dirección de Asuntos Indígenas,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y Minorías del Ministerio del Interior, o la que haga sus veces, deberá realizar los cruces de información necesarios para garantizar y certificar los requisitos previstos en el presente artículo.  </w:t>
      </w:r>
    </w:p>
    <w:p w14:paraId="50F60C52"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5A1B1869" w14:textId="6F5CAA1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La Asamblea General de que trata el literal c) del presente artículo será convocada por el representante legal de cada </w:t>
      </w:r>
      <w:proofErr w:type="spellStart"/>
      <w:r w:rsidRPr="009342F9">
        <w:rPr>
          <w:rFonts w:ascii="Arial" w:eastAsia="Times New Roman" w:hAnsi="Arial" w:cs="Arial"/>
          <w:color w:val="000000"/>
          <w:lang w:eastAsia="es-CO"/>
        </w:rPr>
        <w:t>Kumpania</w:t>
      </w:r>
      <w:proofErr w:type="spellEnd"/>
      <w:r w:rsidRPr="009342F9">
        <w:rPr>
          <w:rFonts w:ascii="Arial" w:eastAsia="Times New Roman" w:hAnsi="Arial" w:cs="Arial"/>
          <w:color w:val="000000"/>
          <w:lang w:eastAsia="es-CO"/>
        </w:rPr>
        <w:t xml:space="preserve"> u organización. En el marco de esta reunión, se elaborará y aprobará el listado de familias potenciales beneficiarias del subsidio familiar de vivienda, del cual se dejará constancia en acta suscrita por los asistentes y avalada por el representante legal de la </w:t>
      </w:r>
      <w:proofErr w:type="spellStart"/>
      <w:r w:rsidRPr="009342F9">
        <w:rPr>
          <w:rFonts w:ascii="Arial" w:eastAsia="Times New Roman" w:hAnsi="Arial" w:cs="Arial"/>
          <w:color w:val="000000"/>
          <w:lang w:eastAsia="es-CO"/>
        </w:rPr>
        <w:t>Kumpania</w:t>
      </w:r>
      <w:proofErr w:type="spellEnd"/>
      <w:r w:rsidRPr="009342F9">
        <w:rPr>
          <w:rFonts w:ascii="Arial" w:eastAsia="Times New Roman" w:hAnsi="Arial" w:cs="Arial"/>
          <w:color w:val="000000"/>
          <w:lang w:eastAsia="es-CO"/>
        </w:rPr>
        <w:t xml:space="preserve"> u organización, quien la remitirá a la Dirección de Asuntos Indígenas,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y Minorías del Ministerio del Interior, o la que haga sus veces. </w:t>
      </w:r>
    </w:p>
    <w:p w14:paraId="693070C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45" w:name="ver_30210154"/>
      <w:bookmarkEnd w:id="445"/>
    </w:p>
    <w:p w14:paraId="0262A7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2.1.1.2.7.4.5. Información de subsidios familiares de vivienda en especie a asignar. El Fondo Nacional de Vivienda informará a la Dirección de Asuntos Indígenas,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y Minorías del Ministerio del Interior, o la que haga sus veces, el número de subsidios familiares de vivienda en especie que asignará en el marco de la presente Subsección, de acuerdo con la disponibilidad de recursos con que cuente para cada vigencia fiscal, para efectos de adelantar el proceso de selección de las familias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Gitanas beneficiarias del subsidio familiar de vivienda en especie. </w:t>
      </w:r>
    </w:p>
    <w:p w14:paraId="708265C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46" w:name="ver_30210155"/>
      <w:bookmarkEnd w:id="446"/>
    </w:p>
    <w:p w14:paraId="5587CF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2.1.1.2.7.4.6. Selección de familias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Gitanas beneficiarias del subsidio familiar de vivienda en especie. La Comisión Nacional de Diálogo con el Pueblo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elaborará un listado con las familias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Gitanas seleccionadas para ser beneficiarias del subsidio familiar de vivienda en especie de que trata la presente Subsección. Este listado deberá ser equivalente al ciento cincuenta por ciento (150%) del total de subsidios familiares de vivienda en especie a asignar, conforme a la información reportada por el Fondo Nacional de Vivienda en cumplimiento del artículo 2.1.1.2.7.4.5 del presente decreto.  </w:t>
      </w:r>
    </w:p>
    <w:p w14:paraId="5BF4049B"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56434CC4" w14:textId="0A43893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selección de las familias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Gitanas deberá efectuarse teniendo en cuenta los siguientes criterios de priorización:  </w:t>
      </w:r>
    </w:p>
    <w:p w14:paraId="290F9BB3"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6EE4E0F4" w14:textId="3B61914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La situación de pobreza extrema de la familia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w:t>
      </w:r>
    </w:p>
    <w:p w14:paraId="4322CD14"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5D96E41B" w14:textId="56D4F75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La ubicación de las familias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Gitanas en zonas de alto riesgo no mitigable;  </w:t>
      </w:r>
    </w:p>
    <w:p w14:paraId="2732CAC6"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00B9B635" w14:textId="292262B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El número de integrantes de la familia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w:t>
      </w:r>
    </w:p>
    <w:p w14:paraId="406C7B24"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6F8FACEC" w14:textId="6299C6C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 El estado de salud o condición de discapacidad física o mental de los integrantes de la familia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w:t>
      </w:r>
    </w:p>
    <w:p w14:paraId="1875D13C"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75E9D73D" w14:textId="1CBCF7A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 La pertenencia de integrantes adultos mayores o madres cabeza de familia de la familia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  </w:t>
      </w:r>
    </w:p>
    <w:p w14:paraId="492F338D"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26F32E21" w14:textId="7AE89F2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f) El número de familias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o Gitanas que integran la </w:t>
      </w:r>
      <w:proofErr w:type="spellStart"/>
      <w:r w:rsidRPr="009342F9">
        <w:rPr>
          <w:rFonts w:ascii="Arial" w:eastAsia="Times New Roman" w:hAnsi="Arial" w:cs="Arial"/>
          <w:color w:val="000000"/>
          <w:lang w:eastAsia="es-CO"/>
        </w:rPr>
        <w:t>Kumpania</w:t>
      </w:r>
      <w:proofErr w:type="spellEnd"/>
      <w:r w:rsidRPr="009342F9">
        <w:rPr>
          <w:rFonts w:ascii="Arial" w:eastAsia="Times New Roman" w:hAnsi="Arial" w:cs="Arial"/>
          <w:color w:val="000000"/>
          <w:lang w:eastAsia="es-CO"/>
        </w:rPr>
        <w:t>.  </w:t>
      </w:r>
    </w:p>
    <w:p w14:paraId="2C5445F5" w14:textId="32D976A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47" w:name="ver_30210156"/>
      <w:bookmarkEnd w:id="447"/>
    </w:p>
    <w:p w14:paraId="380CA4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2.1.1.2.7.4.7. Remisión de Listado de hogares seleccionados. La Dirección de Asuntos Indígenas, </w:t>
      </w:r>
      <w:proofErr w:type="spellStart"/>
      <w:r w:rsidRPr="009342F9">
        <w:rPr>
          <w:rFonts w:ascii="Arial" w:eastAsia="Times New Roman" w:hAnsi="Arial" w:cs="Arial"/>
          <w:color w:val="000000"/>
          <w:lang w:eastAsia="es-CO"/>
        </w:rPr>
        <w:t>Rrom</w:t>
      </w:r>
      <w:proofErr w:type="spellEnd"/>
      <w:r w:rsidRPr="009342F9">
        <w:rPr>
          <w:rFonts w:ascii="Arial" w:eastAsia="Times New Roman" w:hAnsi="Arial" w:cs="Arial"/>
          <w:color w:val="000000"/>
          <w:lang w:eastAsia="es-CO"/>
        </w:rPr>
        <w:t xml:space="preserve"> y Minorías del Ministerio del Interior, remitirá al Fondo Nacional de Vivienda el listado de hogares seleccionados que cumplan con las condiciones y criterios establecidos en los artículos 2.1.1.2.7.4.4 y 2.1.1.2.7.4.6. del presente decreto. </w:t>
      </w:r>
    </w:p>
    <w:p w14:paraId="5C6A4D5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48" w:name="ver_30210157"/>
      <w:bookmarkEnd w:id="448"/>
    </w:p>
    <w:p w14:paraId="7525AD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2.1.1.2.7.4.8. Acceso y aplicación del subsidio familiar de vivienda en especie. Los demás requisitos de acceso y aplicación del subsidio familiar de vivienda para áreas urbanas de que trata la presente </w:t>
      </w:r>
      <w:proofErr w:type="gramStart"/>
      <w:r w:rsidRPr="009342F9">
        <w:rPr>
          <w:rFonts w:ascii="Arial" w:eastAsia="Times New Roman" w:hAnsi="Arial" w:cs="Arial"/>
          <w:color w:val="000000"/>
          <w:lang w:eastAsia="es-CO"/>
        </w:rPr>
        <w:t>subsección,</w:t>
      </w:r>
      <w:proofErr w:type="gramEnd"/>
      <w:r w:rsidRPr="009342F9">
        <w:rPr>
          <w:rFonts w:ascii="Arial" w:eastAsia="Times New Roman" w:hAnsi="Arial" w:cs="Arial"/>
          <w:color w:val="000000"/>
          <w:lang w:eastAsia="es-CO"/>
        </w:rPr>
        <w:t xml:space="preserve"> se efectuarán en los términos y condiciones que defina el Fondo Nacional de Vivienda. </w:t>
      </w:r>
    </w:p>
    <w:p w14:paraId="417F640B"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2D7D7AE5"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449" w:name="ver_30070925"/>
      <w:bookmarkEnd w:id="449"/>
      <w:r w:rsidRPr="009342F9">
        <w:rPr>
          <w:rFonts w:ascii="Arial" w:eastAsia="Times New Roman" w:hAnsi="Arial" w:cs="Arial"/>
          <w:b/>
          <w:bCs/>
          <w:color w:val="000000"/>
          <w:lang w:eastAsia="es-CO"/>
        </w:rPr>
        <w:t>CAPÍTULO 3</w:t>
      </w:r>
    </w:p>
    <w:p w14:paraId="41E080C7" w14:textId="732419E9" w:rsidR="00FC79C1"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 xml:space="preserve">PROGRAMA VIVIENDA DE INTERÉS PRIORITARIO PARA AHORRADORES </w:t>
      </w:r>
      <w:r w:rsidR="006162BD">
        <w:rPr>
          <w:rFonts w:ascii="Arial" w:eastAsia="Times New Roman" w:hAnsi="Arial" w:cs="Arial"/>
          <w:b/>
          <w:bCs/>
          <w:color w:val="000000"/>
          <w:lang w:eastAsia="es-CO"/>
        </w:rPr>
        <w:t>–</w:t>
      </w:r>
      <w:r w:rsidRPr="009342F9">
        <w:rPr>
          <w:rFonts w:ascii="Arial" w:eastAsia="Times New Roman" w:hAnsi="Arial" w:cs="Arial"/>
          <w:b/>
          <w:bCs/>
          <w:color w:val="000000"/>
          <w:lang w:eastAsia="es-CO"/>
        </w:rPr>
        <w:t xml:space="preserve"> VIPA</w:t>
      </w:r>
    </w:p>
    <w:p w14:paraId="2C769BDA" w14:textId="77777777" w:rsidR="006162BD" w:rsidRPr="009342F9" w:rsidRDefault="006162BD" w:rsidP="005A1FCF">
      <w:pPr>
        <w:spacing w:after="0" w:line="240" w:lineRule="auto"/>
        <w:jc w:val="center"/>
        <w:rPr>
          <w:rFonts w:ascii="Arial" w:eastAsia="Times New Roman" w:hAnsi="Arial" w:cs="Arial"/>
          <w:b/>
          <w:bCs/>
          <w:color w:val="000000"/>
          <w:lang w:eastAsia="es-CO"/>
        </w:rPr>
      </w:pPr>
    </w:p>
    <w:p w14:paraId="5CB9271C"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461E4EB0" w14:textId="77777777" w:rsidR="00FC79C1"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VIVIENDA DE INTERES PRIORITARIO PARA AHORRADORES – VIPA</w:t>
      </w:r>
    </w:p>
    <w:p w14:paraId="4C718157" w14:textId="77777777" w:rsidR="006162BD" w:rsidRPr="009342F9" w:rsidRDefault="006162BD" w:rsidP="005A1FCF">
      <w:pPr>
        <w:spacing w:after="0" w:line="240" w:lineRule="auto"/>
        <w:jc w:val="center"/>
        <w:rPr>
          <w:rFonts w:ascii="Arial" w:eastAsia="Times New Roman" w:hAnsi="Arial" w:cs="Arial"/>
          <w:b/>
          <w:bCs/>
          <w:color w:val="000000"/>
          <w:lang w:eastAsia="es-CO"/>
        </w:rPr>
      </w:pPr>
    </w:p>
    <w:p w14:paraId="13BD96E6"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6B52AAAD"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PATRIMONIO AUTÓNOMO DESCRITO EN EL PARÁGRAFO 4° DEL ARTÍCULO 68 DE LA LEY 49 DE 1990, ADICIONADO POR EL ARTÍCULO 185 DE LA LEY 1607 DE 2012</w:t>
      </w:r>
    </w:p>
    <w:p w14:paraId="5D6AA6B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50" w:name="ver_30070928"/>
      <w:bookmarkEnd w:id="450"/>
    </w:p>
    <w:p w14:paraId="5F8B45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2.1.1.3.1.1.1. Contrato de fiducia mercantil. El Fondo Nacional de Vivienda (FONVIVIENDA) y las Cajas de Compensación Familiar, de acuerdo con lo establecido en el parágrafo 4° del artículo 68 de la Ley 49 de 1990, adicionado por el artículo 185 de la Ley 1607 de 2012, celebrarán un contrato de fiducia mercantil con el objeto de que el patrimonio autónomo que se constituya, administre los recursos para ejecutar un Programa de Vivienda de Interés Prioritario para la población que se encuentre dentro de las condiciones señaladas en la presente sección, el cual en adelante se denominará “Programa de Vivienda de Interés Prioritario para Ahorradores”. Dicho contrato de fiducia mercantil se someterá a las condiciones y requisitos señalados en la presente sección. </w:t>
      </w:r>
    </w:p>
    <w:p w14:paraId="7CFFAD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A508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FONVIVIENDA y las Cajas de Compensación Familiar seleccionarán a la sociedad fiduciaria vocera del patrimonio autónomo y celebrarán y ejecutarán el respectivo contrato de fiducia mercantil, con sujeción al régimen previsto en el artículo 6° de la Ley 1537 de 2012. </w:t>
      </w:r>
    </w:p>
    <w:p w14:paraId="113E11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2F6D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caso de requerirse, FONVIVIENDA y las Cajas de Compensación Familiar podrán constituir nuevos patrimonios autónomos para ejecutar el programa reglamentado en preséntela presente sección, con el fin de dar cumplimiento a lo dispuesto en el parágrafo 4° del artículo 68 de la Ley 49 de 1990, adicionado por el artículo 185 de la Ley 1607 de 2012. En este caso, los patrimonios autónomos que se constituyan se regirán por lo establecido en preséntela presente sección. </w:t>
      </w:r>
    </w:p>
    <w:p w14:paraId="18809C79" w14:textId="77777777" w:rsidR="00D25E1B" w:rsidRDefault="00D25E1B" w:rsidP="00FC79C1">
      <w:pPr>
        <w:spacing w:after="0" w:line="240" w:lineRule="auto"/>
        <w:jc w:val="both"/>
        <w:rPr>
          <w:rFonts w:ascii="Arial" w:eastAsia="Times New Roman" w:hAnsi="Arial" w:cs="Arial"/>
          <w:color w:val="000000"/>
          <w:lang w:eastAsia="es-CO"/>
        </w:rPr>
      </w:pPr>
      <w:bookmarkStart w:id="451" w:name="ver_30070935"/>
      <w:bookmarkEnd w:id="451"/>
    </w:p>
    <w:p w14:paraId="1A2DF7AE" w14:textId="04785C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2.1.1.3.1.1.2. Fideicomitentes del contrato de fiducia mercantil y órganos de decisión del patrimonio autónomo. Serán fideicomitentes del contrato de fiducia mercantil al que se refiere el artículo 2.1.1.3.1.1.1 de esta sección, FONVIVIENDA y las Cajas de Compensación Familiar que deban transferir recursos al patrimonio autónomo, de acuerdo con lo establecido en esta sección. </w:t>
      </w:r>
    </w:p>
    <w:p w14:paraId="708399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9C85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Cajas de Compensación Familiar actuarán en la selección de la sociedad fiduciaria vocera del patrimonio autónomo, en la celebración del contrato de fiducia mercantil y en los órganos contractuales que se establezcan para el fideicomiso, a través de un solo representante, elegido por ellas, al cual deberán dar todas las facultades necesarias para dar cumplimiento a lo establecido en la presente sección y en el contrato de fiducia mercantil que se suscriba. </w:t>
      </w:r>
    </w:p>
    <w:p w14:paraId="26C89B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09D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patrimonio autónomo tendrá los órganos de decisión que se establezcan en el contrato de fiducia mercantil y como mínimo los siguientes: </w:t>
      </w:r>
    </w:p>
    <w:p w14:paraId="090E6A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18E8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Un Comité Fiduciario que se encargará como mínimo de: a) Impartir las instrucciones a la sociedad fiduciaria para la ejecución del contrato, y b) Emitir recomendaciones para que el Ministerio de Vivienda, Ciudad y Territorio defina criterios para la redistribución de recursos en el territorio nacional, teniendo en cuenta el resultado de las convocatorias que adelante el patrimonio autónomo para la selección de proyectos de vivienda. </w:t>
      </w:r>
    </w:p>
    <w:p w14:paraId="1BA5DA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B594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 Comité Técnico que se encargará como mínimo de: a) Establecer las condiciones para la selección de los proyectos que harán parte del programa que se ejecute en el marco de la presente sección, b) Seleccionar los proyectos antes mencionados, teniendo en consideración los informes de evaluación emitidos por la entidad que se encargue de evaluar los proyectos, c) Definir las condiciones para la selección de los evaluadores y supervisores de los proyectos a los que se refiere la presente sección, d) Pronunciarse sobre la posibilidad de prorrogar los plazos establecidos en los términos de referencia para la terminación, escrituración, y/o entrega de las viviendas que se ejecuten en los proyectos seleccionados, para el desembolso de los créditos y para las demás actuaciones a que haya lugar. </w:t>
      </w:r>
    </w:p>
    <w:p w14:paraId="050BA6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0A4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 Comité Financiero que se encargará como mínimo de: a) Tomar decisiones sobre la administración financiera de los recursos, en el marco de lo establecido para la inversión de los recursos de las entidades estatales del orden nacional en el Decreto Único del Sector de Hacienda y Crédito Público o las normas que lo modifiquen, adicionen o sustituyan y b) Ordenar los pagos que deban realizarse en el marco del contrato de fiducia mercantil. En desarrollo de esta función, el comité financiero podrá definir los procedimientos, requisitos y condiciones a que se sujetarán cada uno de los pagos que realice la fiduciaria en desarrollo del contrato. </w:t>
      </w:r>
    </w:p>
    <w:p w14:paraId="441F39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F3FD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contrato de fiducia mercantil se podrán establecer obligaciones adicionales para los Comités, sin perjuicio de las funciones que se señalan en la presente sección. </w:t>
      </w:r>
    </w:p>
    <w:p w14:paraId="374B7A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AD36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Fiduciario estará conformado por el Viceministro de Vivienda o su delegado, el Director Ejecutivo del Fondo Nacional de Vivienda o su delegado y el representante de las Cajas de Compensación Familiar, los cuales tendrán voz y voto en las decisiones que se adopten. </w:t>
      </w:r>
    </w:p>
    <w:p w14:paraId="410CF0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66B1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Financiero estará conformado por un delegado o un funcionario designado por el Viceministro de Vivienda, un delegado o un funcionario designado por el Director Ejecutivo del Fondo Nacional de Vivienda y el representante de las Cajas de Compensación Familiar. Todos los miembros tendrán voz y voto en las decisiones que se adopten. </w:t>
      </w:r>
    </w:p>
    <w:p w14:paraId="06AB12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F898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Técnico estará conformado por dos (2) delegados o funcionarios designados por el Viceministro de Vivienda y un delegado o un funcionario designado por el Director Ejecutivo del Fondo Nacional de Vivienda, los cuales tendrán voz y voto en las decisiones que se adopten. </w:t>
      </w:r>
    </w:p>
    <w:p w14:paraId="3AECC6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879F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sociedad fiduciaria vocera del patrimonio autónomo será parte de los tres (3) Comités antes mencionados y actuará en todos ellos con </w:t>
      </w:r>
      <w:proofErr w:type="gramStart"/>
      <w:r w:rsidRPr="009342F9">
        <w:rPr>
          <w:rFonts w:ascii="Arial" w:eastAsia="Times New Roman" w:hAnsi="Arial" w:cs="Arial"/>
          <w:color w:val="000000"/>
          <w:lang w:eastAsia="es-CO"/>
        </w:rPr>
        <w:t>voz</w:t>
      </w:r>
      <w:proofErr w:type="gramEnd"/>
      <w:r w:rsidRPr="009342F9">
        <w:rPr>
          <w:rFonts w:ascii="Arial" w:eastAsia="Times New Roman" w:hAnsi="Arial" w:cs="Arial"/>
          <w:color w:val="000000"/>
          <w:lang w:eastAsia="es-CO"/>
        </w:rPr>
        <w:t xml:space="preserve"> pero sin voto. </w:t>
      </w:r>
    </w:p>
    <w:p w14:paraId="75F04F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32B9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decisiones de los Comités Fiduciario y Financiero serán unánimes, sin embargo, en el evento en que no sea posible llegar a una decisión en el marco de los Comités Fiduciario y/o Financiero, FONVIVIENDA podrá continuar ejecutando el contrato de fiducia mercantil, comprometiendo solamente los recursos aportados por el Gobierno Nacional y por entidades públicas o privadas que hayan realizado aportes a título gratuito. </w:t>
      </w:r>
    </w:p>
    <w:p w14:paraId="7F931A56" w14:textId="5FAA97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52" w:name="ver_30070943"/>
      <w:bookmarkEnd w:id="452"/>
    </w:p>
    <w:p w14:paraId="496663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2.1.1.3.1.1.3. Activos del patrimonio autónomo. Serán activos del patrimonio autónomo que se constituya, de conformidad con lo establecido en la presente sección, los siguientes recursos: </w:t>
      </w:r>
    </w:p>
    <w:p w14:paraId="77F6D0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AC3F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Aquellos de que trata el artículo 2.1.1.3.1.1.4 de esta sección; </w:t>
      </w:r>
    </w:p>
    <w:p w14:paraId="34FE1F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194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Aquellos recursos que a la fecha de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Ley 1607 de 2012 correspondan a subsidios familiares de vivienda otorgados por las Cajas de Compensación Familiar que no hubieren sido aplicados dentro del término de su vigencia. El monto de estos recursos será certificado por la Superintendencia del Subsidio Familiar dentro de los treinta (30) días hábiles, al 5 de julio de 2013, indicando expresamente el valor que cada una de las Cajas de Compensación Familiar deberá transferir al patrimonio autónomo; </w:t>
      </w:r>
    </w:p>
    <w:p w14:paraId="283D1D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B282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Los que en ejercicio de las facultades otorgadas por el parágrafo 4° del artículo 68 de la Ley 49 de 1990, adicionado por el artículo 185 de la Ley 1607 de 2012 transfiera FONVIVIENDA; </w:t>
      </w:r>
    </w:p>
    <w:p w14:paraId="1A5329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74D5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Los demás recursos del Fondo para el Subsidio de Vivienda de Interés Social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que decidan transferir las Cajas de Compensación Familiar voluntariamente, en ejercicio de las facultades otorgadas por el parágrafo 4° del artículo 68 de la Ley 49 de 1990, adicionado por el artículo 185 de la Ley 1607 de 2012; </w:t>
      </w:r>
    </w:p>
    <w:p w14:paraId="343A34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F31F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Los recursos de los subsidios familiares de vivienda otorgados por FONVIVIENDA antes del 05 de julio de 2013, que sean transferidos a solicitud de sus beneficiarios, de conformidad con lo establecido en el artículo 2.1.1.3.1.3.2 de la presente sección; </w:t>
      </w:r>
    </w:p>
    <w:p w14:paraId="050CE1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3397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Los rendimientos financieros que produzcan los recursos fideicomitidos; </w:t>
      </w:r>
    </w:p>
    <w:p w14:paraId="0838DC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5F82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Los que aporte cualquier persona natural o jurídica, a título gratuito. </w:t>
      </w:r>
    </w:p>
    <w:p w14:paraId="1DE04947" w14:textId="7EFB7F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53" w:name="ver_30070947"/>
      <w:bookmarkEnd w:id="453"/>
    </w:p>
    <w:p w14:paraId="4067DE71" w14:textId="7F0B59F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2.1.1.3.1.1.4. Giro de recursos de las cajas de compensación familiar. A partir del 05 de julio de 2013 y hasta el 31 de diciembre de 2015, las Cajas de Compensación Familiar, de acuerdo con su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particular de recaudo y a las apropiaciones mensuales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obligatorio, componente vivienda, deberán girar mensualmente al patrimonio autónomo que se constituya según lo establecido en la presente sección, la suma que resulte de la aplicación de los siguientes porcentajes:</w:t>
      </w:r>
    </w:p>
    <w:p w14:paraId="43746EE1" w14:textId="37C29C0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CE86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año 2013 las Cajas de Compensación Familiar con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particular de recaudo superior al ciento diez por ciento (110%) destinarán mensualmente el treinta y cinco por ciento (35%) de las apropiaciones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obligatorio, componente vivienda y las Cajas de Compensación Familiar con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particular de recaudo inferior al ciento diez por ciento (110%) destinarán mensualmente el veinticinco por ciento (25%) de las mismas apropiaciones, para ser girado al patrimonio autónomo que se constituya de acuerdo con lo establecido en la presente sección. </w:t>
      </w:r>
    </w:p>
    <w:p w14:paraId="621D0B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4DF4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año 2014 las Cajas de Compensación Familiar con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particular de recaudo superior al ciento diez por ciento (110%) destinarán mensualmente el treinta y siete por ciento (37%) de las apropiaciones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obligatorio, componente vivienda y las Cajas de Compensación Familiar con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particular de recaudo inferior al ciento diez por ciento (110%) destinarán mensualmente el treinta por ciento (30%) de las mismas apropiaciones, para ser girado al patrimonio autónomo que se constituya, de acuerdo con lo establecido en la presente sección. </w:t>
      </w:r>
    </w:p>
    <w:p w14:paraId="3CBAFF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F6CF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año 2015 las Cajas de Compensación Familiar con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particular de recaudo superior al ciento diez por ciento (110%) destinarán mensualmente el catorce por ciento (14%) de las apropiaciones del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obligatorio, componente vivienda y las Cajas de Compensación Familiar con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particular de recaudo inferior al ciento diez por ciento (110%) destinarán mensualmente el ocho por ciento (8%) de las mismas apropiaciones, para ser girado al patrimonio autónomo que se constituya de acuerdo con lo establecido en la presente sección. </w:t>
      </w:r>
    </w:p>
    <w:p w14:paraId="004050E8" w14:textId="3607813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54" w:name="ver_30070954"/>
      <w:bookmarkEnd w:id="454"/>
    </w:p>
    <w:p w14:paraId="3E6C8D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2.1.1.3.1.1.5. Condiciones para los aportes de las cajas de compensación familiar. La obligación de las Cajas de Compensación de realizar los aportes de que tratan los literales a) y b) del artículo 2.1.1.3.1.1.3 de la presente sección constará en forma expresa en el contrato de fiducia mercantil que se celebre para dar cumplimiento a la presente sección. </w:t>
      </w:r>
    </w:p>
    <w:p w14:paraId="658CA4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9157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cuantificación del aporte a realizarse en cumplimiento del literal b) al patrimonio autónomo que se constituya, constará en el documento de incorporación de recursos a suscribirse entre las Cajas y el fiduciario seleccionado, de acuerdo con los montos indicados por la Superintendencia del Subsidio Familiar. El documento de incorporación de recursos y el giro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se deberá realizar dentro de los treinta (30) días calendario, siguientes a la expedición del acto administrativo que emita la Superintendencia. </w:t>
      </w:r>
    </w:p>
    <w:p w14:paraId="65DB0A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2299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Con respecto a los recursos mencionados en el artículo 2.1.1.3.1.1.4 de la presente sección, tratándose de una suma no determinada en el momento de su </w:t>
      </w:r>
      <w:proofErr w:type="gramStart"/>
      <w:r w:rsidRPr="009342F9">
        <w:rPr>
          <w:rFonts w:ascii="Arial" w:eastAsia="Times New Roman" w:hAnsi="Arial" w:cs="Arial"/>
          <w:color w:val="000000"/>
          <w:lang w:eastAsia="es-CO"/>
        </w:rPr>
        <w:t>celebración</w:t>
      </w:r>
      <w:proofErr w:type="gramEnd"/>
      <w:r w:rsidRPr="009342F9">
        <w:rPr>
          <w:rFonts w:ascii="Arial" w:eastAsia="Times New Roman" w:hAnsi="Arial" w:cs="Arial"/>
          <w:color w:val="000000"/>
          <w:lang w:eastAsia="es-CO"/>
        </w:rPr>
        <w:t xml:space="preserve"> pero determinable, el representante de las Cajas de Compensación Familiar suscribirá mensualmente documentos que soporten la incorporación de los respectivos recursos. </w:t>
      </w:r>
    </w:p>
    <w:p w14:paraId="0D61B0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CAFD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Una vez perfeccionado el contrato de fiducia mercantil, dentro de los cinco (5) días siguientes a la apropiación de los recursos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a la cual hace referencia el artículo 2.1.1.1.1.6.1.4 del presente decreto o las normas que lo modifiquen, adicionen o sustituyan, las Cajas de Compensación Familiar girarán mensualmente al patrimonio autónomo al que se refiere esta sección, los porcentajes indicados en el artículo 2.1.1.3.1.1.4 de la presente sección. </w:t>
      </w:r>
    </w:p>
    <w:p w14:paraId="4173C0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9B8E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Cada mes las Cajas de Compensación Familiar deberán reportar a la Superintendencia del Subsidio Familiar, en las condiciones y fecha que esta defina, el cumplimiento del giro mensual destinado al patrimonio autónomo de que trata la presente sección. La Superintendencia de Subsidio Familiar ejercerá, en cualquier momento, sus facultades de inspección, vigilancia y control sobre la obligatoriedad de la transferencia de los recursos e informará al FONVIVIENDA si considera, por cualquier situación, que no se está dando cabal cumplimiento a lo establecido en el presente artículo. </w:t>
      </w:r>
    </w:p>
    <w:p w14:paraId="26104018" w14:textId="6233A1B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55" w:name="ver_30070960"/>
      <w:bookmarkEnd w:id="455"/>
    </w:p>
    <w:p w14:paraId="58778E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2.1.1.3.1.1.6. Obligaciones de la sociedad fiduciaria. Corresponderá a la sociedad fiduciaria que se seleccione para el efecto, actuando como vocera del patrimonio autónomo constituido de acuerdo con la presente sección ejecutar, además de las obligaciones que se señalen en el contrato de fiducia mercantil, las siguientes: </w:t>
      </w:r>
    </w:p>
    <w:p w14:paraId="7DA627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4DC6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Recaudar los recursos que deban ser transferidos por las Cajas de Compensación Familiar y los que estas aporten voluntariamente, de acuerdo con lo establecido en esta sección; </w:t>
      </w:r>
    </w:p>
    <w:p w14:paraId="44CA0F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B3AD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Recibir los recursos que transfiera FONVIVIENDA, de acuerdo con lo establecido en la presente sección y con las normas presupuestales vigentes; </w:t>
      </w:r>
    </w:p>
    <w:p w14:paraId="06083E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46AE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Invertir transitoriamente los recursos administrados, de acuerdo con la ley, con la normativa para la inversión de los recursos de las entidades estatales del orden nacional del Decreto Único Sectorial de Hacienda y Crédito Público o las normas que lo modifiquen, adicionen o sustituyan, y con las instrucciones que imparta el Comité Financiero en el marco de las normas antes citadas; </w:t>
      </w:r>
    </w:p>
    <w:p w14:paraId="039890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E91C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Administrar los recursos de conformidad con las obligaciones que se señalen en el contrato de fiducia mercantil y las instrucciones impartidas por los órganos de decisión que se constituyan al interior del patrimonio autónomo; </w:t>
      </w:r>
    </w:p>
    <w:p w14:paraId="1FEFC8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EA0E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Adelantar los procedimientos y elaborar y suscribir los documentos necesarios para que el Comité Técnico del Fideicomiso, con fundamento en los términos de referencia que defina el mismo, seleccione los proyectos de vivienda nueva urbana de interés prioritario que se ejecutarán en el marco del programa a que se refiere la presente sección; </w:t>
      </w:r>
    </w:p>
    <w:p w14:paraId="4A39BC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0263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Certificar a los proponentes de los proyectos seleccionados, que cuentan con un cupo para la asignación de subsidios familiares de vivienda en un número igual al número de viviendas del proyecto seleccionado, los cuales les serán desembolsados en los términos y condiciones que se señalen en los términos de referencia del proceso de selección; </w:t>
      </w:r>
    </w:p>
    <w:p w14:paraId="0AC16A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1E6D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g) Desembolsar a los oferentes de los proyectos seleccionados que hayan cumplido con los requisitos establecidos en los términos de referencia respectivos, los recursos de los subsidios familiares de vivienda para los hogares que haya propuesto el oferente y que hayan cumplido los requisitos establecidos en la presente sección. Los recursos se podrán desembolsar a quienes hayan actuado como financiadores o </w:t>
      </w:r>
      <w:proofErr w:type="spellStart"/>
      <w:r w:rsidRPr="009342F9">
        <w:rPr>
          <w:rFonts w:ascii="Arial" w:eastAsia="Times New Roman" w:hAnsi="Arial" w:cs="Arial"/>
          <w:color w:val="000000"/>
          <w:lang w:eastAsia="es-CO"/>
        </w:rPr>
        <w:t>cofinanciadores</w:t>
      </w:r>
      <w:proofErr w:type="spellEnd"/>
      <w:r w:rsidRPr="009342F9">
        <w:rPr>
          <w:rFonts w:ascii="Arial" w:eastAsia="Times New Roman" w:hAnsi="Arial" w:cs="Arial"/>
          <w:color w:val="000000"/>
          <w:lang w:eastAsia="es-CO"/>
        </w:rPr>
        <w:t xml:space="preserve"> de los proyectos, cuando los oferentes así lo indiquen; </w:t>
      </w:r>
    </w:p>
    <w:p w14:paraId="5F6888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42D3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Emitir a favor de los beneficiarios del programa y de las entidades de crédito, certificaciones sobre los plazos otorgados en los términos de referencia de los procesos de selección, o por el supervisor de los proyectos y/o el Comité Técnico del Fideicomiso, para la terminación de las viviendas, su comercialización, el desembolso de los créditos y/o la escrituración de las viviendas a sus beneficiarios, y las demás actuaciones a que haya lugar; </w:t>
      </w:r>
    </w:p>
    <w:p w14:paraId="46B255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82E4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Llevar una contabilidad separada del negocio, de conformidad con las disposiciones que regulan la materia; </w:t>
      </w:r>
    </w:p>
    <w:p w14:paraId="328A8F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BB30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Controlar la ejecución de los recursos y realizar los desembolsos que autorice el Comité Financiero del Fideicomiso, el cual podrá definir los procedimientos, requisitos y condiciones a que se sujetarán cada uno de los pagos que realice la fiduciaria; </w:t>
      </w:r>
    </w:p>
    <w:p w14:paraId="103792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FCCE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k) Crear subcuentas para el manejo de recursos de cada proyecto de vivienda nueva de interés prioritario y/o para el manejo de los recursos aportados por cada Caja de Compensación Familiar y por FONVIVIENDA; </w:t>
      </w:r>
    </w:p>
    <w:p w14:paraId="0395C0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F479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 Las demás obligaciones necesarias para dar cumplimiento al objeto del contrato de fiducia mercantil. </w:t>
      </w:r>
    </w:p>
    <w:p w14:paraId="17DA7D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041D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Una vez el oferente acredite los requisitos de viabilidad financiera que se soliciten en los términos de referencia del respectivo proceso de selección, el Comité Financiero deberá emitir una instrucción irrevocable a la sociedad fiduciaria, de desembolsar los recursos cuando se cumplan los requisitos señalados en los términos de referencia. La instrucción se entenderá resuelta de pleno derecho si el proponente incumple los plazos y/o condiciones que se determinen en los términos de referencia o en las prórrogas que otorgue el supervisor de los proyectos y/o el Comité Técnico del Fideicomiso, cuando sea el caso. </w:t>
      </w:r>
    </w:p>
    <w:p w14:paraId="53C65D26" w14:textId="15BAD1C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56" w:name="ver_30070962"/>
      <w:bookmarkEnd w:id="456"/>
    </w:p>
    <w:p w14:paraId="7BF04A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2.1.1.3.1.1.7. Gastos de administración. Con cargo a los recursos administrados por el patrimonio autónomo al que hace referencia la presente sección, se sufragarán los costos en que se incurra para el manejo y control de los recursos, los gastos de operación y cualquier otro gasto que se requiera para el desarrollo, implementación y divulgación del programa destinado a los hogares a que hace referencia la presente sección. </w:t>
      </w:r>
    </w:p>
    <w:p w14:paraId="4C6DC0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8AD0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los recursos que aporte FONVIVIENDA al patrimonio autónomo se podrá destinar, para cubrir los gastos a los que hace referencia el presente artículo, un mayor valor que aquel destinado por las Cajas de Compensación Familiar. De los recursos aportados por las Cajas de Compensación Familiar se destinará hasta un cinco por ciento (5%) para cubrir los referidos gastos. </w:t>
      </w:r>
    </w:p>
    <w:p w14:paraId="4D5BFF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6E52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otra parte, los rendimientos financieros que generen los recursos fideicomitidos también serán destinados a la ejecución del programa, incluyendo el pago de los gastos a los que se refiere el presente artículo. </w:t>
      </w:r>
    </w:p>
    <w:p w14:paraId="01BC0DAD" w14:textId="3F399733"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57" w:name="ver_30070964"/>
      <w:bookmarkEnd w:id="457"/>
    </w:p>
    <w:p w14:paraId="37877627" w14:textId="3FE9A718"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62CC751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BENEFICIOS PARA LOS HOGARES OBJETO DEL PROGRAMA QUE SE DESARROLLE A TRAVÉS DEL PATRIMONIO AUTÓNOMO</w:t>
      </w:r>
    </w:p>
    <w:p w14:paraId="58B57CD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58" w:name="ver_30070967"/>
      <w:bookmarkEnd w:id="458"/>
    </w:p>
    <w:p w14:paraId="458299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2.1.1.3.1.2.1. Valor del subsidio familiar de vivienda. El monto de los subsidios familiares de vivienda que FONVIVIENDA y las Cajas de Compensación Familiar asignen a los hogares que cumplan las condiciones señaladas en la presente sección, dependerá de los ingresos del hogar objeto del subsidio, de acuerdo con los siguientes parámetros: </w:t>
      </w:r>
    </w:p>
    <w:p w14:paraId="3E4F22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F8A8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 los hogares con ingresos hasta de 1.6 SMLMV, podrá asignarse un subsidio hasta por el monto equivalente a 30 SMLMV, al momento del desembolso al oferente. </w:t>
      </w:r>
    </w:p>
    <w:p w14:paraId="6A72EB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BF41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 los hogares con ingresos de más de 1.6 y hasta 2 SMLMV, podrá asignarse un subsidio hasta por el monto equivalente a 25 SMLMV, al momento del desembolso al oferente. </w:t>
      </w:r>
    </w:p>
    <w:p w14:paraId="252FFC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E52E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los actos de asignación del subsidio familiar de vivienda a que se refiere el presente artículo, se indicará expresamente que el subsidio ha sido emitido en el marco del Programa de Vivienda de Interés Prioritario para Ahorradores y que en esa medida su vigencia, las condiciones para su aplicación y los demás beneficios a que tiene derecho el hogar por ser beneficiario del programa, se sujetarán a lo establecido en la presente sección y en los términos de referencia del proceso de selección del proyecto en el que deba ser aplicado. </w:t>
      </w:r>
    </w:p>
    <w:p w14:paraId="27CF23A6" w14:textId="513B33A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59" w:name="ver_30070970"/>
      <w:bookmarkEnd w:id="459"/>
    </w:p>
    <w:p w14:paraId="509761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2.1.1.3.1.2.2. Vigencia del subsidio familiar de vivienda. La vigencia de los subsidios de vivienda destinados a la adquisición de vivienda de interés prioritario urbana nueva de que trata la presente sección, será de doce (12) meses contados a partir del primer día del mes siguiente a la fecha de su asignación. </w:t>
      </w:r>
    </w:p>
    <w:p w14:paraId="5A80C5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1CD6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otorgante del subsidio podrá prorrogar hasta por doce (12) meses la vigencia anteriormente señalada, siempre y cuando dentro del plazo inicial de la vigencia del subsidio, el oferente haya suscrito promesa de compraventa de la vivienda respectiva con el beneficiario del subsidio y la escrituración y entrega de la vivienda se haya pactado para ser realizada dentro del término de la prórroga del subsidio. El oferente deberá remitir a la entidad otorgante, dentro de los plazos que establezca esta última, la respectiva copia de la promesa de compraventa. </w:t>
      </w:r>
    </w:p>
    <w:p w14:paraId="026C8E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ACE5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subsidios familiares de vivienda otorgados por las Cajas de Compensación Familiar que no se apliquen dentro del término de su vigencia, serán reintegrados al Fondo de Vivienda de la respectiva entidad otorgante. </w:t>
      </w:r>
    </w:p>
    <w:p w14:paraId="18E9FD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BE9B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acuerdo con lo establecido en el inciso segundo del artículo 8° de la Ley 1537 de 2012, los recursos correspondientes a subsidios familiares de vivienda otorgados por FONVIVIENDA, que sean objeto de renuncia por parte de su beneficiario, que se venzan o que correspondan a aquellos recuperados mediante actuaciones administrativas, podrán ser transferidos directamente, total o parcialmente, por parte de la entidad que los tenga a su cargo, al patrimonio autónomo al que se refiere la presente sección. </w:t>
      </w:r>
    </w:p>
    <w:p w14:paraId="72CBFE27" w14:textId="4E32CD7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60" w:name="ver_30070972"/>
      <w:bookmarkEnd w:id="460"/>
    </w:p>
    <w:p w14:paraId="16E215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2.1.1.3.1.2.3. Cobertura de tasa de interés. Los potenciales deudores de crédito pertenecientes a los hogares que resulten beneficiarios del subsidio familiar de vivienda a que se refiere el artículo 2.1.13.1.2.1 de esta sección, podrán acceder a la cobertura de tasa de interés prevista en el artículo 123 de la Ley 1450 de 2011, a través de créditos otorgados por los establecimientos de crédito para compra de vivienda, en las condiciones y términos que establezca el Gobierno Nacional. </w:t>
      </w:r>
    </w:p>
    <w:p w14:paraId="7A4F84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931D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cobertura a que se refiere el presente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estará sujeta a que el crédito se aplique en la adquisición de vivienda de interés social prioritaria nueva urbana que se ejecute en los proyectos seleccionados en el marco del “Programa de Vivienda de Interés Prioritario para Ahorradores” a que hace referencia esta sección. </w:t>
      </w:r>
    </w:p>
    <w:p w14:paraId="41EE9C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F111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todo caso, para que los potenciales deudores de crédito pertenecientes a los hogares beneficiarios del programa </w:t>
      </w:r>
      <w:proofErr w:type="gramStart"/>
      <w:r w:rsidRPr="009342F9">
        <w:rPr>
          <w:rFonts w:ascii="Arial" w:eastAsia="Times New Roman" w:hAnsi="Arial" w:cs="Arial"/>
          <w:color w:val="000000"/>
          <w:lang w:eastAsia="es-CO"/>
        </w:rPr>
        <w:t>mencionado,</w:t>
      </w:r>
      <w:proofErr w:type="gramEnd"/>
      <w:r w:rsidRPr="009342F9">
        <w:rPr>
          <w:rFonts w:ascii="Arial" w:eastAsia="Times New Roman" w:hAnsi="Arial" w:cs="Arial"/>
          <w:color w:val="000000"/>
          <w:lang w:eastAsia="es-CO"/>
        </w:rPr>
        <w:t xml:space="preserve"> puedan acceder a la cobertura de tasa de interés, es necesario que la entidad otorgante del crédito cumpla con lo dispuesto en las normas vigentes, para que sus deudores obtengan este beneficio. </w:t>
      </w:r>
    </w:p>
    <w:p w14:paraId="37CEB622" w14:textId="77777777" w:rsidR="00D25E1B"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61" w:name="ver_30110568"/>
      <w:bookmarkStart w:id="462" w:name="ver_30110565"/>
      <w:bookmarkEnd w:id="461"/>
    </w:p>
    <w:p w14:paraId="290A53DE" w14:textId="419CCF6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2.1.1.3.1.2.4. Garantía de créditos por el Fondo Nacional de Garantías. Las entidades financieras que otorguen créditos a los hogares que resulten beneficiarios del subsidio familiar de vivienda al que hace referencia el artículo 2.1.1.3.1.2.1 de esta sección, serán beneficiarias de una garantía, cuya prima pagará Fonvivienda con cargo a su presupuesto de inversión, la cual cubrirá hasta el setenta por ciento (70%) de la pérdida estimada del crédito obtenido a su favor para la adquisición de la vivienda de interés prioritario, en los términos establecidos por el Fondo Nacional de Garantías para este producto de garantía. Lo anterior, siempre y cuando los créditos se desembolsen dentro de los plazos que definan los términos de referencia de los procesos de selección de los proyectos que se oferten al patrimonio autónomo a que hace referencia la presente sección. Estos plazos solo podrán ser modificados por autorización del supervisor del proyecto y/o del Comité Técnico, de acuerdo con las condiciones que se establezcan en los mismos términos de referencia.  </w:t>
      </w:r>
    </w:p>
    <w:p w14:paraId="0C403C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5ACD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entidades financieras podrán solicitar directamente al Fondo Nacional de Garantías, el otorgamiento de la garantía a la que hace referencia el presente artículo, solamente cuando se haya verificado que el potencial deudor es beneficiario del Programa de Vivienda de Interés Prioritario para Ahorradores y que el desembolso del crédito se realice dentro de los plazos otorgados en los términos de referencia del proceso de selección o en los autorizados por el supervisor del proyecto y/o el Comité Técnico del Fideicomiso”. </w:t>
      </w:r>
    </w:p>
    <w:p w14:paraId="11935840"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1FB18EC4"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463" w:name="ver_30070976"/>
      <w:bookmarkEnd w:id="462"/>
      <w:bookmarkEnd w:id="463"/>
      <w:r w:rsidRPr="009342F9">
        <w:rPr>
          <w:rFonts w:ascii="Arial" w:eastAsia="Times New Roman" w:hAnsi="Arial" w:cs="Arial"/>
          <w:b/>
          <w:bCs/>
          <w:color w:val="000000"/>
          <w:lang w:eastAsia="es-CO"/>
        </w:rPr>
        <w:t>SUBSECCIÓN 3</w:t>
      </w:r>
    </w:p>
    <w:p w14:paraId="79BEC376"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DE LOS BENEFICIARIOS DEL PROGRAMA QUE SE DESARROLLE A TRAVÉS DEL PATRIMONIO AUTÓNOMO</w:t>
      </w:r>
    </w:p>
    <w:p w14:paraId="265D8EA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64" w:name="ver_30110517"/>
      <w:bookmarkStart w:id="465" w:name="ver_30110510"/>
      <w:bookmarkEnd w:id="464"/>
    </w:p>
    <w:p w14:paraId="6E3653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2.1.1.3.1.3.1. Beneficiarios del programa. Podrán ser beneficiarios del programa que se desarrolle a través del patrimonio autónomo a que se refiere la presente sección, los hogares que cumplan las siguientes condiciones:</w:t>
      </w:r>
    </w:p>
    <w:p w14:paraId="352BE7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59FE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Tener ingresos totales mensuales no superiores al equivalente a dos (2) salarios mínimos legales mensuales vigentes; </w:t>
      </w:r>
    </w:p>
    <w:p w14:paraId="477C3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D54A3D" w14:textId="77777777" w:rsidR="004E425A"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w:t>
      </w:r>
      <w:r w:rsidR="004E425A" w:rsidRPr="004E425A">
        <w:rPr>
          <w:rFonts w:ascii="Arial" w:eastAsia="Times New Roman" w:hAnsi="Arial" w:cs="Arial"/>
          <w:color w:val="000000"/>
          <w:lang w:eastAsia="es-CO"/>
        </w:rPr>
        <w:t>No ser propietarios de una vivienda en el territorio nacional, salvo que esta i) haya sido abandonada o despojada en el marco del conflicto armado interno, o ii) se encuentre en zonas de riesgo por la ocurrencia de eventos físicos peligrosos de origen tecnológico o en zonas de afectación, por el diseño, ejecución u operación de obras de infraestructura o proyectos de interés nacional y/o estratégicos desarrollados por el Gobierno Nacional, de conformidad con los análisis específicos de riesgos y los planes de emergencia y contingencia de que trata el artículo 42 de la Ley 1523 de 2012 o las normas que lo modifiquen, adicionen o sustituyan.</w:t>
      </w:r>
    </w:p>
    <w:p w14:paraId="1ED7334B" w14:textId="624CA1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F44F0D" w14:textId="77777777" w:rsidR="00D41493" w:rsidRDefault="00FC79C1" w:rsidP="00B00C4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w:t>
      </w:r>
      <w:r w:rsidR="00D41493" w:rsidRPr="00D41493">
        <w:rPr>
          <w:rFonts w:ascii="Arial" w:eastAsia="Times New Roman" w:hAnsi="Arial" w:cs="Arial"/>
          <w:color w:val="000000"/>
          <w:lang w:eastAsia="es-CO"/>
        </w:rPr>
        <w:t>No haber sido beneficiarios de un subsidio familiar de vivienda que haya sido efectivamente aplicado, salvo quienes hayan perdido la vivienda por imposibilidad de pago, de acuerdo con lo establecido en el artículo 33 de la Ley 546 de 1999 o cuando la vivienda en la cual se haya aplicado el subsidio haya resultado totalmente destruida o quedado inhabitable como consecuencia de desastres naturales, calamidades públicas, emergencias, o atentados terroristas, o haya sido abandonada o despojada en el marco del conflicto armado interno, o se encuentre en las zonas de riesgo o afectación a que se refiere el literal b) del presente artículo.</w:t>
      </w:r>
    </w:p>
    <w:p w14:paraId="25956816" w14:textId="77777777" w:rsidR="00D41493" w:rsidRDefault="00D41493" w:rsidP="00B00C41">
      <w:pPr>
        <w:spacing w:after="0" w:line="240" w:lineRule="auto"/>
        <w:jc w:val="both"/>
        <w:rPr>
          <w:rFonts w:ascii="Arial" w:eastAsia="Times New Roman" w:hAnsi="Arial" w:cs="Arial"/>
          <w:color w:val="000000"/>
          <w:lang w:eastAsia="es-CO"/>
        </w:rPr>
      </w:pPr>
    </w:p>
    <w:p w14:paraId="09466C52" w14:textId="77777777" w:rsidR="00D41493" w:rsidRDefault="00B00C41" w:rsidP="00FC79C1">
      <w:pPr>
        <w:spacing w:after="0" w:line="240" w:lineRule="auto"/>
        <w:jc w:val="both"/>
        <w:rPr>
          <w:rFonts w:ascii="Arial" w:eastAsia="Times New Roman" w:hAnsi="Arial" w:cs="Arial"/>
          <w:color w:val="000000"/>
          <w:lang w:eastAsia="es-CO"/>
        </w:rPr>
      </w:pPr>
      <w:r>
        <w:rPr>
          <w:rFonts w:ascii="Arial" w:eastAsia="Times New Roman" w:hAnsi="Arial" w:cs="Arial"/>
          <w:color w:val="000000"/>
          <w:lang w:eastAsia="es-CO"/>
        </w:rPr>
        <w:t xml:space="preserve">d) </w:t>
      </w:r>
      <w:r w:rsidR="00FC79C1" w:rsidRPr="009342F9">
        <w:rPr>
          <w:rFonts w:ascii="Arial" w:eastAsia="Times New Roman" w:hAnsi="Arial" w:cs="Arial"/>
          <w:color w:val="000000"/>
          <w:lang w:eastAsia="es-CO"/>
        </w:rPr>
        <w:t> </w:t>
      </w:r>
      <w:r w:rsidR="00D41493" w:rsidRPr="00D41493">
        <w:rPr>
          <w:rFonts w:ascii="Arial" w:eastAsia="Times New Roman" w:hAnsi="Arial" w:cs="Arial"/>
          <w:color w:val="000000"/>
          <w:lang w:eastAsia="es-CO"/>
        </w:rPr>
        <w:t>No haber sido beneficiario a cualquier título de coberturas de tasa de interés otorgadas en desarrollo de lo dispuesto en los capítulos 2.10.1.4 Y 2.10.1.5 del Decreto 1068 de 2015 y el capítulo 2.1.3.1 y la sección 2.1.1.3.3 del presente decreto.</w:t>
      </w:r>
    </w:p>
    <w:p w14:paraId="59437351" w14:textId="1090422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ABE1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Aportar al oferente, para la adquisición de la vivienda, el valor al que se refiere el artículo 2.1.1.3.1.3.4. de esta sección, que constituirá el ahorro del hogar, el cual podrá acreditarse como requisito para la asignación del subsidio familiar de vivienda a que hace referencia el artículo 2.1.1.3.1.2.1. de esta sección; </w:t>
      </w:r>
    </w:p>
    <w:p w14:paraId="5BEAC4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7F84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f) Contar con un crédito </w:t>
      </w:r>
      <w:proofErr w:type="spellStart"/>
      <w:r w:rsidRPr="009342F9">
        <w:rPr>
          <w:rFonts w:ascii="Arial" w:eastAsia="Times New Roman" w:hAnsi="Arial" w:cs="Arial"/>
          <w:color w:val="000000"/>
          <w:lang w:eastAsia="es-CO"/>
        </w:rPr>
        <w:t>preaprobado</w:t>
      </w:r>
      <w:proofErr w:type="spellEnd"/>
      <w:r w:rsidRPr="009342F9">
        <w:rPr>
          <w:rFonts w:ascii="Arial" w:eastAsia="Times New Roman" w:hAnsi="Arial" w:cs="Arial"/>
          <w:color w:val="000000"/>
          <w:lang w:eastAsia="es-CO"/>
        </w:rPr>
        <w:t xml:space="preserve"> por el valor correspondiente a los recursos faltantes para acceder a la solución de vivienda a adquirir. La carta de preaprobación de crédito deberá consistir en una evaluación crediticia favorable previa emitida por un establecimiento de crédito, una cooperativa de ahorro y crédito, las Cajas de Compensación Familiar, el Fondo Nacional de Ahorro, los Fondos de Empleados y demás entidades autorizadas para ello por la ley. </w:t>
      </w:r>
    </w:p>
    <w:p w14:paraId="2EFA1F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8BA2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límite de ingresos a que se refiere el literal a) del presente artículo podrá ser verificado teniendo en consideración solamente el salario básico de los miembros del hogar, es decir, lo que constituye remuneración ordinaria o fija. </w:t>
      </w:r>
    </w:p>
    <w:p w14:paraId="23EB79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AE2E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acreditación de que la vivienda se encuentra en algunas de las situaciones a que se refiere el numeral ii) del literal b) del presente artículo, se realizará mediante certificación emitida por la entidad encargada del diseño, ejecución u operación de la obra e inclusión de los hogares en los censos elaborados por los Consejos Municipales para la Gestión del Riesgo de Desastres, avalados por los Consejos Departamentales para la Gestión del Riesgo de Desastres y refrendados por la Unidad Nacional para la Gestión del Riesgo de Desastres. </w:t>
      </w:r>
    </w:p>
    <w:p w14:paraId="043AFF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6111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este caso, para la asignación del subsidio familiar de vivienda de que trata el artículo 2.1.1.3.1.2.1 el hogar o el oferente del proyecto deberán acreditar la transferencia del derecho de dominio del inmueble desalojado a la entidad que corresponda de acuerdo con las normas vigentes, mediante la presentación del certificado de libertad y tradición respectivo o con certificación emitida por la entidad adquirente”. </w:t>
      </w:r>
    </w:p>
    <w:p w14:paraId="5EB5D46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66" w:name="ver_30110535"/>
      <w:bookmarkStart w:id="467" w:name="ver_30110525"/>
      <w:bookmarkEnd w:id="465"/>
      <w:bookmarkEnd w:id="466"/>
    </w:p>
    <w:p w14:paraId="6C751C13" w14:textId="7E66C82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2.1.1.3.1.3.2. Beneficiarios con subsidio familiar de vivienda sin aplicar. Los beneficiarios del programa reglamentado en la presente sección tendrán derecho a un solo subsidio a otorgarse en el marco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Cuando los hogares beneficiarios cuenten con subsidios familiares de vivienda en dinero, otorgados por parte de las Cajas de Compensación Familiar o Fonvivienda, que se encuentren pendientes de aplicación, se emplearán las siguientes reglas: </w:t>
      </w:r>
    </w:p>
    <w:p w14:paraId="63C2F3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F5CD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Quienes hayan sido beneficiarios de subsidios familiares de vivienda para la adquisición de vivienda urbana que se encuentren vigentes y sin aplicar, asignados por Fonvivienda, antes de la entrada en vigencia de la presente sección, siempre que resulten beneficiarios del subsidio familiar de vivienda a que se refiere el artículo 2.1.1.3.1.2.1 de la presente sección, autorizarán su desembolso al patrimonio autónomo que se constituya de acuerdo con lo establecido en esta sección, sin que tal desembolso les otorgue la calidad de fideicomitentes. En todo caso, para el desembolso, el beneficiario deberá contar con autorización previa de la entidad otorgante del subsidio. </w:t>
      </w:r>
    </w:p>
    <w:p w14:paraId="18DD18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F5A6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subsidios familiares de vivienda que se otorguen a los hogares mencionados </w:t>
      </w:r>
      <w:proofErr w:type="gramStart"/>
      <w:r w:rsidRPr="009342F9">
        <w:rPr>
          <w:rFonts w:ascii="Arial" w:eastAsia="Times New Roman" w:hAnsi="Arial" w:cs="Arial"/>
          <w:color w:val="000000"/>
          <w:lang w:eastAsia="es-CO"/>
        </w:rPr>
        <w:t>anteriormente,</w:t>
      </w:r>
      <w:proofErr w:type="gramEnd"/>
      <w:r w:rsidRPr="009342F9">
        <w:rPr>
          <w:rFonts w:ascii="Arial" w:eastAsia="Times New Roman" w:hAnsi="Arial" w:cs="Arial"/>
          <w:color w:val="000000"/>
          <w:lang w:eastAsia="es-CO"/>
        </w:rPr>
        <w:t xml:space="preserve"> tendrán los valores señalados en la presente sección, cuando el valor del subsidio otorgado, que se encuentre sin aplicar, sea inferior, en caso contrario, tendrán derecho al subsidio familiar de vivienda de mayor valor. </w:t>
      </w:r>
    </w:p>
    <w:p w14:paraId="0EFBBE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C3A0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hogar beneficiario se encuentre inscrito en el Registro Único de Población Desplazada (RUPD), o el que haga sus veces, se podrá sumar el subsidio familiar de vivienda inicialmente asignado, que se encuentre sin aplicar, y el subsidio familiar de vivienda a que se refiere el artículo 2.1.1.3.1.2.1 de esta sección, para la adquisición de una vivienda en el marco del Programa VIPA. En todo caso, el subsidio familiar de vivienda de Fonvivienda no podrá superar los 66.5 SMLMV, pues el hogar deberá aportar el ahorro a que se refiere el artículo 2.1.1.3.1.3.4 de esta sección. </w:t>
      </w:r>
    </w:p>
    <w:p w14:paraId="6DFD95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18EE6E" w14:textId="15611B0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Quienes hayan sido beneficiarios de subsidios familiares de vivienda para la adquisición de vivienda urbana, que se encuentren vigentes y sin aplicar, asignados en cualquier momento por las Cajas de Compensación Familiar, siempre que resulten beneficiarios del subsidio familiar de vivienda a que se refiere el artículo 2.1.1.3.1.2.1 de la presente sección, solicitarán su aplicación en el marco del programa a que se refiere el mismo. En este caso, las Cajas de Compensación realizarán los trámites correspondientes al interior de los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para que estos recursos hagan parte de aquellos de que trata el artículo 2.1.1.3.1.1.4 de esta sección, de manera que no constituyan recursos adicionales a girar. </w:t>
      </w:r>
    </w:p>
    <w:p w14:paraId="0C7FC8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474E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subsidios familiares de vivienda que se otorguen a los hogares mencionados </w:t>
      </w:r>
      <w:proofErr w:type="gramStart"/>
      <w:r w:rsidRPr="009342F9">
        <w:rPr>
          <w:rFonts w:ascii="Arial" w:eastAsia="Times New Roman" w:hAnsi="Arial" w:cs="Arial"/>
          <w:color w:val="000000"/>
          <w:lang w:eastAsia="es-CO"/>
        </w:rPr>
        <w:t>anteriormente,</w:t>
      </w:r>
      <w:proofErr w:type="gramEnd"/>
      <w:r w:rsidRPr="009342F9">
        <w:rPr>
          <w:rFonts w:ascii="Arial" w:eastAsia="Times New Roman" w:hAnsi="Arial" w:cs="Arial"/>
          <w:color w:val="000000"/>
          <w:lang w:eastAsia="es-CO"/>
        </w:rPr>
        <w:t xml:space="preserve"> tendrán los valores señalados en el artículo 2.1.1.3.1.2.1 de la presente sección, cuando el valor del subsidio otorgado, que se encuentre sin aplicar, sea inferior, en caso contrario, tendrán derecho al subsidio familiar de vivienda de mayor valor. </w:t>
      </w:r>
    </w:p>
    <w:p w14:paraId="53945E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EED6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Si los hogares potencialmente beneficiarios del programa a que se refiere esta sección cuentan con un subsidio familiar para la adquisición de vivienda urbana nueva, asignado en cualquier momento por una entidad otorgante diferente de Fonvivienda o las Cajas de Compensación Familiar, previa autorización de la entidad otorgante, los respectivos hogares podrán autorizar su desembolso a los oferentes de los proyectos que resulten seleccionados de acuerdo con lo establecido en la presente sección. La entidad otorgante del subsidio definirá las condiciones para el desembolso del subsidio al oferente de los proyectos, siempre y cuando dichas condiciones no contraríen lo establecido en esta sección ni las determinaciones adoptadas por los órganos de decisión del patrimonio autónomo al que se refiere la presente sección. </w:t>
      </w:r>
    </w:p>
    <w:p w14:paraId="4EA785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B1B9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otras entidades otorgantes de subsidios familiares de vivienda decidan autorizar el desembolso de recursos a los oferentes de proyectos seleccionados de acuerdo con lo establecido en la presente sección, ni Fonvivienda, ni las Cajas de Compensación Familiar, ni el patrimonio autónomo que se constituya de acuerdo con lo establecido en esta sección, serán responsables por la debida ejecución de los mencionados recursos. Los recursos aportados por autorización de la mencionada entidad otorgante, en todo caso, contribuirán al pago de la vivienda, junto con los demás recursos previstos en la presente sección”. </w:t>
      </w:r>
    </w:p>
    <w:p w14:paraId="2856C5E9" w14:textId="266564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68" w:name="ver_30110558"/>
      <w:bookmarkStart w:id="469" w:name="ver_30110556"/>
      <w:bookmarkEnd w:id="467"/>
      <w:bookmarkEnd w:id="468"/>
    </w:p>
    <w:p w14:paraId="23F339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2.1.1.3.1.3.3. Listado de potenciales beneficiarios. Los oferentes de proyectos de vivienda de interés prioritaria que resulten seleccionados de acuerdo con lo establecido en la presente sección, presentarán ante el patrimonio autónomo un listado conformado por un número de hogares igual o mayor al número de viviendas del proyecto seleccionado, que se hayan postulado con el propósito de ser beneficiarios del mencionado proyecto y que reúnan los requisitos señalados en el artículo 2.1.1.3.1.3.1 de la presente sección, el cual deberá contener como mínimo el nombre completo y el documento de identificación de cada uno de los miembros del hogar propuesto por el oferente.  </w:t>
      </w:r>
    </w:p>
    <w:p w14:paraId="44FBC3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7767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Junto con la presentación del listado, el oferente deberá adjuntar la documentación que indique el patrimonio autónomo, de acuerdo con las instrucciones emitidas por los órganos de decisión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para verificar que los hogares incorporados en el listado cumplan las condiciones señaladas en los literales a), e) y f) del artículo 2.1.1.3.1.3.1 de la presente sección. En todo caso, deberá anexar la documentación a la que hace referencia el artículo 2.1.1.3.1.5.1 de la presente sección.  </w:t>
      </w:r>
    </w:p>
    <w:p w14:paraId="44D75A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FD6238" w14:textId="77777777" w:rsidR="00FB6CBF"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evento en que el oferente presente un listado con un número de hogares superior al número de viviendas a ejecutar en el proyecto seleccionado y el número de hogares que cumpla las condiciones señaladas en esta sección supere el número de viviendas mencionado, las entidades otorgantes del subsidio priorizarán en la asignación a los hogares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habiendo cumplido las referidas condiciones, cuenten con mayor ahorro.</w:t>
      </w:r>
    </w:p>
    <w:p w14:paraId="3CBC1DBE" w14:textId="77777777" w:rsidR="00FB6CBF" w:rsidRDefault="00FB6CBF" w:rsidP="00FC79C1">
      <w:pPr>
        <w:spacing w:after="0" w:line="240" w:lineRule="auto"/>
        <w:jc w:val="both"/>
        <w:rPr>
          <w:rFonts w:ascii="Arial" w:eastAsia="Times New Roman" w:hAnsi="Arial" w:cs="Arial"/>
          <w:color w:val="000000"/>
          <w:lang w:eastAsia="es-CO"/>
        </w:rPr>
      </w:pPr>
    </w:p>
    <w:p w14:paraId="14AE3D77" w14:textId="7CAD136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w:t>
      </w:r>
      <w:r w:rsidR="00FB6CBF">
        <w:rPr>
          <w:rFonts w:ascii="Arial" w:eastAsia="Times New Roman" w:hAnsi="Arial" w:cs="Arial"/>
          <w:color w:val="000000"/>
          <w:lang w:eastAsia="es-CO"/>
        </w:rPr>
        <w:t>i</w:t>
      </w:r>
      <w:r w:rsidRPr="009342F9">
        <w:rPr>
          <w:rFonts w:ascii="Arial" w:eastAsia="Times New Roman" w:hAnsi="Arial" w:cs="Arial"/>
          <w:color w:val="000000"/>
          <w:lang w:eastAsia="es-CO"/>
        </w:rPr>
        <w:t xml:space="preserve"> una vez verificado el mayor ahorro, se presenta empate entre uno o varios hogares, se asignarán los subsidios de acuerdo con el orden de radicación de las postulaciones ante el oferente del proyecto. Este orden deberá ser indicado por este último”. </w:t>
      </w:r>
    </w:p>
    <w:p w14:paraId="0FDBBE4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70" w:name="ver_30110576"/>
      <w:bookmarkStart w:id="471" w:name="ver_30110574"/>
      <w:bookmarkEnd w:id="469"/>
      <w:bookmarkEnd w:id="470"/>
    </w:p>
    <w:p w14:paraId="7C1EAC0F" w14:textId="102E03E8"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2.1.1.3.1.3.4. Acreditación de ahorro. Los hogares acreditarán un ahorro mínimo equivalente al cinco por ciento (5%) del valor de la vivienda. El documento que acredite el ahorro podrá ser aportado al patrimonio autónomo respectivo, por el oferente del proyecto seleccionado, como anexo del formulario de postulación, de acuerdo con lo establecido en el artículo 2.1.1.3.1.5.1 de esta sección, pero también se aceptará que se aporte como requisito previo a la asignación del subsidio familiar de vivienda, la cual deberá efectuarse en el plazo indicado en los términos de referencia del respectivo proceso de selección. </w:t>
      </w:r>
    </w:p>
    <w:p w14:paraId="50588EAE"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3FBBC3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entidades otorgantes de subsidios familiares de vivienda, diferentes al Fondo Nacional de Vivienda y las Cajas de Compensación Familiar, decidan autorizar el desembolso de recursos a los oferentes de proyectos seleccionados de acuerdo con lo establecido en la presente sección, el ahorro del hogar podrá disminuir en el valor del respectivo subsidio, sin que, en ningún caso, el aporte del hogar pueda ser inferior al dos por ciento (2%) del valor de la vivienda. </w:t>
      </w:r>
    </w:p>
    <w:p w14:paraId="214B79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88E6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ahorro, en los porcentajes antes señalados, podrá acreditarse en cualquiera de las siguientes modalidades: </w:t>
      </w:r>
    </w:p>
    <w:p w14:paraId="09F6FD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5E30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Cuentas de ahorro programado para la vivienda; </w:t>
      </w:r>
    </w:p>
    <w:p w14:paraId="2F71DE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60DE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Cuentas de ahorro programado contractual para vivienda con evaluación crediticia favorable previa; </w:t>
      </w:r>
    </w:p>
    <w:p w14:paraId="255175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0683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Aportes periódicos de ahorro; </w:t>
      </w:r>
    </w:p>
    <w:p w14:paraId="3200AD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096E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Cuota inicial; </w:t>
      </w:r>
    </w:p>
    <w:p w14:paraId="07DF6C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43D7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Cesantías. </w:t>
      </w:r>
    </w:p>
    <w:p w14:paraId="42AF15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C96A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recursos del ahorro podrán ser girados por parte del potencial beneficiario directamente al oferente o a las entidades que este defina como esquema de ejecución del proyecto. El oferente de los proyectos seleccionados en el marco del programa a que se refiere esta sección podrá establecer mecanismos que le permitan garantizar que los recursos señalados en el presente artículo estén dispuestos de manera efectiva por parte de los hogares, será responsable del debido manejo de los referidos recursos de acuerdo con las normas vigentes e igualmente, deberá informar oportunamente a los hogares, las condiciones y requisitos establecidos para recibir los beneficios del Programa. </w:t>
      </w:r>
    </w:p>
    <w:p w14:paraId="3714EF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465D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definición de las modalidades señaladas en el presente artículo se sujetará a lo establecido por el artículo 2.1.1.1.1.3.2.3 del presente decreto o las normas que lo modifiquen, adicionen o sustituyan”. </w:t>
      </w:r>
    </w:p>
    <w:p w14:paraId="2B9C3369" w14:textId="77777777" w:rsidR="005A1FCF" w:rsidRDefault="005A1FCF" w:rsidP="00FC79C1">
      <w:pPr>
        <w:spacing w:after="0" w:line="240" w:lineRule="auto"/>
        <w:jc w:val="both"/>
        <w:rPr>
          <w:rFonts w:ascii="Arial" w:eastAsia="Times New Roman" w:hAnsi="Arial" w:cs="Arial"/>
          <w:color w:val="000000"/>
          <w:lang w:eastAsia="es-CO"/>
        </w:rPr>
      </w:pPr>
      <w:bookmarkStart w:id="472" w:name="ver_30070991"/>
      <w:bookmarkEnd w:id="471"/>
      <w:bookmarkEnd w:id="472"/>
    </w:p>
    <w:p w14:paraId="5A668C9E" w14:textId="77777777" w:rsidR="00FB6CBF" w:rsidRDefault="00FB6CBF" w:rsidP="00FC79C1">
      <w:pPr>
        <w:spacing w:after="0" w:line="240" w:lineRule="auto"/>
        <w:jc w:val="both"/>
        <w:rPr>
          <w:rFonts w:ascii="Arial" w:eastAsia="Times New Roman" w:hAnsi="Arial" w:cs="Arial"/>
          <w:color w:val="000000"/>
          <w:lang w:eastAsia="es-CO"/>
        </w:rPr>
      </w:pPr>
    </w:p>
    <w:p w14:paraId="09CBAFBD" w14:textId="77777777" w:rsidR="00FB6CBF" w:rsidRDefault="00FB6CBF" w:rsidP="00FC79C1">
      <w:pPr>
        <w:spacing w:after="0" w:line="240" w:lineRule="auto"/>
        <w:jc w:val="both"/>
        <w:rPr>
          <w:rFonts w:ascii="Arial" w:eastAsia="Times New Roman" w:hAnsi="Arial" w:cs="Arial"/>
          <w:color w:val="000000"/>
          <w:lang w:eastAsia="es-CO"/>
        </w:rPr>
      </w:pPr>
    </w:p>
    <w:p w14:paraId="30F1516A" w14:textId="77777777" w:rsidR="00FB6CBF" w:rsidRPr="009342F9" w:rsidRDefault="00FB6CBF" w:rsidP="00FC79C1">
      <w:pPr>
        <w:spacing w:after="0" w:line="240" w:lineRule="auto"/>
        <w:jc w:val="both"/>
        <w:rPr>
          <w:rFonts w:ascii="Arial" w:eastAsia="Times New Roman" w:hAnsi="Arial" w:cs="Arial"/>
          <w:color w:val="000000"/>
          <w:lang w:eastAsia="es-CO"/>
        </w:rPr>
      </w:pPr>
    </w:p>
    <w:p w14:paraId="614DD88D" w14:textId="1ABBA456"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4</w:t>
      </w:r>
    </w:p>
    <w:p w14:paraId="02797BD5"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DE LOS OFERENTES Y DE LOS PROYECTOS QUE SE DESARROLLEN A TRAVÉS DEL PATRIMONIO AUTÓNOMO</w:t>
      </w:r>
    </w:p>
    <w:p w14:paraId="09904F5B"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473" w:name="ver_30070993"/>
      <w:bookmarkEnd w:id="473"/>
    </w:p>
    <w:p w14:paraId="004119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2.1.1.3.1.4.1. Definición de los criterios para la distribución y redistribución de los recursos del programa. El Ministerio de Vivienda, Ciudad y Territorio definirá los criterios para la distribución y redistribución de los recursos del programa al que hace referencia esta sección en el territorio nacional y FONVIVIENDA los aplicará. Dentro de los criterios de distribución de recursos se considerará el nivel de desempleo que se presente en las ciudades, departamentos y/o regiones que se tengan en cuenta en la respectiva resolución. </w:t>
      </w:r>
    </w:p>
    <w:p w14:paraId="5C81B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BB39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Comité Fiduciario del patrimonio autónomo que se constituya de acuerdo con lo establecido en esta sección revisará la oferta de proyectos recibida en cada región y podrá recomendar al Ministerio de Vivienda, Ciudad y Territorio, la redistribución de los recursos en el territorio nacional, la cual se realizará de acuerdo con los criterios definidos por el mencionado Ministerio, los cuales serán aplicados por FONVIVIENDA. </w:t>
      </w:r>
    </w:p>
    <w:p w14:paraId="433BD932" w14:textId="402BD90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74" w:name="ver_30070994"/>
      <w:bookmarkEnd w:id="474"/>
    </w:p>
    <w:p w14:paraId="6A0836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2.1.1.3.1.4.2. Oferentes de proyectos de vivienda. Los oferentes de proyectos de vivienda nueva de interés prioritario podrán ofertar a los patrimonios autónomos de que trata la presente sección, proyectos de vivienda construidas, en construcción, o por iniciar, siempre y cuando cumplan con las condiciones y requisitos de la convocatoria. </w:t>
      </w:r>
    </w:p>
    <w:p w14:paraId="582340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6D91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promotores, constructores y/o las Cajas de Compensación Familiar podrán ofertar los proyectos de vivienda de interés prioritario nueva urbana señalados en el presente artículo. También se podrán adelantar procesos de selección en los que las entidades públicas sean oferentes de los proyectos como miembros de consorcios o uniones temporales con promotores, constructores y/o Cajas de Compensación Familiar. </w:t>
      </w:r>
    </w:p>
    <w:p w14:paraId="1579FE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2822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términos de referencia de los procesos de selección que adelante el patrimonio autónomo, deberá solicitar al oferente los documentos que acrediten la viabilidad técnica, jurídica y financiera del proyecto. </w:t>
      </w:r>
    </w:p>
    <w:p w14:paraId="12C9CE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1551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esquemas o procesos utilizados por las entidades públicas para la selección de los miembros de los consorcios o uniones temporales de los cuales hagan </w:t>
      </w:r>
      <w:proofErr w:type="gramStart"/>
      <w:r w:rsidRPr="009342F9">
        <w:rPr>
          <w:rFonts w:ascii="Arial" w:eastAsia="Times New Roman" w:hAnsi="Arial" w:cs="Arial"/>
          <w:color w:val="000000"/>
          <w:lang w:eastAsia="es-CO"/>
        </w:rPr>
        <w:t>parte,</w:t>
      </w:r>
      <w:proofErr w:type="gramEnd"/>
      <w:r w:rsidRPr="009342F9">
        <w:rPr>
          <w:rFonts w:ascii="Arial" w:eastAsia="Times New Roman" w:hAnsi="Arial" w:cs="Arial"/>
          <w:color w:val="000000"/>
          <w:lang w:eastAsia="es-CO"/>
        </w:rPr>
        <w:t xml:space="preserve"> deberán someterse a las normas vigentes que les sean aplicables y se adelantarán bajo la responsabilidad de la respectiva entidad pública. </w:t>
      </w:r>
    </w:p>
    <w:p w14:paraId="25862305" w14:textId="39C583F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75" w:name="ver_30070997"/>
      <w:bookmarkEnd w:id="475"/>
    </w:p>
    <w:p w14:paraId="25FA34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2.1.1.3.1.4.3. Convocatoria, evaluación y selección del proyecto de vivienda de interés social prioritario. En la convocatoria para el desarrollo de proyectos de Vivienda de Interés Prioritario a los que hace referencia la presente sección, el patrimonio autónomo deberá exigir, como mínimo, los requisitos a que hacen referencia los numerales 1 y 2 del artículo 6° de la Ley 1537 de 2012, de conformidad con lo establecido en la sección 2.1.1.2.3 del presente decreto o las normas que lo modifiquen, adicionen o sustituyan. </w:t>
      </w:r>
    </w:p>
    <w:p w14:paraId="0AB0BF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BCBA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proyectos serán evaluados por la entidad evaluadora que designe o contrate el patrimonio autónomo, de acuerdo con las instrucciones impartidas por el Comité Técnico. </w:t>
      </w:r>
    </w:p>
    <w:p w14:paraId="184501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640F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selección de los proyectos la realizará el Comité Técnico del Fideicomiso y para los proyectos seleccionados de acuerdo con lo establecido en esta sección no se requerirá del trámite de elegibilidad al que hace referencia la sección 2.1.1.1.1 del presente decreto o las normas que lo adicionen, modifiquen, sustituyan o reglamenten. </w:t>
      </w:r>
    </w:p>
    <w:p w14:paraId="5BB8B0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482D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proyectos deberán ejecutarse y entregarse dentro de los plazos señalados en los términos de referencia o en los cronogramas aprobados por el supervisor y/o el Comité Técnico del patrimonio autónomo. Adicionalmente, deberán entregarse dentro del término de vigencia de tos subsidios asignados a los beneficiarios del respectivo proyecto. </w:t>
      </w:r>
    </w:p>
    <w:p w14:paraId="0717F4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0822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proyectos que se oferten al patrimonio autónomo que se constituya de acuerdo con lo establecido en esta sección, por parte de proponentes que tengan dentro de sus miembros a una entidad pública, podrán incluir como fuente de financiación recursos del Sistema General de Regalías, de conformidad con las normas que rigen dicho Sistema y con el decreto que expida para el efecto el Gobierno Nacional. </w:t>
      </w:r>
    </w:p>
    <w:p w14:paraId="1786BF26" w14:textId="5D356E4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76" w:name="ver_30210171"/>
      <w:bookmarkStart w:id="477" w:name="ver_30071000"/>
      <w:bookmarkEnd w:id="476"/>
    </w:p>
    <w:p w14:paraId="275FCB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2.1.1.3.1.4.4. Valor de la vivienda de interés social prioritario. El valor de la vivienda de interés prioritario nueva en la que se aplicarán los subsidios a los que hace referencia la presente sección no podrá superar los noventa (90) salarios mínimos legales mensuales vigentes. Todos los valores contenidos en los contratos adicionales que se suscriban por parte del oferente y los </w:t>
      </w:r>
      <w:proofErr w:type="gramStart"/>
      <w:r w:rsidRPr="009342F9">
        <w:rPr>
          <w:rFonts w:ascii="Arial" w:eastAsia="Times New Roman" w:hAnsi="Arial" w:cs="Arial"/>
          <w:color w:val="000000"/>
          <w:lang w:eastAsia="es-CO"/>
        </w:rPr>
        <w:t>beneficiarios,</w:t>
      </w:r>
      <w:proofErr w:type="gramEnd"/>
      <w:r w:rsidRPr="009342F9">
        <w:rPr>
          <w:rFonts w:ascii="Arial" w:eastAsia="Times New Roman" w:hAnsi="Arial" w:cs="Arial"/>
          <w:color w:val="000000"/>
          <w:lang w:eastAsia="es-CO"/>
        </w:rPr>
        <w:t xml:space="preserve"> formarán parte del valor final de la vivienda. </w:t>
      </w:r>
    </w:p>
    <w:p w14:paraId="4B07027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78" w:name="ver_30071029"/>
      <w:bookmarkEnd w:id="477"/>
      <w:bookmarkEnd w:id="478"/>
    </w:p>
    <w:p w14:paraId="66F5DE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2.1.1.3.1.4.5. Incumplimiento de los oferentes de proyectos de vivienda. Los oferentes de los proyectos seleccionados, que incumplan los términos o condiciones establecidos en los términos de referencia de los procesos de selección que adelanten los patrimonios autónomos a que se refiere esta sección, o los términos y condiciones señalados en su oferta, estarán sujetos a las investigaciones y sanciones a que se refiere el artículo 22 de la Ley 1537 de 2012, y las normas que la modifiquen, adicionen, sustituyan o reglamenten. En el evento en que se presente el incumplimiento al que se refiere el presente artículo y se encuentre en firme la asignación de subsidios familiares de vivienda para ser ejecutados en el proyecto en incumplimiento, las entidades que hayan financiado o cofinanciado la ejecución del proyecto, de acuerdo con las condiciones definidas en los términos de referencia respectivos, y que no sean miembros del proponente en caso de ser este plural, podrán proponer al patrimonio autónomo un oferente que tenga iguales o mejores condiciones que el proponente del proyecto seleccionado, para terminar la ejecución del proyecto. En este caso, si el Comité Técnico del fideicomiso acepta la ejecución del proyecto por parte del nuevo proponente, podrá prorrogar el término establecido para la terminación de las viviendas, su comercialización, escrituración, desembolso de los créditos, y demás actuaciones a que haya lugar de acuerdo con lo establecido en esta sección. </w:t>
      </w:r>
    </w:p>
    <w:p w14:paraId="015B38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A0DE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que haya financiado o cofinanciado la ejecución del proyecto y que haya propuesto el oferente, deberá certificar la aprobación de un crédito a favor del oferente propuesto, en las condiciones establecidas en los términos de referencia. Adicionalmente, el oferente propuesto deberá ejecutar las viviendas a favor de los beneficiarios de los subsidios que hayan sido previamente asignados con destino al proyecto en incumplimiento. </w:t>
      </w:r>
    </w:p>
    <w:p w14:paraId="6D88D1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CF7926"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Si el oferente incumple los términos o condiciones para el desarrollo del proyecto y la entidad que haya financiado o cofinanciado su ejecución no propone un nuevo oferente o el propuesto no es aceptado por el Comité Técnico del Fideicomiso, los compradores de las viviendas que se ejecuten en el marco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no serán acreedores de ninguno de los beneficios a los que se refiere la presente sección. En este caso, los hogares que hayan suscrito promesas de compraventa con los </w:t>
      </w:r>
      <w:proofErr w:type="gramStart"/>
      <w:r w:rsidRPr="009342F9">
        <w:rPr>
          <w:rFonts w:ascii="Arial" w:eastAsia="Times New Roman" w:hAnsi="Arial" w:cs="Arial"/>
          <w:color w:val="000000"/>
          <w:lang w:eastAsia="es-CO"/>
        </w:rPr>
        <w:t>oferentes,</w:t>
      </w:r>
      <w:proofErr w:type="gramEnd"/>
      <w:r w:rsidRPr="009342F9">
        <w:rPr>
          <w:rFonts w:ascii="Arial" w:eastAsia="Times New Roman" w:hAnsi="Arial" w:cs="Arial"/>
          <w:color w:val="000000"/>
          <w:lang w:eastAsia="es-CO"/>
        </w:rPr>
        <w:t xml:space="preserve"> podrán acudir a los mecanismos establecidos en la ley para el cobro de las sumas contractuales a que haya lugar y para la recuperación del ahorro que se haya girado con destino al proyecto. </w:t>
      </w:r>
    </w:p>
    <w:p w14:paraId="58B2D00D" w14:textId="77777777" w:rsidR="00CC325A" w:rsidRPr="009342F9" w:rsidRDefault="00CC325A" w:rsidP="00FC79C1">
      <w:pPr>
        <w:spacing w:after="0" w:line="240" w:lineRule="auto"/>
        <w:jc w:val="both"/>
        <w:rPr>
          <w:rFonts w:ascii="Arial" w:eastAsia="Times New Roman" w:hAnsi="Arial" w:cs="Arial"/>
          <w:color w:val="000000"/>
          <w:lang w:eastAsia="es-CO"/>
        </w:rPr>
      </w:pPr>
    </w:p>
    <w:p w14:paraId="4E2BEAA9" w14:textId="10845C2C"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79" w:name="ver_30071031"/>
      <w:bookmarkEnd w:id="479"/>
    </w:p>
    <w:p w14:paraId="6281FB71" w14:textId="226D1784"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5</w:t>
      </w:r>
    </w:p>
    <w:p w14:paraId="2F97FC9D"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 PARA LA ASIGNACIÓN DEL SUBSIDIO OTORGADO EN EL MARCO DEL PROGRAMA QUE SE DESARROLLE A TRAVÉS DEL PATRIMONIO AUTÓNOMO</w:t>
      </w:r>
    </w:p>
    <w:p w14:paraId="74C2CF5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80" w:name="ver_30071032"/>
      <w:bookmarkEnd w:id="480"/>
    </w:p>
    <w:p w14:paraId="709992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2.1.1.3.1.5.1. Condiciones y requisitos para el acceso al subsidio familiar de vivienda. El patrimonio autónomo remitirá al representante de las Cajas de Compensación Familiar que se indique en el contrato de fiducia mercantil, el listado de los hogares propuestos por los oferentes de los proyectos seleccionados, para que se realice la verificación del cumplimiento de las condiciones establecidas en el artículo 2.1.1.3.1.3.1 de la presente sección. </w:t>
      </w:r>
    </w:p>
    <w:p w14:paraId="4E82E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376C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podrá solicitar al patrimonio autónomo el listado antes mencionado y/o sus anexos y tendrá la facultad de revisar en cualquier momento la consistencia y/o veracidad de la información suministrada. En todos los casos, los oferentes de los proyectos deberán suministrar al patrimonio autónomo, junto con el listado al que se refiere el presente artículo, como mínimo la siguiente información: </w:t>
      </w:r>
    </w:p>
    <w:p w14:paraId="393D3A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E931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Un formulario de postulación establecido por FONVIVIENDA, debidamente diligenciado y suscrito por uno o varios miembros mayores de edad del hogar postulante, o el tutor o curador, según el caso, que señale los datos de los miembros que conforman el hogar, con indicación de su información socioeconómica y la identificación del jefe del hogar; </w:t>
      </w:r>
    </w:p>
    <w:p w14:paraId="190EBD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876F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La identificación, por parte de quien suscriba el formulario de postulación, del proyecto de vivienda en donde aplicaría el subsidio familiar de vivienda en caso de ser otorgado en su favor. En todo caso, quien suscriba el formulario de postulación deberá manifestar que ninguno de los miembros del hogar se ha postulado para ser beneficiario en otro proyecto de vivienda de interés prioritario que haya sido seleccionado en el marco del programa a que se refiere la presente sección; </w:t>
      </w:r>
    </w:p>
    <w:p w14:paraId="17CB53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5D0A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Registro civil de matrimonio o declaración de la existencia de la unión marital de hecho, realizada de conformidad con lo establecido en la Ley 979 de 2005, cuando fuere el caso; </w:t>
      </w:r>
    </w:p>
    <w:p w14:paraId="0277C3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88EE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Fotocopia de la cédula de ciudadanía de los mayores de 18 años y registro civil de nacimiento de los demás miembros del hogar que se postula; </w:t>
      </w:r>
    </w:p>
    <w:p w14:paraId="6B3340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3D89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Carta de preaprobación de crédito por el valor correspondiente a los recursos faltantes para acceder a la solución de vivienda a adquirir, si fuere el caso, de acuerdo con lo establecido en la presente sección; </w:t>
      </w:r>
    </w:p>
    <w:p w14:paraId="5BC52D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6365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La autorización de quien suscriba el formulario de postulación, para que en el evento de resultar beneficiario el hogar del subsidio al que hace referencia la presente sección, los recursos se giren al oferente en los plazos y condiciones señalados en los términos de referencia de los procesos de selección; </w:t>
      </w:r>
    </w:p>
    <w:p w14:paraId="1E2A68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E640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g) En caso de ser beneficiario de un subsidio familiar de vivienda para adquisición de vivienda urbana nueva, otorgado por una Caja de Compensación Familiar en cualquier tiempo, o por FONVIVIENDA con anterioridad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presente sección, la autorización del jefe del hogar beneficiario del subsidio, para que el mismo sea girado al patrimonio autónomo o al </w:t>
      </w:r>
      <w:proofErr w:type="spellStart"/>
      <w:r w:rsidRPr="009342F9">
        <w:rPr>
          <w:rFonts w:ascii="Arial" w:eastAsia="Times New Roman" w:hAnsi="Arial" w:cs="Arial"/>
          <w:color w:val="000000"/>
          <w:lang w:eastAsia="es-CO"/>
        </w:rPr>
        <w:t>Fovis</w:t>
      </w:r>
      <w:proofErr w:type="spellEnd"/>
      <w:r w:rsidRPr="009342F9">
        <w:rPr>
          <w:rFonts w:ascii="Arial" w:eastAsia="Times New Roman" w:hAnsi="Arial" w:cs="Arial"/>
          <w:color w:val="000000"/>
          <w:lang w:eastAsia="es-CO"/>
        </w:rPr>
        <w:t xml:space="preserve"> de la Caja respectiva, según sea el caso. </w:t>
      </w:r>
    </w:p>
    <w:p w14:paraId="2B421B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1AFE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podrá entregar, junto con los documentos antes mencionados, aquel que acredite la existencia del ahorro del hogar, en los porcentajes y modalidades a que se refiere la presente sección. La acreditación se sujetará a lo establecido por el artículo 2.1.1.1.1.3.2.3 del presente decreto o las normas que lo modifiquen, adicionen o sustituyan y a las condiciones que defina el patrimonio autónomo. </w:t>
      </w:r>
    </w:p>
    <w:p w14:paraId="00AACE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C8C4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incluirá en el formulario la declaración juramentada de quienes lo suscriban, que se entenderá surtida con la firma del mismo, en la que se manifieste que el hogar cumple con las condiciones para ser beneficiario del programa a que se refiere la presente sección, que sus miembros no están incursos en inhabilidades para postularse y que los datos suministrados son ciertos, así como la autorización para verificar la información suministrada y la aceptación para ser excluido del proceso de selección en caso de verificarse que la información aportada no corresponda a la verdad. </w:t>
      </w:r>
    </w:p>
    <w:p w14:paraId="3835BE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D5A85C" w14:textId="40D0B3A4"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hogares deberán mantener las condiciones y requisitos para el acceso al subsidio familiar de vivienda desde la entrega por parte del oferente al patrimonio autónomo, del listado a que hace referencia este artículo, hasta el momento de la asignación del subsidio familiar de vivienda. </w:t>
      </w:r>
    </w:p>
    <w:p w14:paraId="21886223"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1FA878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Será responsabilidad de los miembros mayores de edad de los hogares, o el curador o tutor, según el caso, informar al oferente de los proyectos cualquier hecho que modifique de alguna manera las condiciones que le permiten ser beneficiario del programa al que se refiere la presente sección. En todo caso, todos los miembros del hogar indicados en el formulario de </w:t>
      </w:r>
      <w:proofErr w:type="gramStart"/>
      <w:r w:rsidRPr="009342F9">
        <w:rPr>
          <w:rFonts w:ascii="Arial" w:eastAsia="Times New Roman" w:hAnsi="Arial" w:cs="Arial"/>
          <w:color w:val="000000"/>
          <w:lang w:eastAsia="es-CO"/>
        </w:rPr>
        <w:t>postulación,</w:t>
      </w:r>
      <w:proofErr w:type="gramEnd"/>
      <w:r w:rsidRPr="009342F9">
        <w:rPr>
          <w:rFonts w:ascii="Arial" w:eastAsia="Times New Roman" w:hAnsi="Arial" w:cs="Arial"/>
          <w:color w:val="000000"/>
          <w:lang w:eastAsia="es-CO"/>
        </w:rPr>
        <w:t xml:space="preserve"> serán beneficiarios del subsidio familiar de vivienda, para todos los efectos. </w:t>
      </w:r>
    </w:p>
    <w:p w14:paraId="1D2AB2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0752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oferentes que tengan conocimiento, por cualquier medio y en cualquier momento, de la modificación de las condiciones de alguno de los hogares que hayan presentado dentro de los listados, o de que el hogar no cumple las condiciones señaladas para ser beneficiario del programa, tendrá la obligación de informarlo al patrimonio autónomo. </w:t>
      </w:r>
    </w:p>
    <w:p w14:paraId="49716345" w14:textId="409010E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1" w:name="ver_30071035"/>
      <w:bookmarkEnd w:id="481"/>
    </w:p>
    <w:p w14:paraId="1DFA3C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2.1.1.3.1.5.2. Revisión de la información. Las entidades otorgantes del subsidio o quienes estas indiquen tendrán la facultad de revisar en cualquier momento la consistencia de la información suministrada en el listado aportado por el oferente de los proyectos o en sus anexos. Si se determina que existe imprecisión en los datos entregados por el oferente del proyecto y/o en los documentos que lo acompañan, o en las condiciones o requisitos del hogar, se solicitará al oferente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dentro de los plazos establecidos en los términos de referencia del proceso de selección respectivo, o los otorgados por los órganos competentes del patrimonio autónomo, emita las aclaraciones del caso. Si dentro del plazo establecido no se subsanan las imprecisiones o se aclaran las presuntas irregularidades que se presenten, se rechazarán los hogares respecto de los cuales se hayan advertido las inconsistencias. </w:t>
      </w:r>
    </w:p>
    <w:p w14:paraId="34545B80" w14:textId="281D012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2" w:name="ver_30071076"/>
      <w:bookmarkEnd w:id="482"/>
    </w:p>
    <w:p w14:paraId="23471B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2.1.1.3.1.5.3. Falsedad o imprecisión en la información presentada. Si se adviene la presencia de presunta falsedad o imprecisión en la documentación o información presentada para acreditar los requisitos para ser beneficiario del subsidio familiar de vivienda, se solicitará al hogar y/o al oferente que dentro de los quince (15) días hábiles siguientes emita las aclaraciones del caso. Si dentro del plazo establecido no se aclaran las imprecisiones o se controvierte la presunta falsedad, habrá lugar a la restitución del subsidio familiar de vivienda otorgado, el cual se calculará al valor del salario mínimo legal mensual vigente al momento de su restitución, de acuerdo con lo establecido en el inciso segundo del artículo 8° de la Ley 3ª de 1991, modificado por el artículo 21 de la Ley 1537 de 2012. </w:t>
      </w:r>
    </w:p>
    <w:p w14:paraId="79FDEE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BE18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se comprueba la falsedad o la existencia de imprecisiones, de acuerdo con lo establecido en el presente artículo, con posterioridad a la asignación del subsidio, sin que se haya transferido la vivienda respectiva, se modificará el acto de asignación en el sentido de excluir el hogar respecto del cual se comprobó falsedad o existencia de imprecisiones y se solicitará al oferente proponer un nuevo hogar que cumpla con las condiciones establecidas en la presente sección. </w:t>
      </w:r>
    </w:p>
    <w:p w14:paraId="20CBD4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9608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cualquiera de los casos señalados en este artículo, ninguno de los miembros mayores de edad del hogar respecto del cual se adviertan las inconsistencias, podrá solicitar de nuevo un subsidio familiar de vivienda durante un término de diez (10) años, de conformidad con lo estipulado en el artículo 30 de la Ley 3ª de 1991. Adicionalmente, cuando se presenten los eventos señalados en el parágrafo 2° del artículo 8° de la Ley 3ª de 1991, modificado por el artículo 21 de la Ley 1537 de 2012, FONVIVIENDA o el patrimonio autónomo respectivo, dará traslado de las actuaciones realizadas a la Fiscalía General de la Nación, para que se inicien las investigaciones a que haya lugar. </w:t>
      </w:r>
    </w:p>
    <w:p w14:paraId="04E407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EDD8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todo caso, los listados contentivos de los hogares propuestos por el oferente de los proyectos seleccionados, para ser beneficiarios del programa a que hace referencia la presente sección, deberán ser presentados dentro de los plazos que se establezcan en los respectivos términos de referencia del proceso de selección, so pena de que pierda vigencia el certificado de compromiso de los recursos al que hace referencia el literal f) del artículo 2.1.1.3.1.1.6 de la presente sección y la instrucción irrevocable mencionada en el parágrafo del mismo artículo. </w:t>
      </w:r>
    </w:p>
    <w:p w14:paraId="198E75E3" w14:textId="519E7EE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3" w:name="ver_30071084"/>
      <w:bookmarkEnd w:id="483"/>
    </w:p>
    <w:p w14:paraId="094D49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2.1.1.3.1.5.4. Sustitución de hogares. Las Cajas de Compensación Familiar o FONVIVIENDA, cuando hagan uso de la facultad contemplada en el artículo 2.1.1.3.1.5.2 de la presente sección, una vez verificada la información, devolverán al patrimonio autónomo el listado de los hogares que presenten alguna de las siguientes condiciones, para que solicite su sustitución al oferente de los proyectos: </w:t>
      </w:r>
    </w:p>
    <w:p w14:paraId="75150A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3240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Cuando alguno de los miembros del hogar propuesto haya sido beneficiario de un subsidio familiar de vivienda con el cual haya adquirido una vivienda o construido una solución habitacional, aun cuando la vivienda haya sido transferida, es decir, cuando el subsidio familiar de vivienda haya sido efectivamente aplicado en una solución de vivienda; </w:t>
      </w:r>
    </w:p>
    <w:p w14:paraId="79E11E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4BCC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Cuando alguno de los miembros del hogar propuesto haya sido beneficiario de una cobertura de la tasa de interés; </w:t>
      </w:r>
    </w:p>
    <w:p w14:paraId="12E64A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B1AA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Cuando alguno de los miembros del hogar propuesto sea propietario de una o más viviendas; </w:t>
      </w:r>
    </w:p>
    <w:p w14:paraId="65EDB6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7B0A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Cuando alguno de los miembros del hogar propuesto haya sido sancionado conforme a lo dispuesto por el artículo 30 de la Ley 3ª de 1991 o las normas que la modifiquen, adicionen o sustituyan. </w:t>
      </w:r>
    </w:p>
    <w:p w14:paraId="6A5720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8182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causales señaladas en los literales a) y c) no aplicarán cuando el beneficiario haya perdido la vivienda por imposibilidad de pago del crédito con el cual la adquirió, ni cuando la vivienda haya resultado totalmente destruida o quedado inhabitable como consecuencia de desastres naturales, calamidades públicas, emergencias, o atentados terroristas. </w:t>
      </w:r>
    </w:p>
    <w:p w14:paraId="2283C5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696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todo caso, la sustitución de hogares a que se refiere el presente artículo deberá realizarse dentro de los plazos establecidos en los términos de referencia o en los cronogramas aprobados por el supervisor del proyecto y/o el Comité Técnico del Fideicomiso. </w:t>
      </w:r>
    </w:p>
    <w:p w14:paraId="1EB40EB2" w14:textId="0C31027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4" w:name="ver_30071088"/>
      <w:bookmarkEnd w:id="484"/>
    </w:p>
    <w:p w14:paraId="7CA48C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2.1.1.3.1.5.5. Criterios de desembolso. Cuando se determinen los hogares beneficiarios de cada uno de los proyectos, una vez surtido el proceso de verificación de los listados aportados por los oferentes, el patrimonio autónomo realizará los desembolsos teniendo en cuenta los siguientes criterios: </w:t>
      </w:r>
    </w:p>
    <w:p w14:paraId="4FBEED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A7A2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Los recursos provenientes de las Cajas de Compensación Familiar se otorgarán de acuerdo con las prioridades señaladas en el artículo 68 de la Ley 49 de 1990; </w:t>
      </w:r>
    </w:p>
    <w:p w14:paraId="3C00A7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2DD2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Los recursos provenientes de FONVIVIENDA se asignarán de manera prioritaria a los hogares independientes o informales que cumplan con las condiciones señaladas en la presente sección. Cuando los recursos a los que hace referencia el literal a) no sean suficientes para cubrir los subsidios destinados a hogares formales, estos podrán ser cubiertos por FONVIVIENDA. </w:t>
      </w:r>
    </w:p>
    <w:p w14:paraId="78DFD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79AF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Para efectos de la asignación y desembolso de los recursos del subsidio familiar de vivienda otorgado por las Cajas de Compensación Familiar, el representante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xml:space="preserve"> ante el Comité Financiero indicará los montos que deben descontarse de cada una de las subcuentas de las Cajas de Compensación Familiar, para ser desembolsados a cada oferente. El representante de FONVIVIENDA ante el mismo Comité indicará, con fundamento en el informe presentado por el representante de las Cajas de Compensación Familiar, cuál es </w:t>
      </w:r>
      <w:proofErr w:type="gramStart"/>
      <w:r w:rsidRPr="009342F9">
        <w:rPr>
          <w:rFonts w:ascii="Arial" w:eastAsia="Times New Roman" w:hAnsi="Arial" w:cs="Arial"/>
          <w:color w:val="000000"/>
          <w:lang w:eastAsia="es-CO"/>
        </w:rPr>
        <w:t>el monto a descontar</w:t>
      </w:r>
      <w:proofErr w:type="gramEnd"/>
      <w:r w:rsidRPr="009342F9">
        <w:rPr>
          <w:rFonts w:ascii="Arial" w:eastAsia="Times New Roman" w:hAnsi="Arial" w:cs="Arial"/>
          <w:color w:val="000000"/>
          <w:lang w:eastAsia="es-CO"/>
        </w:rPr>
        <w:t xml:space="preserve"> de la subcuenta de los recursos de FONVIVIENDA. </w:t>
      </w:r>
    </w:p>
    <w:p w14:paraId="31556386" w14:textId="3E5281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5" w:name="ver_30071091"/>
      <w:bookmarkEnd w:id="485"/>
    </w:p>
    <w:p w14:paraId="33D7E0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2.1.1.3.1.5.6. Obligaciones de las cajas de compensación familiar. Las Cajas de Compensación Familiar deberán: </w:t>
      </w:r>
    </w:p>
    <w:p w14:paraId="7BC0DA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7E95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Apropiar los recursos de los subsidios a los que hace referencia la presente sección y girarlos de acuerdo con lo señalado en el mismo y en el contrato de fiducia mercantil; </w:t>
      </w:r>
    </w:p>
    <w:p w14:paraId="032960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7937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Apoyar a los oferentes en la promoción y/o venta de los proyectos seleccionados, cuando aquellos lo soliciten; </w:t>
      </w:r>
    </w:p>
    <w:p w14:paraId="765F62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54EE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Verificar la información presentada por los hogares propuestos por el oferente de los proyectos e informar el resultado al patrimonio autónomo; </w:t>
      </w:r>
    </w:p>
    <w:p w14:paraId="09553D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33FB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Asignar los subsidios familiares de vivienda que deban ser otorgados con cargo a sus recursos. </w:t>
      </w:r>
    </w:p>
    <w:p w14:paraId="6263204A" w14:textId="4DB9CE7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6" w:name="ver_30071095"/>
      <w:bookmarkEnd w:id="486"/>
    </w:p>
    <w:p w14:paraId="0FDA92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2.1.1.3.1.5.7. Comunicación de verificación de listados. El patrimonio autónomo comunicará al oferente de los proyectos el resultado de la verificación de los listados, así como la fecha de expedición del acto de asignación de los subsidios por parte de la entidad otorgante, para que el oferente informe dicho resultado a los beneficiarios. Respecto de aquellos hogares que, de acuerdo con el resultado del proceso de verificación, no cumplan los requisitos establecidos en la sección, el oferente podrá presentar observaciones tendientes a acreditar su cumplimiento, únicamente dentro de los términos definidos por el patrimonio autónomo. </w:t>
      </w:r>
    </w:p>
    <w:p w14:paraId="4F30F7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A346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desembolso del subsidio familiar de vivienda estará condicionado a que el hogar potencialmente beneficiario cumpla con las demás condiciones requeridas para el cierre financiero necesario para la adquisición de la vivienda y a que el oferente del proyecto cumpla con las condiciones y los plazos definidos en los términos de referencia del proceso de selección o en los cronogramas aprobados por el supervisor de los proyectos y/o por el Comité Técnico del Fideicomiso. </w:t>
      </w:r>
    </w:p>
    <w:p w14:paraId="64E9CF1F" w14:textId="2725F3B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7" w:name="ver_30071103"/>
      <w:bookmarkEnd w:id="487"/>
    </w:p>
    <w:p w14:paraId="78BBBD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2.1.1.3.1.5.8. Solicitud de investigación. Cuando se compruebe que se recibió el beneficio del subsidio familiar de vivienda de manera fraudulenta o utilizando documentos falsos, se solicitará a la autoridad competente el inicio de una investigación por el delito de Fraude en Subvenciones señalado en el artículo 403 A de la Ley 599 de 2000 y en el parágrafo 2° del artículo 21 de la Ley 1537 de 2012. </w:t>
      </w:r>
    </w:p>
    <w:p w14:paraId="556FAC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4586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beneficiarios que por sentencia ejecutoriada hubiesen sido condenados por haber presentado documentos o información falsos con el objeto de acceder a un subsidio familiar de vivienda, quedarán inhabilitados por el término de diez (10) años para volver a solicitarlo. </w:t>
      </w:r>
    </w:p>
    <w:p w14:paraId="0B9A4798" w14:textId="66FB9E5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88" w:name="ver_30110582"/>
      <w:bookmarkStart w:id="489" w:name="ver_30110580"/>
      <w:bookmarkEnd w:id="488"/>
    </w:p>
    <w:p w14:paraId="38B93C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2.1.1.3.1.5.9. Legalización del subsidio familiar de vivienda. El subsidio familiar de vivienda de que trata el artículo 2.1.1.3.1.2.1 de la presente sección, se entenderá legalizado con los siguientes documentos: </w:t>
      </w:r>
    </w:p>
    <w:p w14:paraId="354F1F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7365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Copia de la escritura pública contentiva del título de adquisición del inmueble y el certificado de tradición y libertad del inmueble, con una vigencia no mayor a treinta (30) días, que permitan evidenciar la adquisición de la vivienda por el hogar beneficiario. En todo caso, el oferente será responsable por el desarrollo de las actividades necesarias para la debida inscripción de la escritura pública en el folio de matrícula inmobiliaria correspondiente. </w:t>
      </w:r>
    </w:p>
    <w:p w14:paraId="60FDCE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F881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del documento que acredita la asignación del subsidio familiar de vivienda. </w:t>
      </w:r>
    </w:p>
    <w:p w14:paraId="6F83CA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F863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Certificado de existencia de la vivienda, emitido por el supervisor que designe o contrate el patrimonio autónomo al que se refiere la presente sección”. </w:t>
      </w:r>
    </w:p>
    <w:p w14:paraId="2D0D10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4A90A0"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490" w:name="ver_30071230"/>
      <w:bookmarkEnd w:id="489"/>
      <w:bookmarkEnd w:id="490"/>
      <w:r w:rsidRPr="009342F9">
        <w:rPr>
          <w:rFonts w:ascii="Arial" w:eastAsia="Times New Roman" w:hAnsi="Arial" w:cs="Arial"/>
          <w:b/>
          <w:bCs/>
          <w:color w:val="000000"/>
          <w:lang w:eastAsia="es-CO"/>
        </w:rPr>
        <w:t>SUBSECCIÓN 6</w:t>
      </w:r>
    </w:p>
    <w:p w14:paraId="259B3BA5"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DISPOSICIONES</w:t>
      </w:r>
    </w:p>
    <w:p w14:paraId="4F4BE39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91" w:name="ver_30071234"/>
      <w:bookmarkEnd w:id="491"/>
    </w:p>
    <w:p w14:paraId="2D67BA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2.1.1.3.1.6.1. Restitución del valor del subsidio familiar de vivienda. Cuando los beneficiarios del programa al que se refiere esta sección transfieran cualquier derecho real sobre la solución de vivienda o dejen de residir en ella antes de haber transcurrido diez (10) años desde la fecha de su transferencia, sin mediar permiso específico fundamentado en razones de fuerza mayor, en los términos a que se refiere el artículo 8° de la Ley 3ª de 1991, modificado por el artículo 21 de la Ley 1537 de 2012, previo desarrollo del procedimiento a que haya lugar, deberán girar a la cuenta que indique la entidad otorgante el monto de los subsidios asignados. Dicha entidad podrá iniciar las acciones judiciales o extrajudiciales tendientes a la recuperación efectiva de dichos recursos. </w:t>
      </w:r>
    </w:p>
    <w:p w14:paraId="7F5C51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AB35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disposición contenida en el presente artículo no impide la posibilidad para el beneficiario del subsidio, de constituir de acuerdo con las normas vigentes, una hipoteca a favor de la entidad otorgante del crédito requerido para lograr el cierre financiero de la vivienda. </w:t>
      </w:r>
    </w:p>
    <w:p w14:paraId="7CB18D85" w14:textId="357D60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92" w:name="ver_30071243"/>
      <w:bookmarkEnd w:id="492"/>
    </w:p>
    <w:p w14:paraId="428F1F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2.1.1.3.1.6.2. Apropiación y compromisos de recursos del presupuesto nacional. Los recursos que destine el Gobierno Nacional para el desarrollo del programa al que hace referencia la presente sección, serán apropiados en el Presupuesto General de la Nación a través de FONVIVIENDA o quien haga sus veces, y serán comprometidos con cargo a su presupuesto de inversión. La apropiación de estos recursos deberá guardar concordancia con la disponibilidad fiscal establecida tanto en el Marco de Gasto de Mediano Plazo del sector, como en el Marco Fiscal de Mediano Plazo. </w:t>
      </w:r>
    </w:p>
    <w:p w14:paraId="03E4CDB9" w14:textId="5E9FE844" w:rsidR="005A1FCF"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93" w:name="ver_30071244"/>
      <w:bookmarkEnd w:id="493"/>
    </w:p>
    <w:p w14:paraId="281FC2AE" w14:textId="77777777" w:rsidR="00847FA1" w:rsidRPr="009342F9" w:rsidRDefault="00847FA1" w:rsidP="00FC79C1">
      <w:pPr>
        <w:spacing w:after="0" w:line="240" w:lineRule="auto"/>
        <w:jc w:val="both"/>
        <w:rPr>
          <w:rFonts w:ascii="Arial" w:eastAsia="Times New Roman" w:hAnsi="Arial" w:cs="Arial"/>
          <w:color w:val="000000"/>
          <w:lang w:eastAsia="es-CO"/>
        </w:rPr>
      </w:pPr>
    </w:p>
    <w:p w14:paraId="74C3A44F" w14:textId="05D628B8"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10836E5A"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COFINANCIACIÓN AL PROGRAMA DE VIVIENDA DE INTERÉS PRIORITARIO PARA AHORRADORES CON RECURSOS DEL SISTEMA GENERAL DE REGALÍAS</w:t>
      </w:r>
    </w:p>
    <w:p w14:paraId="1D2D2BB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494" w:name="ver_30071246"/>
      <w:bookmarkEnd w:id="494"/>
    </w:p>
    <w:p w14:paraId="68F2EE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2.1.1.3.2.1. Proyectos de inversión con recursos del Sistema General de Regalías. Las Entidades Territoriales interesadas en presentar proyectos de inversión en los procesos de selección en los cuales tengan la posibilidad de ser oferentes, que se adelanten en el marco del Programa de Vivienda de Interés Prioritario para Ahorradores, y que pretendan acceder a los recursos del Sistema General de Regalías, deben someterse a lo establecido en la sección 2.1.1.3.1 del presente decreto y a los procedimientos establecidos y los que se señalen por las autoridades competentes del Sistema General de Regalías. </w:t>
      </w:r>
    </w:p>
    <w:p w14:paraId="028A6DEE" w14:textId="0D9E49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95" w:name="ver_30071248"/>
      <w:bookmarkEnd w:id="495"/>
    </w:p>
    <w:p w14:paraId="13A7F2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2.1.1.3.2.2. Acuerdo de aprobación. Los proyectos de inversión que se oferten al patrimonio autónomo a que se refiere la sección 2.1.1.3.1 del presente decreto, por los proponentes que tengan dentro de sus miembros a una entidad territorial y que incluyan como fuente de financiación recursos del Sistema General de Regalías, deben presentar como soporte de esta fuente el respectivo acuerdo de aprobación del Órgano Colegiado de Administración y Decisión - OCAD, de conformidad con las normas que rigen el mencionado Sistema. </w:t>
      </w:r>
    </w:p>
    <w:p w14:paraId="2D1B0D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F3F6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proyectos de inversión que se oferten al patrimonio autónomo, en las condiciones establecidas en este artículo, deben someterse a los términos de referencia del respectivo proceso de selección que adelante el patrimonio autónomo señalado en la sección 2.1.1.3.1 del presente decreto. </w:t>
      </w:r>
    </w:p>
    <w:p w14:paraId="073DCB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B22F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aprobación de recursos del Sistema General de Regalías para un determinado proyecto de inversión no implica la selección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por parte del patrimonio autónomo que se constituya para el desarrollo del Programa de Vivienda de Interés Prioritario para Ahorradores. </w:t>
      </w:r>
    </w:p>
    <w:p w14:paraId="16DFB6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6C3F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proyectos de inversión que se presenten a consideración de los Órganos Colegiados de Administración y Decisión - OCAD, serán viabilizados por el Departamento Nacional de Planeación en el marco de lo dispuesto por el artículo 26 de la Ley 1530 de 2012. </w:t>
      </w:r>
    </w:p>
    <w:p w14:paraId="16D6AF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24DE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Los recursos del Sistema General de Regalías que financien proyectos de inversión en el marco del Programa de Vivienda de Interés Prioritario para </w:t>
      </w:r>
      <w:proofErr w:type="gramStart"/>
      <w:r w:rsidRPr="009342F9">
        <w:rPr>
          <w:rFonts w:ascii="Arial" w:eastAsia="Times New Roman" w:hAnsi="Arial" w:cs="Arial"/>
          <w:color w:val="000000"/>
          <w:lang w:eastAsia="es-CO"/>
        </w:rPr>
        <w:t>Ahorradores,</w:t>
      </w:r>
      <w:proofErr w:type="gramEnd"/>
      <w:r w:rsidRPr="009342F9">
        <w:rPr>
          <w:rFonts w:ascii="Arial" w:eastAsia="Times New Roman" w:hAnsi="Arial" w:cs="Arial"/>
          <w:color w:val="000000"/>
          <w:lang w:eastAsia="es-CO"/>
        </w:rPr>
        <w:t xml:space="preserve"> deben ejecutarse con estricta sujeción al régimen presupuestal definido por la Ley 1530 de 2012 y al régimen contractual vigente y aplicable al ejecutor. </w:t>
      </w:r>
    </w:p>
    <w:p w14:paraId="7DDBCFD8" w14:textId="3D9939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96" w:name="ver_30071251"/>
      <w:bookmarkEnd w:id="496"/>
    </w:p>
    <w:p w14:paraId="74C19A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2.1.1.3.2.3. Ajustes del acuerdo del OCAD. Si el proyecto de inversión ofrecido en las condiciones señaladas en la presente sección se selecciona con un número de cupos para asignación de subsidios familiares de vivienda inferior al número de viviendas propuesto ante el OCAD, se deberá realizar el ajuste ante dicho órgano. En este caso, la disponibilidad de recursos para la asignación de subsidios familiares de vivienda a los hogares adquirentes de las viviendas que se ejecuten en el respectivo proyecto quedará sujeta a la expedición del Acuerdo del OCAD en la cual se demuestre la realización del respectivo ajuste, todo de conformidad con las regulaciones expedidas por la Comisión Rectora del SGR. </w:t>
      </w:r>
    </w:p>
    <w:p w14:paraId="4248D6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573A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proyecto de inversión ofrecido al patrimonio autónomo en las condiciones señaladas en este artículo no es seleccionado, la entidad territorial competente deberá solicitar al respectivo OCAD, la liberación de los recursos, para la aprobación de otros proyectos. </w:t>
      </w:r>
    </w:p>
    <w:p w14:paraId="60F5EE29" w14:textId="38A44FC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97" w:name="ver_30071252"/>
      <w:bookmarkEnd w:id="497"/>
    </w:p>
    <w:p w14:paraId="55BE84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2.1.1.3.2.4. Acta de selección del proyecto. Si el proyecto de inversión ofrecido en las condiciones señaladas en la presente sección es seleccionado, el ejecutor del proyecto deberá aportar a la Secretaria Técnica del OCAD, copia del acta de selección del proyecto, suscrita por el Comité Técnico del patrimonio autónomo, y para efectos del cumplimiento de lo establecido en el Título III del Acuerdo 13 de 2012, deberá acreditar los requisitos establecidos en el artículo 59 o las normas que lo modifiquen, adicionen o sustituyan. </w:t>
      </w:r>
    </w:p>
    <w:p w14:paraId="1D700F12" w14:textId="629C9C8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98" w:name="ver_30071254"/>
      <w:bookmarkEnd w:id="498"/>
    </w:p>
    <w:p w14:paraId="6EFEF7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2.1.1.3.2.5. Precios de ejecución de proyectos de inversión. Los proyectos de inversión que se oferten al patrimonio autónomo a que se refiere la sección 2.1.1.3.1 del presente decreto y que incluyan como fuente de financiación recursos del Sistema General de Regalías, podrán ser ejecutados en precios de propiedad de entidades públicas o privadas, en la medida en que sean escogidos de acuerdo con lo establecido en los términos de referencia del respectivo proceso de selección. </w:t>
      </w:r>
    </w:p>
    <w:p w14:paraId="67C7C621" w14:textId="417AA670"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499" w:name="ver_30071259"/>
      <w:bookmarkEnd w:id="499"/>
    </w:p>
    <w:p w14:paraId="77D56BF5" w14:textId="7BB4F27E"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519B86C5"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COBERTURA A LA TASA DE INTERÉS PARA EL PROGRAMA DE VIVIENDA DE INTERES PRIORITARIO PARA AHORRADORES</w:t>
      </w:r>
    </w:p>
    <w:p w14:paraId="568E1BA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00" w:name="ver_30071262"/>
      <w:bookmarkEnd w:id="500"/>
    </w:p>
    <w:p w14:paraId="24C747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2.1.1.3.3.1. Cobertura de tasa de interés para la financiación de vivienda de interés social prioritaria nueva urbana para ahorradores. El Gobierno Nacional, a través del Fondo de Reserva para la Estabilización de la Cartera Hipotecaria (FRECH), administrado por el Banco de la República, ofrecerá coberturas de tasa de interés que faciliten la financiación de vivienda de interés social prioritaria nueva urbana, a los potenciales deudores de crédito pertenecientes a los hogares que resulten beneficiarios del “Programa de Vivienda de Interés Prioritario para Ahorradores” a que hace referencia la sección 2.1.1.3.1 del presente decreto, para la compra de viviendas que se ejecuten en los proyectos seleccionados en el marco del mencionado programa, a través de créditos otorgados por los establecimientos de crédito de acuerdo con las condiciones y términos establecidos en la presente sección, y sus modificaciones. </w:t>
      </w:r>
    </w:p>
    <w:p w14:paraId="0C1D72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C845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Banco de la República, como administrador del FRECH, creará una subcuenta para el manejo de los recursos requeridos para la cobertura a la que se refiere la presente sección, separada y diferenciada contablemente de los demás recursos del FRECH, la cual se denominará FRECH - Ley 1450 de 2011 VIP Ahorradores. </w:t>
      </w:r>
    </w:p>
    <w:p w14:paraId="7E11F0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4C66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cobertura consistirá en una permuta financiera calculada sobre la tasa de interés pactada en créditos nuevos otorgados por los establecimientos de crédito a deudores que cumplan las condiciones que se establecen en la presente sección y en la normativa aplicable. </w:t>
      </w:r>
    </w:p>
    <w:p w14:paraId="3B0574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5CB6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cobertura solo será aplicable durante los primeros siete (7) años de vigencia contados a partir de la fecha de desembolso del crédito. </w:t>
      </w:r>
    </w:p>
    <w:p w14:paraId="0ECB80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0A62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permuta financiera consiste en un intercambio de flujos que se presenta cuando el establecimiento de crédito entrega al FRECH - Ley 1450 de 2011 VIP Ahorradores, el equivalente mensual de la tasa de interés pactada en el crédito, descontando lo correspondiente a la cobertura y el FRECH - Ley 1450 de 2011 VIP Ahorradores, a su vez entrega al establecimiento de crédito el equivalente mensual de la tasa de interés pactada en el crédito. </w:t>
      </w:r>
    </w:p>
    <w:p w14:paraId="197C91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ECD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trate de operaciones en UVR, el equivalente mensual de la tasa de interés pactada en el crédito se convertirá a su equivalente en pesos. </w:t>
      </w:r>
    </w:p>
    <w:p w14:paraId="4ACDA9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E6F6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pago producto de la permuta financiera por parte del FRECH - Ley 1450 de 2011 VIP Ahorradores a los establecimientos de crédito se realizará por el monto neto de las obligaciones generadas mes a mes, derivadas del intercambio de flujos. </w:t>
      </w:r>
    </w:p>
    <w:p w14:paraId="0D9142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AD4C2D" w14:textId="77777777"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El Fondo Nacional de Vivienda (FONVIVIENDA), señalará al Banco de la República y a los establecimientos de crédito, entre otras cosas, los términos y condiciones para realizar el intercambio de flujos derivados de la cobertura y precisará el alcance y contenido de los contratos marco de cobertura a que se refiere el artículo 2.1.1.3.3.10 de esta sección. </w:t>
      </w:r>
    </w:p>
    <w:p w14:paraId="1DBAE49A" w14:textId="77777777" w:rsidR="007C7D44" w:rsidRPr="009342F9" w:rsidRDefault="007C7D44" w:rsidP="00FC79C1">
      <w:pPr>
        <w:spacing w:after="0" w:line="240" w:lineRule="auto"/>
        <w:jc w:val="both"/>
        <w:rPr>
          <w:rFonts w:ascii="Arial" w:eastAsia="Times New Roman" w:hAnsi="Arial" w:cs="Arial"/>
          <w:color w:val="000000"/>
          <w:lang w:eastAsia="es-CO"/>
        </w:rPr>
      </w:pPr>
    </w:p>
    <w:p w14:paraId="49DBE27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01" w:name="ver_30071264"/>
      <w:bookmarkEnd w:id="501"/>
      <w:r w:rsidRPr="009342F9">
        <w:rPr>
          <w:rFonts w:ascii="Arial" w:eastAsia="Times New Roman" w:hAnsi="Arial" w:cs="Arial"/>
          <w:color w:val="000000"/>
          <w:lang w:eastAsia="es-CO"/>
        </w:rPr>
        <w:t>Artículo 2.1.1.3.3.2. Cobertura. La cobertura prevista en la presente sección corresponderá a cinco (5) puntos porcentuales liquidados sobre el saldo remanente del crédito otorgado por el establecimiento de crédito, para la compra de viviendas que se ejecuten en proyectos seleccionados en el marco del “Programa de Vivienda de Interés Prioritario para Ahorradores”. </w:t>
      </w:r>
    </w:p>
    <w:p w14:paraId="138CC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538C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deudor o los deudores del crédito beneficiario de la cobertura, durante la vigencia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pagarán mensualmente a los establecimientos de crédito, el equivalente mensual de la tasa de interés pactada para el respectivo período, descontando lo correspondiente a la cobertura, de acuerdo con lo establecido en el presente artículo. Cuando se trate de operaciones en UVR, el equivalente mensual de la tasa de interés pactada en el crédito se convertirá a pesos. </w:t>
      </w:r>
    </w:p>
    <w:p w14:paraId="6F3171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E292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que por cualquier circunstancia el establecimiento de crédito cobre al deudor o deudores del crédito una tasa de interés diferente a la pactada, la tasa de interés efectivamente cobrada será la utilizada para el cálculo del intercambio de flujos derivado de la cobertura. En ningún caso la cobertura resultante podrá ser superior a la tasa pactada del crédito o a la efectivamente cobrada al deudor o los deudores del crédito, según sea el caso. </w:t>
      </w:r>
    </w:p>
    <w:p w14:paraId="4D2968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9FA6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Fondo Nacional de Vivienda (FONVIVIENDA) definirá el número de coberturas disponibles para los créditos que serán objeto del beneficio aquí previsto. En todo caso, FONVIVIENDA podrá optar por modificar el número de coberturas. </w:t>
      </w:r>
    </w:p>
    <w:p w14:paraId="5E28CB9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02" w:name="ver_30071268"/>
      <w:bookmarkEnd w:id="502"/>
    </w:p>
    <w:p w14:paraId="5E17F4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2.1.1.3.3.3. Condiciones para el acceso a la cobertura. El deudor o los deudores del crédito, para acceder a la cobertura deberán cumplir las siguientes condiciones además de las previstas en esta sección: </w:t>
      </w:r>
    </w:p>
    <w:p w14:paraId="581110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B948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Ser beneficiario del subsidio familiar de vivienda en el marco del “Programa de Vivienda de Interés Prioritario para Ahorradores” de que trata la sección 2.1.1.3.1 del presente decreto y las normas que lo modifiquen, adicionen o sustituyan. </w:t>
      </w:r>
    </w:p>
    <w:p w14:paraId="5C2C15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540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 haber sido beneficiario a cualquier título de las coberturas establecidas en la presente sección o de aquellas otorgadas en desarrollo de lo dispuesto en el Decreto Único del Sector de Hacienda y Crédito Público y en el presente decreto y las normas que los reglamenten, modifiquen, adicionen o sustituyan. </w:t>
      </w:r>
    </w:p>
    <w:p w14:paraId="0CDD2A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AF0C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Que el desembolso del crédito se realice dentro de los plazos que definan los términos de referencia de los procesos de selección de los proyectos que se oferten al patrimonio autónomo a que se refiere la sección 2.1.1.3.1 del presente decreto y las normas que lo reglamenten, modifiquen, adicionen o sustituyan. Estos plazos solo podrán ser modificados por autorización del supervisor del proyecto y/o del Comité Técnico, de acuerdo con las condiciones que se establezcan en los mismos términos de referencia. </w:t>
      </w:r>
    </w:p>
    <w:p w14:paraId="256C2A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99DE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plazos para el desembolso de los créditos definidos en los términos de referencia de los procesos de selección de los proyectos, a que se refiere la sección 2.1.1.3.1 del presente decreto, deberán estar comprendidos dentro de las fechas de desembolso establecidas en el numeral 2 del artículo 2.1.1.3.3.4 de esta sección. </w:t>
      </w:r>
    </w:p>
    <w:p w14:paraId="470B06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0E61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acceder a la cobertura de que trata la presente sección, los potenciales beneficiarios deberán manifestar por escrito al establecimiento de crédito antes del desembolso del crédito su intención de recibirla, señalando expresamente que conocen y aceptan los términos y condiciones para el acceso, vigencia y terminación anticipada de la cobertura. </w:t>
      </w:r>
    </w:p>
    <w:p w14:paraId="7BB286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E4EB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definirá cuando sea el caso, el alcance de las condiciones para acceder a la cobertura de que trata la presente sección. </w:t>
      </w:r>
    </w:p>
    <w:p w14:paraId="0B30E2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6650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verificarán que el deudor o deudores del crédito pertenezcan a hogares que resulten beneficiarios del subsidio familiar de vivienda al que hace referencia el artículo 2.1.1.3.1.2.3 del presente decreto, con la copia del acto de asignación del subsidio familiar de vivienda emitido por las Cajas de Compensación Familiar o FONVIVIENDA, el cual deberá indicar expresamente que se trata de un subsidio en el marco del “Programa de Vivienda de Interés Prioritario para Ahorradores” y cuál es el proyecto de vivienda en el cual podrá ser ejecutado. </w:t>
      </w:r>
    </w:p>
    <w:p w14:paraId="0935D3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114C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Respecto al cumplimiento de la condición del numeral 3 de este artículo, los establecimientos de crédito solicitarán al patrimonio autónomo que se constituya para el manejo de los recursos a que hace referencia el artículo 2.1.1.3.1.1.3 del presente decreto, certificación en la que expresamente consten los plazos definidos en los términos de referencia de los procesos de selección de los proyectos, y/o por el Comité Técnico del Fideicomiso para el desembolso de los créditos. Se deberá hacer la solicitud indicando el proyecto específico en el cual se desarrollará la vivienda que se pretende adquirir por el hogar que solicita el crédito hipotecario. </w:t>
      </w:r>
    </w:p>
    <w:p w14:paraId="3FC2C6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4C82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Con las verificaciones que realicen los establecimientos de crédito de los numerales 1, 2 y 3 del presente artículo, se acreditará el cumplimiento de estas condiciones y no habrá lugar a verificaciones adicionales por parte del Banco de la República, como administrador del FRECH. </w:t>
      </w:r>
    </w:p>
    <w:p w14:paraId="3CC4FB97" w14:textId="050315C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03" w:name="ver_30109529"/>
      <w:bookmarkStart w:id="504" w:name="ver_30109528"/>
      <w:bookmarkEnd w:id="503"/>
    </w:p>
    <w:p w14:paraId="6BF4A7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2.1.1.3.3.4. Créditos elegibles. La cobertura se aplicará a los créditos que cumplan, como mínimo, con las condiciones que se relacionan a continuación y las demás que se prevean en la presente sección y sus modificaciones: </w:t>
      </w:r>
    </w:p>
    <w:p w14:paraId="23D9E6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6A46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Financiación objeto de la cobertura: Los créditos que otorguen los establecimientos de crédito para financiar la compra de una vivienda de interés social prioritaria nueva urbana, que se ejecute en los proyectos seleccionados en el marco del “Programa de Vivienda de Interés Prioritario para Ahorradores” de que trata la sección 2.1.1.3.1 del presente decreto y sus modificaciones y, que cumplan con las condiciones establecidas en esta sección. </w:t>
      </w:r>
    </w:p>
    <w:p w14:paraId="7D1BD6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121A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Por vivienda de interés social prioritaria nueva urbana se entenderá aquella cuyo valor sea hasta de setenta salarios mínimos legales mensuales vigentes (70 SMLMV), que se encuentre en proyecto, en etapa de preventa, en construcción y la que estando terminada no haya sido habitada. </w:t>
      </w:r>
    </w:p>
    <w:p w14:paraId="417FE1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F199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Fecha de desembolso: Créditos que se desembolsen entre el 1º de febrero de 2014 y el 31 de diciembre de 2017 o hasta el agotamiento del número de coberturas que defina el Fondo Nacional de Vivienda (Fonvivienda), sin exceder en este último caso la fecha anteriormente prevista, en el marco del “Programa de Vivienda de Interés Prioritario para Ahorradores a que hace referencia la sección 2.1.1.3.1 del presente decreto y sus modificaciones </w:t>
      </w:r>
    </w:p>
    <w:p w14:paraId="0C9360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FBA1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Unicidad: La cobertura se otorgará por una sola vez y se aplicará a todos los deudores del crédito, a cualquier título. </w:t>
      </w:r>
    </w:p>
    <w:p w14:paraId="51235A17" w14:textId="7FCB0C9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05" w:name="ver_30219295"/>
      <w:bookmarkStart w:id="506" w:name="ver_30071294"/>
      <w:bookmarkEnd w:id="504"/>
      <w:bookmarkEnd w:id="505"/>
    </w:p>
    <w:p w14:paraId="5443F8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2.1.1.3.3.5. Terminación anticipada de la cobertura. La cobertura se terminará en forma anticipada en los siguientes eventos: </w:t>
      </w:r>
    </w:p>
    <w:p w14:paraId="4EB25E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EF17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Por pago anticipado del crédito. </w:t>
      </w:r>
    </w:p>
    <w:p w14:paraId="0E7054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620F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Por mora en el pago de tres (3) cuotas consecutivas a cargo de los deudores. En este caso, la cobertura se perderá a partir del día siguiente al vencimiento de la última cuota incumplida. </w:t>
      </w:r>
    </w:p>
    <w:p w14:paraId="7B00B5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4CF0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Por petición de los deudores. </w:t>
      </w:r>
    </w:p>
    <w:p w14:paraId="53AC2C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45DB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Por cesión del crédito por parte del deudor. </w:t>
      </w:r>
    </w:p>
    <w:p w14:paraId="0611A3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C1FD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Por reestructuración del crédito que implique el incremento de los montos o saldos de las obligaciones o ampliación del plazo de los créditos. </w:t>
      </w:r>
    </w:p>
    <w:p w14:paraId="461841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9EC1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Por aceleración del plazo conforme a los términos contractuales. </w:t>
      </w:r>
    </w:p>
    <w:p w14:paraId="046E93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0F96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cobertura se mantendrá vigente en los casos de cesión, venta o enajenación de la cartera con cobertura, entre establecimientos de crédito, y en los procesos derivados de titularización de cartera con cobertura. </w:t>
      </w:r>
    </w:p>
    <w:p w14:paraId="453246AF" w14:textId="63DE60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B14C33" w14:textId="31318D6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El otorgamiento de periodos de gracia en capital e intereses en los créditos para adquisición de vivienda o contratos de leasing habitacional que cuenten con el beneficio de cobertura de tasa de interés, que se pacten entre los beneficiarios y la respectiva entidad en el marco de las instrucciones impartidas por la Superintendencia Financiera mediante circular externa 007 de 2020, no se entenderá como causal de terminación anticipada de la cobertura.</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Las entidades que otorguen periodos de gracia en capital e intereses a los beneficiarios de las coberturas de tasa de interés deberán informar dicha circunstancia al Banco de la República como administrador del Fondo de Reserva para la Estabilización de la Cartera Hipotecaria - FRECH.</w:t>
      </w:r>
      <w:r w:rsidRPr="009342F9">
        <w:rPr>
          <w:rFonts w:ascii="Arial" w:eastAsia="Times New Roman" w:hAnsi="Arial" w:cs="Arial"/>
          <w:color w:val="000000"/>
          <w:lang w:eastAsia="es-CO"/>
        </w:rPr>
        <w:br/>
      </w:r>
      <w:bookmarkStart w:id="507" w:name="ver_30071296"/>
      <w:bookmarkEnd w:id="506"/>
      <w:bookmarkEnd w:id="507"/>
    </w:p>
    <w:p w14:paraId="5CC526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2.1.1.3.3.6. Recursos para la cobertura. Los recursos requeridos para el otorgamiento y pago de las coberturas previstas en esta sección, así como los gastos de gestión en que incurra el Banco de la República en la realización de la permuta financiera serán apropiados en el Presupuesto General de la Nación a través del Fondo Nacional de Vivienda FONVIVIENDA o quien haga sus veces, y serán comprometidos con cargo a su presupuesto de inversión a favor del FRECH - Ley 1450 de 2011, dando cumplimiento a las disposiciones en materia presupuestal. </w:t>
      </w:r>
    </w:p>
    <w:p w14:paraId="1265E4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0AD2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cada vigencia, la apropiación de estos recursos quedará condicionada al espacio fiscal establecido tanto en el Marco de Gasto de Mediano Plazo del sector Vivienda, así como en el Marco Fiscal de Mediano Plazo. </w:t>
      </w:r>
    </w:p>
    <w:p w14:paraId="6F74AE83" w14:textId="764EF6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08" w:name="ver_30071297"/>
      <w:bookmarkEnd w:id="508"/>
    </w:p>
    <w:p w14:paraId="6A57DA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2.1.1.3.3.7. Giro de los recursos. Los recursos asignados para financiar la cobertura de que trata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formarán parte del FRECH - Ley 1450 de 2011 VIP Ahorradores y serán girados de conformidad con los compromisos anuales que se deriven del otorgamiento, ejecución y vencimiento de dichas coberturas. </w:t>
      </w:r>
    </w:p>
    <w:p w14:paraId="4762F4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3914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Viceministerio Técnico del Ministerio de Hacienda y Crédito Público definirá el procedimiento, oportunidad, plazo y cuantías requeridas para el traslado al FRECH – Ley 1450 de 2011 VIP Ahorradores de los recursos líquidos necesarios para el cubrimiento y pago de las coberturas de que trata la presente sección. </w:t>
      </w:r>
    </w:p>
    <w:p w14:paraId="3AC7D5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543A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girará al Banco de la República, como administrador del FRECH, los recursos líquidos necesarios para el cubrimiento y pago de estas coberturas, previa solicitud que en tal sentido le presente el Banco de la República al Fondo Nacional de Vivienda (FONVIVIENDA) de conformidad con las obligaciones generadas mes a mes derivadas de la permuta financiera. </w:t>
      </w:r>
    </w:p>
    <w:p w14:paraId="7D5EA4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D5D6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Así mismo, FONVIVIENDA pagará al Banco de la República los gastos en que este incurra en la realización de la permuta financiera prevista en esta sección, los cuales se pagarán con cargo a los recursos del FRECH - Ley 1450 de 2011. </w:t>
      </w:r>
    </w:p>
    <w:p w14:paraId="508AAA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C847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Banco de la República, como administrador del FRECH, no será responsable por el cubrimiento y pago de las coberturas de que trata esta sección cuando FONVIVIENDA no haya realizado las apropiaciones presupuestales necesarias para el pago de estas coberturas y cuando FONVIVIENDA no haya hecho la entrega y giro de los recursos correspondientes al FRECH - Ley 1450 de 2011 VIP Ahorradores. </w:t>
      </w:r>
    </w:p>
    <w:p w14:paraId="086FCE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5DE2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trámites de apropiación, ejecución, registro y desembolso presupuestales estarán a cargo de FONVIVIENDA. </w:t>
      </w:r>
    </w:p>
    <w:p w14:paraId="6C86B07B" w14:textId="7867499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09" w:name="ver_30071298"/>
      <w:bookmarkEnd w:id="509"/>
    </w:p>
    <w:p w14:paraId="062D50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2.1.1.3.3.8. Restitución de los recursos de la cobertura. Las sumas provenientes de las restituciones de recursos que deban realizar los establecimientos de crédito al FRECH – Ley 1450 de 2011 VIP Ahorradores respecto de créditos cuyos deudores no tengan derecho a la cobertura o que se haya entregado en exceso, o por haber perdido la posibilidad de realizar el intercambio de flujos de la cobertura, o cualquier otra suma que deba restituirse, serán trasladadas a FONVIVIENDA y de este a la Dirección General de Crédito Público y Tesoro Nacional del Ministerio de Hacienda y Crédito Público. FONVIVIENDA impartirá las instrucciones para la restitución de estos recursos. </w:t>
      </w:r>
    </w:p>
    <w:p w14:paraId="491E9236" w14:textId="3F62E92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10" w:name="ver_30071299"/>
      <w:bookmarkEnd w:id="510"/>
    </w:p>
    <w:p w14:paraId="34DBF0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2.1.1.3.3.9. Convenio interadministrativo. Mediante convenio interadministrativo o modificación al existente, el Fondo Nacional de Vivienda (FONVIVIENDA) y el Banco de la República como administrador del FRECH, determinarán las condiciones en que debe realizarse la permuta financiera de tasa de interés pactada sobre los créditos de vivienda a que se refiere la presente sección. </w:t>
      </w:r>
    </w:p>
    <w:p w14:paraId="1A221F7D" w14:textId="6FC86C8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11" w:name="ver_30071300"/>
      <w:bookmarkEnd w:id="511"/>
    </w:p>
    <w:p w14:paraId="2A1EAF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2.1.1.3.3.10. Contratos marco de permuta financiera de tasa de interés. Los establecimientos de crédito interesados en acceder a la cobertura que ofrece el Gobierno Nacional a través del FRECH - Ley 1450 de 2011 VIP Ahorradores, deberán celebrar con el Banco de la República, como administrador del FRECH, un contrato marco de permuta financiera de tasa de interés para realizar el intercambio de flujos derivado de la cobertura prevista en esta sección. </w:t>
      </w:r>
    </w:p>
    <w:p w14:paraId="7647C6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A5D0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Dichos contratos marco deberán tener en cuenta de conformidad con lo dispuesto en esta sección y demás normas que lo reglamenten, modifiquen, adicionen o sustituyan, entre otras, las siguientes obligaciones: </w:t>
      </w:r>
    </w:p>
    <w:p w14:paraId="0633F7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9D78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los establecimientos de crédito: </w:t>
      </w:r>
    </w:p>
    <w:p w14:paraId="3E1DC3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F012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Informar al FRECH - Ley 1450 de 2011 VIP Ahorradores, para su registro, los créditos elegibles con derecho a la cobertura, de acuerdo con lo dispuesto en esta sección; </w:t>
      </w:r>
    </w:p>
    <w:p w14:paraId="13133B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D524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Presentar al FRECH - Ley 1450 de 2011 VIP Ahorradores, la cuenta de cobro correspondiente a los créditos desembolsados con derecho a la cobertura, registrados en el FRECH - Ley 1450 de 2011 VIP Ahorradores, por el valor neto del intercambio de flujos derivado de la permuta financiera, de acuerdo con lo dispuesto en esta sección; </w:t>
      </w:r>
    </w:p>
    <w:p w14:paraId="02D4CE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0BA4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Certificar al Banco de la República, como administrador del FRECH: </w:t>
      </w:r>
    </w:p>
    <w:p w14:paraId="0EBCBB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83A5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Que los créditos objeto de la cobertura cumplen los requisitos y condiciones establecidos para el acceso y vigencia de la cobertura de tasa de interés, señalados en esta sección; </w:t>
      </w:r>
    </w:p>
    <w:p w14:paraId="4A63D2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9863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La veracidad de toda la información enviada al FRECH - Ley 1450 de 2011 VIP Ahorradores, en concordancia con los requisitos y condiciones para el acceso, vigencia, terminación anticipada de la cobertura de tasa de interés y aquella relacionada con el intercambio de flujos, establecidos en esta sección y en la normativa aplicable; </w:t>
      </w:r>
    </w:p>
    <w:p w14:paraId="5B1B7F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028B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iii. Los créditos registrados en el FRECH - Ley 1450 de 2011 VIP Ahorradores, que no tengan el derecho a la cobertura y las terminaciones anticipadas de la misma, de acuerdo con lo dispuesto en esta sección; </w:t>
      </w:r>
    </w:p>
    <w:p w14:paraId="01BFD7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ACA5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Suministrar la información que requiera el Banco de la República para la realización de la permuta financiera en la oportunidad que se establezca para el efecto; </w:t>
      </w:r>
    </w:p>
    <w:p w14:paraId="754456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AD38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Restituir a FONVIVIENDA los recursos de que trata el artículo 2.1.1.3.3.8 de la presente sección. </w:t>
      </w:r>
    </w:p>
    <w:p w14:paraId="6556C4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B023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el Banco de la República: </w:t>
      </w:r>
    </w:p>
    <w:p w14:paraId="1C60E1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B5B2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Validar operativamente que el contenido de la información remitida por los establecimientos de crédito al FRECH - Ley 1450 de 2011 VIP Ahorradores, para efectos del registro de los créditos desembolsados con derecho a la cobertura y para el pago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sea consistente con la presente sección y su reglamentación; </w:t>
      </w:r>
    </w:p>
    <w:p w14:paraId="147B61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51A2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Registrar en el FRECH - Ley 1450 de 2011 VIP Ahorradores, atendiendo la fecha de recibo en el Banco de la República en orden de llegada, los créditos desembolsados con derecho a la cobertura, teniendo en cuenta el número de coberturas disponibles para los créditos establecidos por el Fondo Nacional de Vivienda (FONVIVIENDA) y el número de créditos con cobertura registrados en el FRECH - Ley 1450 de 2011 VIP Ahorradores, de acuerdo con lo informado por los establecimientos de crédito; </w:t>
      </w:r>
    </w:p>
    <w:p w14:paraId="42D380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F4DE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Pagar el valor neto del intercambio de flujos derivado de la permuta financiera, de acuerdo con las instrucciones que para el efecto imparta el Fondo Nacional de Vivienda (FONVIVIENDA); </w:t>
      </w:r>
    </w:p>
    <w:p w14:paraId="3AFC48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8876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Excluir de la cobertura los créditos registrados en el FRECH - Ley 1450 de 2011 VIP Ahorradores, que no tengan derecho a esta y registrar las terminaciones anticipadas de la misma, así como los créditos respecto de los cuales no sea posible realizar el intercambio de flujos, de conformidad con la información presentada por los establecimientos de crédito; </w:t>
      </w:r>
    </w:p>
    <w:p w14:paraId="3D3660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2D0F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Informar mensualmente a los establecimientos de crédito y al Fondo Nacional de Vivienda (FONVIVIENDA), el número de créditos desembolsados con derecho a la cobertura, registrados en el FRECH - Ley 1450 de 2011 VIP Ahorradores. Adicionalmente, a FONVIVIENDA se remitirá mensualmente una relación de los beneficiarios de la cobertura. </w:t>
      </w:r>
    </w:p>
    <w:p w14:paraId="5DC468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F8D3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contratos marco se estipulará que los establecimientos de crédito perderán la posibilidad de realizar el intercambio de flujos de la cobertura en los eventos que defina el Fondo Nacional de Vivienda (FONVIVIENDA), cuando haya lugar a ello, de acuerdo con la naturaleza y propósito de dicho mecanismo. </w:t>
      </w:r>
    </w:p>
    <w:p w14:paraId="2EE481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4433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todo caso el registro y pago de la cobertura estará condicionada a la suscripción de los contratos marco aquí establecidos, entre los establecimientos de crédito y el Banco de la República. </w:t>
      </w:r>
    </w:p>
    <w:p w14:paraId="21472B2A" w14:textId="77777777" w:rsidR="00D25E1B"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12" w:name="ver_30071302"/>
      <w:bookmarkEnd w:id="512"/>
    </w:p>
    <w:p w14:paraId="2D0903C6" w14:textId="0878E71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2.1.1.3.3.11. Responsabilidad de los establecimientos de crédito. Los establecimientos de crédito serán los únicos responsables de verificar el cumplimiento de los requisitos y condiciones establecidos para el acceso, vigencia, y terminación anticipada de la cobertura de tasa de interés a los créditos de que trata la presente sección; así como de la veracidad de la información presentada al FRECH - Ley 1450 de 2011 VIP Ahorradores y del cumplimiento de las obligaciones contenidas en el contrato marco que suscriba con el Banco de la República. Con la verificación del establecimiento de crédito se acreditará el cumplimento de las condiciones y requisitos y no habrá lugar a verificaciones adicionales por parte del Banco de la República, como administrador del FRECH. </w:t>
      </w:r>
    </w:p>
    <w:p w14:paraId="4DE295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7CF0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deberán informar a los potenciales deudores de créditos de vivienda acerca de las condiciones de acceso, vigencia, y terminación anticipada de la cobertura, en las condiciones establecidas en la presente sección y demás normas que lo reglamenten, complementen, adicionen, modifiquen o sustituyan, así como las instrucciones que imparta la Superintendencia Financiera de Colombia. </w:t>
      </w:r>
    </w:p>
    <w:p w14:paraId="3C2579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BEEE91"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Igualmente</w:t>
      </w:r>
      <w:proofErr w:type="gramEnd"/>
      <w:r w:rsidRPr="009342F9">
        <w:rPr>
          <w:rFonts w:ascii="Arial" w:eastAsia="Times New Roman" w:hAnsi="Arial" w:cs="Arial"/>
          <w:color w:val="000000"/>
          <w:lang w:eastAsia="es-CO"/>
        </w:rPr>
        <w:t xml:space="preserve"> los establecimientos de crédito, deberán informar al deudor o los deudores en el extracto de la obligación, el cálculo y aplicación de la cobertura, y remitir dentro de la proyección anual de los créditos individuales de vivienda lo que corresponda a la discriminación de los valores del beneficio. </w:t>
      </w:r>
    </w:p>
    <w:p w14:paraId="2BD2E7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08D8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deberán implementar un mecanismo que les permita verificar al momento del desembolso del crédito lo siguiente: </w:t>
      </w:r>
    </w:p>
    <w:p w14:paraId="4F5417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1941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i. La disponibilidad de coberturas. En ningún caso los establecimientos de crédito podrán desembolsar créditos con derecho a la cobertura, en exceso del número de coberturas definidas por el Fondo Nacional de Vivienda (FONVIVIENDA), so pena de asumir el pago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con sus propios recursos; </w:t>
      </w:r>
    </w:p>
    <w:p w14:paraId="2BF21F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A193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Que la cobertura se otorgue únicamente a un crédito y que aquella se aplique a todos los deudores del crédito a cualquier título. Así mismo, deberán verificar que los potenciales deudores no hayan sido beneficiarios, a cualquier título, de la cobertura de tasa de interés establecida en la presente sección o de aquellas otorgadas en desarrollo de lo dispuesto en el Decreto Único del Sector de Hacienda y Crédito Público y el presente decreto, y las normas que los reglamenten, modifiquen, adicionen o sustituyan. </w:t>
      </w:r>
    </w:p>
    <w:p w14:paraId="0BB3C7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E653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Corresponderá a los establecimientos de crédito determinar al momento del desembolso si los créditos tienen derecho a la cobertura y en este evento, deberá informarlo al Banco de la República para efectos de su registro y pago de la cobertura y comunicar lo pertinente al deudor o deudores del crédito. </w:t>
      </w:r>
    </w:p>
    <w:p w14:paraId="4110A4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90F1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uso de los recursos otorgados como cobertura no podrán destinarse a propósitos diferentes a los indicados en la presente sección y las normas que lo reglamenten, complementen, modifiquen, adicionen o sustituyan, so pena de incurrir en la conducta descrita en el artículo 311 del Código Penal. </w:t>
      </w:r>
    </w:p>
    <w:p w14:paraId="1D06CA85" w14:textId="6D6D030A"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13" w:name="ver_30071304"/>
      <w:bookmarkEnd w:id="513"/>
    </w:p>
    <w:p w14:paraId="7F5070E5" w14:textId="4083D81E"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4</w:t>
      </w:r>
    </w:p>
    <w:p w14:paraId="4C080E95" w14:textId="77777777" w:rsidR="00FC79C1"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PROGRAMA DE PROMOCIÓN DE ACCESO A LA VIVIENDA DE INTERÉS SOCIAL - “MI CASA YA”</w:t>
      </w:r>
    </w:p>
    <w:p w14:paraId="36B53418" w14:textId="77777777" w:rsidR="000B3E77" w:rsidRPr="009342F9" w:rsidRDefault="000B3E77" w:rsidP="005A1FCF">
      <w:pPr>
        <w:spacing w:after="0" w:line="240" w:lineRule="auto"/>
        <w:jc w:val="center"/>
        <w:rPr>
          <w:rFonts w:ascii="Arial" w:eastAsia="Times New Roman" w:hAnsi="Arial" w:cs="Arial"/>
          <w:b/>
          <w:bCs/>
          <w:color w:val="000000"/>
          <w:lang w:eastAsia="es-CO"/>
        </w:rPr>
      </w:pPr>
    </w:p>
    <w:p w14:paraId="6C243AAD"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44EBE2CD" w14:textId="77777777" w:rsidR="00FC79C1"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PROMOCIÓN DE ACCESO A LA VIVIENDA DE INTERÉS SOCIAL - “MI CASA YA”</w:t>
      </w:r>
    </w:p>
    <w:p w14:paraId="68865F8F" w14:textId="77777777" w:rsidR="000B3E77" w:rsidRPr="009342F9" w:rsidRDefault="000B3E77" w:rsidP="005A1FCF">
      <w:pPr>
        <w:spacing w:after="0" w:line="240" w:lineRule="auto"/>
        <w:jc w:val="center"/>
        <w:rPr>
          <w:rFonts w:ascii="Arial" w:eastAsia="Times New Roman" w:hAnsi="Arial" w:cs="Arial"/>
          <w:b/>
          <w:bCs/>
          <w:color w:val="000000"/>
          <w:lang w:eastAsia="es-CO"/>
        </w:rPr>
      </w:pPr>
    </w:p>
    <w:p w14:paraId="2868B84D"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5473360B"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PATRIMONIO AUTÓNOMO QUE ADMINISTRARÁ LOS RECURSOS DEL PROGRAMA</w:t>
      </w:r>
    </w:p>
    <w:p w14:paraId="62ED163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14" w:name="ver_30071305"/>
      <w:bookmarkEnd w:id="514"/>
    </w:p>
    <w:p w14:paraId="3C7939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2.1.1.4.1.1.1 Contrato e fiducia mercantil. FONVIVIENDA, de acuerdo con lo establecido en el parágrafo 1º del artículo 23 de la Ley 1469 de 2011 celebrará, en condición de fideicomitente, un contrato de fiducia mercantil para que el patrimonio autónomo que se </w:t>
      </w:r>
      <w:proofErr w:type="gramStart"/>
      <w:r w:rsidRPr="009342F9">
        <w:rPr>
          <w:rFonts w:ascii="Arial" w:eastAsia="Times New Roman" w:hAnsi="Arial" w:cs="Arial"/>
          <w:color w:val="000000"/>
          <w:lang w:eastAsia="es-CO"/>
        </w:rPr>
        <w:t>constituya,</w:t>
      </w:r>
      <w:proofErr w:type="gramEnd"/>
      <w:r w:rsidRPr="009342F9">
        <w:rPr>
          <w:rFonts w:ascii="Arial" w:eastAsia="Times New Roman" w:hAnsi="Arial" w:cs="Arial"/>
          <w:color w:val="000000"/>
          <w:lang w:eastAsia="es-CO"/>
        </w:rPr>
        <w:t xml:space="preserve"> administre los recursos que se ejecutarán en un Programa de Vivienda de Interés Social para la población que cuente con las condiciones señaladas en el presente sección, el cual se denominará “Mi Casa Ya”. Dicho contrato de fiducia mercantil se someterá a las condiciones y requisitos señalados en la presente sección. </w:t>
      </w:r>
    </w:p>
    <w:p w14:paraId="11A3C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180C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FONVIVIENDA seleccionará a la sociedad fiduciaria vocera del patrimonio autónomo y celebrará y ejecutará el respectivo contrato de fiducia mercantil, con sujeción al régimen previsto en el artículo 23 de la Ley 1469 de 2011. </w:t>
      </w:r>
    </w:p>
    <w:p w14:paraId="5C94F4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7F13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patrimonio autónomo tendrá los órganos de decisión que se establezcan en el contrato de fiducia mercantil, en los cuales deberá tener voz y voto el Director Ejecutivo del Fondo Nacional de Vivienda o su delegado. </w:t>
      </w:r>
    </w:p>
    <w:p w14:paraId="4AB988C8" w14:textId="6929907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15" w:name="ver_30071306"/>
      <w:bookmarkEnd w:id="515"/>
    </w:p>
    <w:p w14:paraId="4AC13D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2.1.1.4.1.1.2. Activos del patrimonio autónomo. Serán activos del patrimonio autónomo que se constituya, de conformidad con lo establecido en la presente sección: </w:t>
      </w:r>
    </w:p>
    <w:p w14:paraId="7260E6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7CC9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Los recursos del Presupuesto General de la Nación destinados a FONVIVIENDA, que ése último transfiera a título de aporte fiduciario de acuerdo con las facultades otorgadas por el parágrafo 1º del artículo 23 de la Ley 1469 de 2011. </w:t>
      </w:r>
    </w:p>
    <w:p w14:paraId="704020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22B0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Los rendimientos financieros que produzcan los recursos fideicomitidos. </w:t>
      </w:r>
    </w:p>
    <w:p w14:paraId="38C73E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BE45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Los que aporte cualquier persona natural o jurídica, a título gratuito. </w:t>
      </w:r>
    </w:p>
    <w:p w14:paraId="2854FFDC" w14:textId="02F0735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16" w:name="ver_30113726"/>
      <w:bookmarkStart w:id="517" w:name="ver_30113725"/>
      <w:bookmarkEnd w:id="516"/>
    </w:p>
    <w:p w14:paraId="5FE86B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2.1.1.4.1.1.3. Obligaciones de la sociedad fiduciaria. Corresponderá a la sociedad fiduciaria que se seleccione para el efecto, actuando como vocera del patrimonio autónomo constituido de acuerdo con la presente sección, ejecutar las obligaciones que se señalen en el contrato de fiducia mercantil, y especialmente las siguientes: </w:t>
      </w:r>
    </w:p>
    <w:p w14:paraId="72615F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8DD5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Recibir los recursos que transfiera FONVIVIENDA, de acuerdo con lo establecido en la presente sección y las normas presupuestales vigentes. </w:t>
      </w:r>
    </w:p>
    <w:p w14:paraId="083471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E990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Invertir transitoriamente los recursos administrados, de acuerdo con la ley, con la normativa para la inversión de los recursos de las entidades estatales del orden nacional del Decreto Único Sectorial de Hacienda y Crédito Público o las normas que lo modifiquen, adicionen o sustituyan, y con las instrucciones que imparta el órgano de decisión competente del patrimonio autónomo, en el marco de las normas antes citadas. </w:t>
      </w:r>
    </w:p>
    <w:p w14:paraId="41518A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3F0B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Administrar los recursos de conformidad con las obligaciones que se señalen en el contrato de fiducia mercantil y las instrucciones impartidas por los órganos de decisión del patrimonio autónomo. </w:t>
      </w:r>
    </w:p>
    <w:p w14:paraId="3DA3CB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BBEF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Desembolsar, de acuerdo con lo indicado por el órgano de decisión competente del patrimonio autónomo, los recursos de los subsidios familiares de vivienda, en beneficio de los hogares que hayan cumplido los requisitos establecidos en la presente sección. Los recursos se podrán desembolsar a los vendedores de las viviendas, previa autorización del hogar beneficiario del subsidio. </w:t>
      </w:r>
    </w:p>
    <w:p w14:paraId="77D4F6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FED7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Llevar una contabilidad separada del negocio, de conformidad con las disposiciones que regulan la materia. </w:t>
      </w:r>
    </w:p>
    <w:p w14:paraId="2EAE12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1751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Las demás obligaciones necesarias para dar cumplimiento al objeto del contrato de fiducia mercantil. </w:t>
      </w:r>
    </w:p>
    <w:p w14:paraId="004D0AED" w14:textId="0FEDF6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18" w:name="ver_30113728"/>
      <w:bookmarkStart w:id="519" w:name="ver_30113727"/>
      <w:bookmarkEnd w:id="517"/>
      <w:bookmarkEnd w:id="518"/>
    </w:p>
    <w:p w14:paraId="26A8D9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2.1.1.4.1.1.4. Gastos de administración. Con cargo a los recursos administrados por el patrimonio autónomo al que hace referencia la presente sección se sufragarán los costos en que se incurra para el manejo y control de los recursos, los gastos de operación y cualquier otro gasto que se requiera para el desarrollo, implementación y divulgación del programa a que hace referencia la presente sección. </w:t>
      </w:r>
    </w:p>
    <w:p w14:paraId="36B584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B4FD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rendimientos financieros que generen los recursos fideicomitidos también serán destinados a la ejecución del programa, incluyendo el pago de los gastos a los que se refiere el presente artículo. </w:t>
      </w:r>
    </w:p>
    <w:p w14:paraId="76776E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DA67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Vivienda, Ciudad y Territorio podrá reglamentar las con</w:t>
      </w:r>
      <w:r w:rsidRPr="009342F9">
        <w:rPr>
          <w:rFonts w:ascii="Arial" w:eastAsia="Times New Roman" w:hAnsi="Arial" w:cs="Arial"/>
          <w:color w:val="000000"/>
          <w:lang w:eastAsia="es-CO"/>
        </w:rPr>
        <w:softHyphen/>
        <w:t>diciones en las cuales, los vendedores de las viviendas cuyos adquirentes sean potenciales beneficiarios del Programa y los establecimientos de crédito, deben proceder a su divulgación </w:t>
      </w:r>
    </w:p>
    <w:p w14:paraId="002479CB" w14:textId="570ABB5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610670"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520" w:name="ver_30113729"/>
      <w:bookmarkEnd w:id="519"/>
      <w:bookmarkEnd w:id="520"/>
      <w:r w:rsidRPr="009342F9">
        <w:rPr>
          <w:rFonts w:ascii="Arial" w:eastAsia="Times New Roman" w:hAnsi="Arial" w:cs="Arial"/>
          <w:b/>
          <w:bCs/>
          <w:color w:val="000000"/>
          <w:lang w:eastAsia="es-CO"/>
        </w:rPr>
        <w:t>SUBSECCIÓN 2</w:t>
      </w:r>
    </w:p>
    <w:p w14:paraId="2F40B82D"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BENEFICIOS PARA LOS HOGARES OBJETO DEL PROGRAMA</w:t>
      </w:r>
    </w:p>
    <w:p w14:paraId="60E6751D"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521" w:name="ver_30113738"/>
      <w:bookmarkStart w:id="522" w:name="ver_30113730"/>
      <w:bookmarkEnd w:id="521"/>
    </w:p>
    <w:p w14:paraId="0427B2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2.1.1.4.1.2.1. Valor del subsidio familiar de vivienda. El monto de los sub</w:t>
      </w:r>
      <w:r w:rsidRPr="009342F9">
        <w:rPr>
          <w:rFonts w:ascii="Arial" w:eastAsia="Times New Roman" w:hAnsi="Arial" w:cs="Arial"/>
          <w:color w:val="000000"/>
          <w:lang w:eastAsia="es-CO"/>
        </w:rPr>
        <w:softHyphen/>
        <w:t>sidios familiares de vivienda destinados a la adquisición o a la suscripción de contratos de leasing habitacional de vivienda de interés social urbana nueva, que Fonvivienda asigne a los hogares que cumplan las condiciones señaladas en la presente sección, dependerá de los ingresos del hogar objeto del subsidio, de acuerdo con los siguientes parámetros:  </w:t>
      </w:r>
    </w:p>
    <w:p w14:paraId="01FC7C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4E20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A los hogares de hasta dos salarios mínimos legales mensuales vigentes (2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xml:space="preserve">), podrá asignárseles un subsidio hasta por el monto equivalente a treinta salarios mínimos legales mensuales vigentes (30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al momento de la solicitud de la asignación;  </w:t>
      </w:r>
    </w:p>
    <w:p w14:paraId="263B9A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A10D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A los hogares con ingresos superiores a dos salarios mínimos legales mensuales vigentes (2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xml:space="preserve">) y hasta cuatro salarios mínimos legales mensuales vigentes (4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xml:space="preserve">), podrá asignárseles un subsidio hasta por el monto equivalente a veinte salarios mínimos legales mensuales vigentes (20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al momento de la solicitud de la asignación.  </w:t>
      </w:r>
    </w:p>
    <w:p w14:paraId="588B60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F307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Para todos los efectos, cuando en la presente sección se hace referen</w:t>
      </w:r>
      <w:r w:rsidRPr="009342F9">
        <w:rPr>
          <w:rFonts w:ascii="Arial" w:eastAsia="Times New Roman" w:hAnsi="Arial" w:cs="Arial"/>
          <w:color w:val="000000"/>
          <w:lang w:eastAsia="es-CO"/>
        </w:rPr>
        <w:softHyphen/>
        <w:t>cia a los ingresos del hogar, se entenderá que son los ingresos totales que aquel devenga mensualmente.  </w:t>
      </w:r>
    </w:p>
    <w:p w14:paraId="0773F1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FCE0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En los actos de asignación del subsidio familiar de vivienda a que se refiere el presente artículo, se indicará expresamente que las condiciones para su aplicación y los demás beneficios a que tendría derecho el hogar, en el marco del Programa, se sujetarán a lo establecido en la presente sección.  </w:t>
      </w:r>
    </w:p>
    <w:p w14:paraId="513109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575C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3º. Los subsidios familiares de vivienda cuya asignación haya sido solici</w:t>
      </w:r>
      <w:r w:rsidRPr="009342F9">
        <w:rPr>
          <w:rFonts w:ascii="Arial" w:eastAsia="Times New Roman" w:hAnsi="Arial" w:cs="Arial"/>
          <w:color w:val="000000"/>
          <w:lang w:eastAsia="es-CO"/>
        </w:rPr>
        <w:softHyphen/>
        <w:t>tada por los establecimientos de crédito, a través del sistema establecido para el efecto, serán asignados de acuerdo con el valor señalado en la norma vigente al momento de la solicitud, sin que haya lugar a la realización de ajustes o incrementos posteriores por parte de Fonvivienda.  </w:t>
      </w:r>
    </w:p>
    <w:p w14:paraId="6F82E2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3DD4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4º. Fonvivienda definirá el número de subsidios familiares de vivienda a asignar en cada uno de los segmentos de población a que se refieren los literales a) y b) del presente artículo. En todo caso, Fonvivienda mediante acto administrativo que será publi</w:t>
      </w:r>
      <w:r w:rsidRPr="009342F9">
        <w:rPr>
          <w:rFonts w:ascii="Arial" w:eastAsia="Times New Roman" w:hAnsi="Arial" w:cs="Arial"/>
          <w:color w:val="000000"/>
          <w:lang w:eastAsia="es-CO"/>
        </w:rPr>
        <w:softHyphen/>
        <w:t>cado, podrá optar por modificar el número de subsidios familiares de vivienda para uno o los dos segmentos, sin afectar los que se encuentren efectivamente asignados y vigentes, al momento de la expedición del acto de modificación.  </w:t>
      </w:r>
    </w:p>
    <w:p w14:paraId="4E0E464A" w14:textId="77777777" w:rsidR="00BD03DD" w:rsidRDefault="00BD03DD" w:rsidP="00FC79C1">
      <w:pPr>
        <w:spacing w:after="0" w:line="240" w:lineRule="auto"/>
        <w:jc w:val="both"/>
        <w:rPr>
          <w:rFonts w:ascii="Arial" w:eastAsia="Times New Roman" w:hAnsi="Arial" w:cs="Arial"/>
          <w:color w:val="000000"/>
          <w:lang w:eastAsia="es-CO"/>
        </w:rPr>
      </w:pPr>
    </w:p>
    <w:p w14:paraId="5E11A069" w14:textId="577F69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5º. El valor total del subsidio familiar de vivienda asignado en contratos de leasing habitacional destinado a vivienda familiar deberá aplicarse al pago del canon inicial, sin perjuicio, de lo  </w:t>
      </w:r>
    </w:p>
    <w:p w14:paraId="6543CA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AE93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Los hogares que suscriban contratos de leasing habitacional en las condiciones a que se refiere la presente sección, solo recibirán los beneficios del Programa Mi Casa Ya cuando los referidos contratos inicien con posterioridad al 1º de junio de 2017, sin perjuicio del cumplimiento de las demás condiciones a que se refiere la presente sección.  </w:t>
      </w:r>
    </w:p>
    <w:p w14:paraId="4AA4D78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23" w:name="ver_30200397"/>
      <w:bookmarkStart w:id="524" w:name="ver_30113732"/>
      <w:bookmarkStart w:id="525" w:name="ver_30113746"/>
      <w:bookmarkEnd w:id="522"/>
      <w:bookmarkEnd w:id="523"/>
    </w:p>
    <w:p w14:paraId="30EE16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2.1.1.4.1.2.2. Vigencia del programa y del subsidio familiar de vivienda. La vigencia del subsidio familiar de vivienda de que trata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será de doce (12) meses contados a partir del primer día del mes siguiente a la fecha de su asignación.  </w:t>
      </w:r>
    </w:p>
    <w:p w14:paraId="38D135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FDAF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ampliación del programa “Mi Casa Ya” estará condicionada a la disponibilidad fiscal de los recursos tanto en el Marco de Gasto de Mediano Plazo del sector como en el Marco Fiscal de Mediano Plazo, así como a las evaluaciones sobre el cumplimiento de las metas anuales establecidas para la programación presupuestal” </w:t>
      </w:r>
    </w:p>
    <w:p w14:paraId="5578A558" w14:textId="77777777" w:rsidR="005A1FCF" w:rsidRPr="009342F9" w:rsidRDefault="005A1FCF" w:rsidP="00FC79C1">
      <w:pPr>
        <w:spacing w:after="0" w:line="240" w:lineRule="auto"/>
        <w:jc w:val="both"/>
        <w:rPr>
          <w:rFonts w:ascii="Arial" w:eastAsia="Times New Roman" w:hAnsi="Arial" w:cs="Arial"/>
          <w:color w:val="000000"/>
          <w:lang w:eastAsia="es-CO"/>
        </w:rPr>
      </w:pPr>
      <w:bookmarkStart w:id="526" w:name="ver_30113736"/>
      <w:bookmarkEnd w:id="524"/>
      <w:bookmarkEnd w:id="525"/>
    </w:p>
    <w:p w14:paraId="7E289A8F" w14:textId="28941F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2.1.1.4.1.2.3. Cobertura de tasa de interés. Los hogares que resulten bene</w:t>
      </w:r>
      <w:r w:rsidRPr="009342F9">
        <w:rPr>
          <w:rFonts w:ascii="Arial" w:eastAsia="Times New Roman" w:hAnsi="Arial" w:cs="Arial"/>
          <w:color w:val="000000"/>
          <w:lang w:eastAsia="es-CO"/>
        </w:rPr>
        <w:softHyphen/>
        <w:t>ficiarios del subsidio familiar de vivienda al que hace referencia el artículo 2.1.1.4.1.2.1 de este decreto, podrán acceder a la cobertura de tasa de interés prevista en el artículo 123 de la Ley 1450 de 2011, a través de créditos otorgados por los establecimientos de crédito para compra de vivienda, o contratos de leasing habitacional destinados a la adquisición de vivienda familiar, en las condiciones y términos que establezca el Gobierno nacional.  </w:t>
      </w:r>
    </w:p>
    <w:p w14:paraId="76BE67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8C9D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cobertura a que se refiere el presente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estará sujeta a que el crédito para la adquisición o la operación de leasing habitacional se aplique en una vivienda de interés social urbana nueva que reúna las condiciones previstas en la subsección 4 de esta sección.  </w:t>
      </w:r>
    </w:p>
    <w:p w14:paraId="0A8AE1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0A0B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para que los potenciales deudores de crédito o los locatarios pertenecien</w:t>
      </w:r>
      <w:r w:rsidRPr="009342F9">
        <w:rPr>
          <w:rFonts w:ascii="Arial" w:eastAsia="Times New Roman" w:hAnsi="Arial" w:cs="Arial"/>
          <w:color w:val="000000"/>
          <w:lang w:eastAsia="es-CO"/>
        </w:rPr>
        <w:softHyphen/>
        <w:t>tes a los hogares beneficiarios del subsidio familiar de vivienda previsto en esta sección, puedan acceder a la cobertura de tasa de interés, es necesario que el establecimiento de crédito cumpla con lo dispuesto en las normas vigentes, para que sus deudores o locatarios obtengan este beneficio.  </w:t>
      </w:r>
    </w:p>
    <w:p w14:paraId="7D5BAFB3" w14:textId="77777777" w:rsidR="00FC79C1" w:rsidRPr="009342F9" w:rsidRDefault="00FC79C1" w:rsidP="005A1FCF">
      <w:pPr>
        <w:spacing w:after="0" w:line="240" w:lineRule="auto"/>
        <w:jc w:val="center"/>
        <w:rPr>
          <w:rFonts w:ascii="Arial" w:eastAsia="Times New Roman" w:hAnsi="Arial" w:cs="Arial"/>
          <w:b/>
          <w:bCs/>
          <w:color w:val="000000"/>
          <w:lang w:eastAsia="es-CO"/>
        </w:rPr>
      </w:pPr>
    </w:p>
    <w:p w14:paraId="417073F1"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527" w:name="ver_30113748"/>
      <w:bookmarkEnd w:id="526"/>
      <w:bookmarkEnd w:id="527"/>
      <w:r w:rsidRPr="009342F9">
        <w:rPr>
          <w:rFonts w:ascii="Arial" w:eastAsia="Times New Roman" w:hAnsi="Arial" w:cs="Arial"/>
          <w:b/>
          <w:bCs/>
          <w:color w:val="000000"/>
          <w:lang w:eastAsia="es-CO"/>
        </w:rPr>
        <w:t>SUBSECCIÓN 3</w:t>
      </w:r>
    </w:p>
    <w:p w14:paraId="121CBF97"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DE LOS BENEFICIARIOS DEL PROGRAMA</w:t>
      </w:r>
    </w:p>
    <w:p w14:paraId="73EED1EE"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528" w:name="ver_30113753"/>
      <w:bookmarkStart w:id="529" w:name="ver_30113749"/>
      <w:bookmarkEnd w:id="528"/>
    </w:p>
    <w:p w14:paraId="2BF87B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2.1.1.4.1.3.1. Beneficiarios. Podrán ser beneficiarios del Programa a que se refiere la presente sección los hogares que cumplan las siguientes condiciones:  </w:t>
      </w:r>
    </w:p>
    <w:p w14:paraId="76AC16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F650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Tener ingresos totales mensuales hasta por el equivalente a cuatro salarios mínimos mensuales legales vigentes (4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w:t>
      </w:r>
    </w:p>
    <w:p w14:paraId="7E6C3F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DF32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No ser propietarios de una vivienda en el territorio nacional.  </w:t>
      </w:r>
    </w:p>
    <w:p w14:paraId="22A84D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C140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No haber sido beneficiarios de un subsidio familiar de vivienda otorgado por una Caja de Compensación Familiar.  </w:t>
      </w:r>
    </w:p>
    <w:p w14:paraId="69DD07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642B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No haber sido beneficiarios de un subsidio familiar de vivienda otorgado por el Gobierno nacional, que haya sido efectivamente aplicado, salvo quienes hayan perdido la vivienda por imposibilidad de pago, de acuerdo con lo establecido en el artículo 33 de la Ley 546 de 1999 o cuando la vivienda en la cual se haya aplicado el subsidio haya resulta</w:t>
      </w:r>
      <w:r w:rsidRPr="009342F9">
        <w:rPr>
          <w:rFonts w:ascii="Arial" w:eastAsia="Times New Roman" w:hAnsi="Arial" w:cs="Arial"/>
          <w:color w:val="000000"/>
          <w:lang w:eastAsia="es-CO"/>
        </w:rPr>
        <w:softHyphen/>
        <w:t>do totalmente destruida o quedado inhabitable como consecuencia de desastres naturales, calamidades públicas, emergencias, o atentados terroristas, o que haya sido abandonada o despojada en el marco del conflicto armado interno;  </w:t>
      </w:r>
    </w:p>
    <w:p w14:paraId="20DD2D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2427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No haber sido beneficiarios, a cualquier título, de las coberturas de tasa de interés, establecidas en el Decreto 1068 de 2015, Decreto Único Reglamentario del Sector Hacienda y Crédito Público, y en el presente decreto, y las normas que los reglamenten, modifiquen, adicionen o sustituyan;  </w:t>
      </w:r>
    </w:p>
    <w:p w14:paraId="660E49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2988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Contar con un crédito aprobado para la adquisición de la solución de vivienda, lo cual se acreditará con una carta de aprobación de crédito que deberá consistir en una evaluación crediticia favorable emitida por un establecimiento de crédito, o contar con una carta de aprobación de un leasing habitacional, emitida por un establecimiento de crédito.  </w:t>
      </w:r>
    </w:p>
    <w:p w14:paraId="4D5A4F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ACFA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hogares beneficiarios del Programa a que se refiere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serán aquellos conformados por una o más personas que integren el mismo grupo familiar, incluidos los cónyuges y las uniones maritales de hecho, las parejas del mismo sexo y/o el grupo de personas unidas por vínculos de parentesco hasta el segundo grado de consangui</w:t>
      </w:r>
      <w:r w:rsidRPr="009342F9">
        <w:rPr>
          <w:rFonts w:ascii="Arial" w:eastAsia="Times New Roman" w:hAnsi="Arial" w:cs="Arial"/>
          <w:color w:val="000000"/>
          <w:lang w:eastAsia="es-CO"/>
        </w:rPr>
        <w:softHyphen/>
        <w:t>nidad, primero de afinidad y único civil.  </w:t>
      </w:r>
    </w:p>
    <w:p w14:paraId="38A0D379" w14:textId="106BF6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24E44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30" w:name="ver_30113750"/>
      <w:bookmarkStart w:id="531" w:name="ver_30113754"/>
      <w:bookmarkEnd w:id="529"/>
      <w:r w:rsidRPr="009342F9">
        <w:rPr>
          <w:rFonts w:ascii="Arial" w:eastAsia="Times New Roman" w:hAnsi="Arial" w:cs="Arial"/>
          <w:color w:val="000000"/>
          <w:lang w:eastAsia="es-CO"/>
        </w:rPr>
        <w:t xml:space="preserve">Artículo 2.1.1.4.1.3.2. Acceso al programa con subsidio vigente y sin aplicar. Los beneficiarios del programa reglamentado en la presente sección tendrán derecho a un solo subsidio a otorgarse en el marco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así se les haya asignado con anterioridad un subsidio familiar de vivienda por parte de Fonvivienda y este se encuentre pendiente de aplicación.  </w:t>
      </w:r>
    </w:p>
    <w:p w14:paraId="335794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D779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Quien haya sido beneficiario de un subsidio familiar de vivienda para la adquisición de vivienda urbana que se encuentre vigente y sin aplicar, asignado por Fonvivienda antes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presente sección, podrá resultar beneficiario del subsidio familiar de vivienda a que se refiere el artículo 2.1.1.4.1.2.1 del presente decreto, previa renuncia al subsidio asignado que se encuentre sin aplicar.  </w:t>
      </w:r>
    </w:p>
    <w:p w14:paraId="024B1E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E17C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hogar beneficiario se encuentre inscrito en el Registro Único de Población Desplazada (RUPD), o el que haga sus veces, se podrá sumar el subsidio familiar de vivienda inicialmente asignado, que se encuentre sin aplicar, y el subsidio familiar de vivienda a que se refiere el artículo 2.1.1.4.1.2.1 de este decreto, para la adquisición de una vivienda en el marco del Programa “Mi Casa Ya”. En todo caso, el subsidio familiar de vivienda de Fonvivienda no podrá superar el 90% del valor de la vivienda”.  </w:t>
      </w:r>
    </w:p>
    <w:p w14:paraId="5B6ED9FD" w14:textId="60FE2D8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32" w:name="ver_30113755"/>
      <w:bookmarkStart w:id="533" w:name="ver_30113751"/>
      <w:bookmarkEnd w:id="530"/>
      <w:bookmarkEnd w:id="531"/>
      <w:bookmarkEnd w:id="532"/>
    </w:p>
    <w:p w14:paraId="46AD95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2.1.1.4.1.3.3. Verificación de información. Fonvivienda determinará el sistema mediante el cual se realizará la verificación de las bases de datos a que haya lugar, para establecer si un hogar cumple con las condiciones señaladas en los literales a), b), c), d) y e) del artículo 2.1.1.4.1.3.1 del presente decreto. En todo caso, la verificación solamente se realizará en la medida en que la solicite un establecimiento de crédito.  </w:t>
      </w:r>
    </w:p>
    <w:p w14:paraId="0C3A15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668D18" w14:textId="122473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definirá los términos y condiciones en que los establecimientos de crédito deben adelantar la verificación. En todo caso, dichas entidades deberán reportar y consultar el número de cédula de todos los miembros mayores de edad del hogar interesado en ser beneficiario del Programa.  </w:t>
      </w:r>
    </w:p>
    <w:p w14:paraId="1B7FF835"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183F8D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que adelante la verificación, en los términos a los cuales se refiere el presente artículo, deberá previamente solicitar a los miembros mayores de edad del hogar que sus</w:t>
      </w:r>
      <w:r w:rsidRPr="009342F9">
        <w:rPr>
          <w:rFonts w:ascii="Arial" w:eastAsia="Times New Roman" w:hAnsi="Arial" w:cs="Arial"/>
          <w:color w:val="000000"/>
          <w:lang w:eastAsia="es-CO"/>
        </w:rPr>
        <w:softHyphen/>
        <w:t xml:space="preserve">criban una autorización para ser consultados en las bases de datos a que haya lugar. Dicha entidad solamente realizará la verificación en el evento en que el hogar manifieste, bajo la gravedad de juramento, que tiene ingresos mensuales inferiores o iguales a cuatro salarios mínimos legales mensuales vigentes (4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xml:space="preserve">), y que tiene interés en adquirir una vivienda que cumpla las condiciones definidas en </w:t>
      </w:r>
      <w:proofErr w:type="gramStart"/>
      <w:r w:rsidRPr="009342F9">
        <w:rPr>
          <w:rFonts w:ascii="Arial" w:eastAsia="Times New Roman" w:hAnsi="Arial" w:cs="Arial"/>
          <w:color w:val="000000"/>
          <w:lang w:eastAsia="es-CO"/>
        </w:rPr>
        <w:t>el subsección</w:t>
      </w:r>
      <w:proofErr w:type="gramEnd"/>
      <w:r w:rsidRPr="009342F9">
        <w:rPr>
          <w:rFonts w:ascii="Arial" w:eastAsia="Times New Roman" w:hAnsi="Arial" w:cs="Arial"/>
          <w:color w:val="000000"/>
          <w:lang w:eastAsia="es-CO"/>
        </w:rPr>
        <w:t xml:space="preserve"> 4 de esta sección, o en suscribir un contrato de leasing habitacional sobre una vivienda que cumpla las mismas condiciones.  </w:t>
      </w:r>
    </w:p>
    <w:p w14:paraId="591932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C64D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en cualquier momento del proceso de legalización de un crédito hipotecario o de suscripción de un contrato de leasing habitacional, el establecimiento de crédito advierta que el hogar cuenta o manifiesta contar con ingresos dentro del rango señalado y pretende adquirir una vivienda que cumpla las condiciones establecidas, deberá informarle la opción de acceder al Programa Mi Casa Ya e indicarle expresamente el procedimiento a seguir para verificar que cumple los requisitos para obtener los beneficios en el marco del mismo y para, eventualmente, solicitar la asignación del subsidio familiar de vivienda.  </w:t>
      </w:r>
    </w:p>
    <w:p w14:paraId="70956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412F01" w14:textId="7D626B3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Fonvivienda entenderá, para todos los efectos, que la entidad que realice la verificación de acuerdo con lo establecido en el presente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cuenta con la autorización suscrita por los miembros mayores de edad del hogar y con la constancia de las manifestaciones previamente señaladas.  </w:t>
      </w:r>
    </w:p>
    <w:p w14:paraId="43B8C758"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72B4F3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verificación de que el hogar cumple las condiciones para ser beneficiario del Pro</w:t>
      </w:r>
      <w:r w:rsidRPr="009342F9">
        <w:rPr>
          <w:rFonts w:ascii="Arial" w:eastAsia="Times New Roman" w:hAnsi="Arial" w:cs="Arial"/>
          <w:color w:val="000000"/>
          <w:lang w:eastAsia="es-CO"/>
        </w:rPr>
        <w:softHyphen/>
        <w:t>grama a que se refiere esta sección la realizará el establecimiento de crédito, a través de la consulta en el sistema de información que indique Fonvivienda, sistema que indicará a la entidad que realice la consulta, el resultado de la verificación. En el evento en que el hogar no cumpla las condiciones, el sistema indicará las razones por las cuales el hogar no es potencial beneficiario del Programa.  </w:t>
      </w:r>
    </w:p>
    <w:p w14:paraId="22EBBA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5AA3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cumplimiento de las condiciones para ser beneficiario del Programa, de conformidad con este artículo, no genera para Fonvivienda la obligación de asignar el subsidio a que se refiere el mismo, lo cual solo se hará de conformidad con lo establecido en la subsección 5 de esta sección.  </w:t>
      </w:r>
    </w:p>
    <w:p w14:paraId="6BD0367E" w14:textId="77777777" w:rsidR="005A1FC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34" w:name="ver_30113760"/>
      <w:bookmarkStart w:id="535" w:name="ver_30113752"/>
      <w:bookmarkEnd w:id="533"/>
      <w:bookmarkEnd w:id="534"/>
    </w:p>
    <w:p w14:paraId="34404557" w14:textId="599CB4C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2.1.1.4.1.3.4. Responsabilidad para Fonvivienda. Fonvivienda no será res</w:t>
      </w:r>
      <w:r w:rsidRPr="009342F9">
        <w:rPr>
          <w:rFonts w:ascii="Arial" w:eastAsia="Times New Roman" w:hAnsi="Arial" w:cs="Arial"/>
          <w:color w:val="000000"/>
          <w:lang w:eastAsia="es-CO"/>
        </w:rPr>
        <w:softHyphen/>
        <w:t xml:space="preserve">ponsable de verificar el cierre financiero del hogar para la adquisición de la vivienda, ni el cumplimiento de los requisitos por parte del hogar para la suscripción de un contrato de leasing habitacional, ni las condiciones necesarias para la obtención de cartas de aprobación de crédito o de aprobación de operaciones de leasing habitacional. Tampoco será parte de los negocios jurídicos que realice el hogar beneficiario del Programa con el vendedor de la vivienda ni con la entidad que otorgue el crédito o leasing habitacional necesario para la adquisición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6DADB092"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B5BC541"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536" w:name="ver_30113765"/>
      <w:bookmarkEnd w:id="535"/>
      <w:bookmarkEnd w:id="536"/>
      <w:r w:rsidRPr="009342F9">
        <w:rPr>
          <w:rFonts w:ascii="Arial" w:eastAsia="Times New Roman" w:hAnsi="Arial" w:cs="Arial"/>
          <w:b/>
          <w:bCs/>
          <w:color w:val="000000"/>
          <w:lang w:eastAsia="es-CO"/>
        </w:rPr>
        <w:t>SUBSECCIÓN 4</w:t>
      </w:r>
    </w:p>
    <w:p w14:paraId="4AAB1DF6" w14:textId="77777777" w:rsidR="00FC79C1" w:rsidRDefault="00FC79C1" w:rsidP="005A1FCF">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CONDICIONES DE LAS VIVIENDAS EN DESARROLLO DEL PROGRAMA</w:t>
      </w:r>
    </w:p>
    <w:p w14:paraId="386EC51A" w14:textId="77777777" w:rsidR="007C7D44" w:rsidRPr="009342F9" w:rsidRDefault="007C7D44" w:rsidP="005A1FCF">
      <w:pPr>
        <w:spacing w:after="0" w:line="240" w:lineRule="auto"/>
        <w:jc w:val="center"/>
        <w:rPr>
          <w:rFonts w:ascii="Arial" w:eastAsia="Times New Roman" w:hAnsi="Arial" w:cs="Arial"/>
          <w:b/>
          <w:bCs/>
          <w:color w:val="000000"/>
          <w:lang w:eastAsia="es-CO"/>
        </w:rPr>
      </w:pPr>
    </w:p>
    <w:p w14:paraId="21A94DEC"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537" w:name="ver_30113764"/>
      <w:bookmarkEnd w:id="537"/>
      <w:r w:rsidRPr="009342F9">
        <w:rPr>
          <w:rFonts w:ascii="Arial" w:eastAsia="Times New Roman" w:hAnsi="Arial" w:cs="Arial"/>
          <w:b/>
          <w:bCs/>
          <w:color w:val="000000"/>
          <w:lang w:eastAsia="es-CO"/>
        </w:rPr>
        <w:t>SUBSECCIÓN 4</w:t>
      </w:r>
    </w:p>
    <w:p w14:paraId="771F0B42"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DE LAS VIVIENDAS A ADQUIRIR EN DESARROLLO DEL PROGRAMA</w:t>
      </w:r>
    </w:p>
    <w:p w14:paraId="7CFFC97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38" w:name="ver_30113767"/>
      <w:bookmarkStart w:id="539" w:name="ver_30113766"/>
      <w:bookmarkEnd w:id="538"/>
    </w:p>
    <w:p w14:paraId="7BE139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2.1.1.4.1.4.1. Definición de los departamentos, municipios y/o regiones en que se ejecuta el programa. El Ministerio de Vivienda, Ciudad y Territorio (MVCT) definirá cuáles son los departamentos, municipios y/o regiones en los cuales se ejecutarán las viviendas cuyos adquirentes o locatarios recibirán los beneficios del Programa a que se refiere esta sección.  </w:t>
      </w:r>
    </w:p>
    <w:p w14:paraId="0A7101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5605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MVCT revisará los resultados de la implementación del Programa y podrá modificar la definición de los departamentos, municipios y/o regiones a que se refiere este artículo, justificando lo pertinente.  </w:t>
      </w:r>
    </w:p>
    <w:p w14:paraId="7B2D0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EA2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mediante el cual se definan los departamentos, municipios y/o regiones a que se refiere el presente artículo, deberá publicarse en la página web del MVCT y/o en cualquier otro medio que este indique, para dar publicidad al documento.  </w:t>
      </w:r>
    </w:p>
    <w:p w14:paraId="196B4A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124B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Solo recibirán los beneficios del Programa quienes, además de cumplir con los requisi</w:t>
      </w:r>
      <w:r w:rsidRPr="009342F9">
        <w:rPr>
          <w:rFonts w:ascii="Arial" w:eastAsia="Times New Roman" w:hAnsi="Arial" w:cs="Arial"/>
          <w:color w:val="000000"/>
          <w:lang w:eastAsia="es-CO"/>
        </w:rPr>
        <w:softHyphen/>
        <w:t>tos establecidos en esta sección, adquieran, o suscriban un contrato de leasing habitacional sobre, una vivienda de interés social urbana nueva en los departamentos, municipios y/o regiones definidos de conformidad con lo establecido en el presente artículo.  </w:t>
      </w:r>
    </w:p>
    <w:p w14:paraId="0CEEFC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5F58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evento en que el MVCT modifique la relación de los departamentos, municipios y/o regiones definidos inicialmente mediante acto administrativo, esta decisión no afectará las condiciones de los hogares que hayan cumplido los requisitos de acceso al Programa a que se refiere esta sección, y respecto de los cuales, el correspondiente estable</w:t>
      </w:r>
      <w:r w:rsidRPr="009342F9">
        <w:rPr>
          <w:rFonts w:ascii="Arial" w:eastAsia="Times New Roman" w:hAnsi="Arial" w:cs="Arial"/>
          <w:color w:val="000000"/>
          <w:lang w:eastAsia="es-CO"/>
        </w:rPr>
        <w:softHyphen/>
        <w:t>cimiento de crédito, haya solicitado que se proceda a la asignación del subsidio.  </w:t>
      </w:r>
    </w:p>
    <w:p w14:paraId="334D736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40" w:name="ver_30210172"/>
      <w:bookmarkStart w:id="541" w:name="ver_30113768"/>
      <w:bookmarkStart w:id="542" w:name="ver_30113769"/>
      <w:bookmarkEnd w:id="539"/>
      <w:bookmarkEnd w:id="540"/>
    </w:p>
    <w:p w14:paraId="3D50C1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2.1.1.4.1.4.2. Valor de la vivienda. El valor de la vivienda de interés social urbana nueva en la que se aplicarán los subsidios a los que hace referencia la presente sección no podrá ser superior a ciento treinta y cinco (135) salarios mínimos legales mensuales vigentes. Excepcionalmente, en los municipios y distritos de que trata el título 9 de la parte 1 del libro 2 del presente decreto, el valor de la vivienda de interés social no podrá ser superior a ciento cincuenta (150) salarios mínimos legales mensuales vigentes.  </w:t>
      </w:r>
    </w:p>
    <w:p w14:paraId="5E13CD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D111F0" w14:textId="2DC777C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valor de la vivienda deberá incluir el valor de los bienes muebles e inmuebles que presten usos y servicios complementarios o conexos a los mismos tales como parqueaderos, depósitos, buhardillas, terrazas, antejardines o patios, así como el correspondiente a contratos de mejoras o acabados suscritos con el oferente o con terceros. Todos los valores contenidos en los contratos adicionales que se suscriban por parte del vendedor y los </w:t>
      </w:r>
      <w:proofErr w:type="gramStart"/>
      <w:r w:rsidRPr="009342F9">
        <w:rPr>
          <w:rFonts w:ascii="Arial" w:eastAsia="Times New Roman" w:hAnsi="Arial" w:cs="Arial"/>
          <w:color w:val="000000"/>
          <w:lang w:eastAsia="es-CO"/>
        </w:rPr>
        <w:t>beneficiarios,</w:t>
      </w:r>
      <w:proofErr w:type="gramEnd"/>
      <w:r w:rsidRPr="009342F9">
        <w:rPr>
          <w:rFonts w:ascii="Arial" w:eastAsia="Times New Roman" w:hAnsi="Arial" w:cs="Arial"/>
          <w:color w:val="000000"/>
          <w:lang w:eastAsia="es-CO"/>
        </w:rPr>
        <w:t xml:space="preserve"> formarán parte del valor final de la vivienda. Para todos los efectos, el valor de la vivienda será el establecido en el avalúo comercial vigente con el que cuente el establecimiento de crédito al momento en que solicite la asignación del subsidio familiar de vivienda, a través del sistema establecido para este propósito de acuerdo con el artículo 2.1.1.4.1.3.3 del presente decreto, calculado con el valor del salario mínimo legal mensual vigente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del año en que se realice la referida solicitud.  </w:t>
      </w:r>
    </w:p>
    <w:p w14:paraId="584C19BD" w14:textId="77777777" w:rsidR="005A1FCF" w:rsidRPr="009342F9" w:rsidRDefault="005A1FCF" w:rsidP="00FC79C1">
      <w:pPr>
        <w:spacing w:after="0" w:line="240" w:lineRule="auto"/>
        <w:jc w:val="both"/>
        <w:rPr>
          <w:rFonts w:ascii="Arial" w:eastAsia="Times New Roman" w:hAnsi="Arial" w:cs="Arial"/>
          <w:color w:val="000000"/>
          <w:lang w:eastAsia="es-CO"/>
        </w:rPr>
      </w:pPr>
    </w:p>
    <w:p w14:paraId="47A9E7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Por vivienda nueva urbana se entenderá aquella que se encuentre en proyecto, en etapa de preventa, en construcción, y la que estando terminada no haya sido habitada.  </w:t>
      </w:r>
    </w:p>
    <w:p w14:paraId="5C166B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AA67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43" w:name="ver_30113771"/>
      <w:bookmarkStart w:id="544" w:name="ver_30113770"/>
      <w:bookmarkEnd w:id="541"/>
      <w:bookmarkEnd w:id="542"/>
      <w:bookmarkEnd w:id="543"/>
      <w:r w:rsidRPr="009342F9">
        <w:rPr>
          <w:rFonts w:ascii="Arial" w:eastAsia="Times New Roman" w:hAnsi="Arial" w:cs="Arial"/>
          <w:color w:val="000000"/>
          <w:lang w:eastAsia="es-CO"/>
        </w:rPr>
        <w:t>Artículo 2.1.1.4.1.4.3. Investigación y sanción a vendedores. Los vendedores de las viviendas cuyos adquirentes reciban los beneficios del Programa, estarán sujetos a las investigaciones y sanciones a que se refiere el artículo 22 de la Ley 1537 de 2012, y las normas que la modifiquen, adicionen, sustituyan o reglamenten </w:t>
      </w:r>
    </w:p>
    <w:p w14:paraId="01E11BAC"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3EF34BB" w14:textId="77777777" w:rsidR="00FC79C1" w:rsidRPr="009342F9" w:rsidRDefault="00FC79C1" w:rsidP="005A1FCF">
      <w:pPr>
        <w:spacing w:after="0" w:line="240" w:lineRule="auto"/>
        <w:jc w:val="center"/>
        <w:rPr>
          <w:rFonts w:ascii="Arial" w:eastAsia="Times New Roman" w:hAnsi="Arial" w:cs="Arial"/>
          <w:b/>
          <w:bCs/>
          <w:color w:val="000000"/>
          <w:lang w:eastAsia="es-CO"/>
        </w:rPr>
      </w:pPr>
      <w:bookmarkStart w:id="545" w:name="ver_30113772"/>
      <w:bookmarkEnd w:id="544"/>
      <w:bookmarkEnd w:id="545"/>
      <w:r w:rsidRPr="009342F9">
        <w:rPr>
          <w:rFonts w:ascii="Arial" w:eastAsia="Times New Roman" w:hAnsi="Arial" w:cs="Arial"/>
          <w:b/>
          <w:bCs/>
          <w:color w:val="000000"/>
          <w:lang w:eastAsia="es-CO"/>
        </w:rPr>
        <w:t>SUBSECCIÓN 5</w:t>
      </w:r>
    </w:p>
    <w:p w14:paraId="7AC6B9F5" w14:textId="77777777" w:rsidR="00FC79C1" w:rsidRPr="009342F9" w:rsidRDefault="00FC79C1" w:rsidP="005A1FC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 PARA LA ASIGNACIÓN Y LEGALIZACIÓN DEL SUBSIDIO OTORGADO EN EL MARCO DEL PROGRAMA</w:t>
      </w:r>
    </w:p>
    <w:p w14:paraId="34D8DC8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46" w:name="ver_30113882"/>
      <w:bookmarkStart w:id="547" w:name="ver_30113880"/>
      <w:bookmarkEnd w:id="546"/>
    </w:p>
    <w:p w14:paraId="7E91BA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2.1.1.4.1.5.1. Solicitud de asignación del subsidio familiar de vivienda. Los establecimientos de crédito podrán solicitar que Fonvivienda proceda a la asignación del subsidio familiar de vivienda señalado en el artículo 2 .1.1.4.1.2.1 de este decreto cuando el hogar que acredite las condiciones señaladas en el artículo 2 .1.1.4.1.3.1 </w:t>
      </w:r>
      <w:proofErr w:type="spellStart"/>
      <w:r w:rsidRPr="009342F9">
        <w:rPr>
          <w:rFonts w:ascii="Arial" w:eastAsia="Times New Roman" w:hAnsi="Arial" w:cs="Arial"/>
          <w:color w:val="000000"/>
          <w:lang w:eastAsia="es-CO"/>
        </w:rPr>
        <w:t>ibídem</w:t>
      </w:r>
      <w:proofErr w:type="spellEnd"/>
      <w:r w:rsidRPr="009342F9">
        <w:rPr>
          <w:rFonts w:ascii="Arial" w:eastAsia="Times New Roman" w:hAnsi="Arial" w:cs="Arial"/>
          <w:color w:val="000000"/>
          <w:lang w:eastAsia="es-CO"/>
        </w:rPr>
        <w:t>, cuente con una aprobación de crédito vigente para la adquisición de una vivienda que cumpla los requisitos indicados en la Subsección 4 de esta sección, o con una aprobación de un leasing habitacional vigente para una vivienda en las mismas condiciones . Esta solicitud deberá ser anterior al inicio del proceso de escrituración, o a la suscripción del contrato de leasing habitacional, según corresponda.  </w:t>
      </w:r>
    </w:p>
    <w:p w14:paraId="379D70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E19A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entidad que haya aprobado el crédito o la operación de leasing habitacional, previa solicitud de asignación del </w:t>
      </w:r>
      <w:proofErr w:type="gramStart"/>
      <w:r w:rsidRPr="009342F9">
        <w:rPr>
          <w:rFonts w:ascii="Arial" w:eastAsia="Times New Roman" w:hAnsi="Arial" w:cs="Arial"/>
          <w:color w:val="000000"/>
          <w:lang w:eastAsia="es-CO"/>
        </w:rPr>
        <w:t>subsidio,</w:t>
      </w:r>
      <w:proofErr w:type="gramEnd"/>
      <w:r w:rsidRPr="009342F9">
        <w:rPr>
          <w:rFonts w:ascii="Arial" w:eastAsia="Times New Roman" w:hAnsi="Arial" w:cs="Arial"/>
          <w:color w:val="000000"/>
          <w:lang w:eastAsia="es-CO"/>
        </w:rPr>
        <w:t xml:space="preserve"> verificará lo siguiente:  </w:t>
      </w:r>
    </w:p>
    <w:p w14:paraId="42E504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FD71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el hogar cumple las condiciones, definidas por la respectiva entidad, para que se autorice el desembolso del crédito aprobado o para la suscripción del contrato de leasing habitacional, según sea el caso;  </w:t>
      </w:r>
    </w:p>
    <w:p w14:paraId="23EA6F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BEEA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el crédito se destinará a la adquisición de una vivienda que cumpla las condiciones establecidas en la Subsección 4 de esta sección o que se suscribirá un contrato de leasing habitacional sobre una vivienda que cumpla las mismas condiciones;  </w:t>
      </w:r>
    </w:p>
    <w:p w14:paraId="7E454D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C17F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El rango de ingresos del hogar, de acuerdo con lo indicado en el artículo 2.1.1.4.1.2.1 del presente decreto. En el evento en que la entidad establezca que el hogar tiene un rango de ingresos superior a cuatro salarios mínimos legales mensuales vigentes (4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se abstendrá de solicitar la asignación del subsidio;  </w:t>
      </w:r>
    </w:p>
    <w:p w14:paraId="713B83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402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Si el rango de ingresos del hogar, señalado por éste en la declaración juramentada, presenta diferencias con la verificación realizada por la entidad que aprobó el crédito o la operación de leasing habitacional, a los ingresos de los potenciales deudores del crédito o locatarios, de manera que no sea posible determinar el monto del subsidio familiar de vivienda, la entidad señalada solicitará proceder a la asignación del subsidio por el valor establecido en el literal b) del artículo 2.1.1.4.1.2.1 de este decreto;  </w:t>
      </w:r>
    </w:p>
    <w:p w14:paraId="1EB075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A02B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Que todas las personas que se hayan declarado como miembros mayores de edad del hogar hayan suscrito el formato que defina Fonvivienda, el cual deberá contener la declaración juramentada de los mismos, que se entenderá surtida con la firma, en la que manifiesten que cumplen en forma conjunta con las condiciones para ser beneficiarios del Programa a que se refiere la presente sección, que no están incursos en inhabilidades para solicitarlo y que los datos suministrados son ciertos, así como la autorización para verificar la información suministrada y la aceptación para ser excluido de manera automática del proceso de asignación, o para revocar el subsidio asignado, en caso de verificarse que la información aportada no corresponde a la verdad.  </w:t>
      </w:r>
    </w:p>
    <w:p w14:paraId="19893B1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48" w:name="ver_30113894"/>
      <w:bookmarkStart w:id="549" w:name="ver_30113891"/>
      <w:bookmarkEnd w:id="547"/>
      <w:bookmarkEnd w:id="548"/>
    </w:p>
    <w:p w14:paraId="40ABF6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2.1.1.4.1.5.2. Asignación del subsidio familiar de vivienda. Una vez se reciba la solicitud para proceder a la asignación, por parte del establecimiento de crédito, siempre y cuando se haya realizado la verificación a que se refiere el artículo 2.1.1.4.1.3.3 de este decreto y se haya determinado que el hogar cumple las condiciones para ser beneficiario del subsidio, no se requerirán trámites adicionales y Fonvivienda procederá a la expedición del acto administrativo de asignación, de acuerdo con lo indicado en esta norma.  </w:t>
      </w:r>
    </w:p>
    <w:p w14:paraId="201F92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3810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a través del sistema que este indique, comunicará al establecimiento de crédito la fecha de expedición del acto de asignación de los subsidios.  </w:t>
      </w:r>
    </w:p>
    <w:p w14:paraId="5FCBDF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4AB8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desembolso del subsidio familiar de vivienda al vendedor de la </w:t>
      </w:r>
      <w:proofErr w:type="gramStart"/>
      <w:r w:rsidRPr="009342F9">
        <w:rPr>
          <w:rFonts w:ascii="Arial" w:eastAsia="Times New Roman" w:hAnsi="Arial" w:cs="Arial"/>
          <w:color w:val="000000"/>
          <w:lang w:eastAsia="es-CO"/>
        </w:rPr>
        <w:t>misma,</w:t>
      </w:r>
      <w:proofErr w:type="gramEnd"/>
      <w:r w:rsidRPr="009342F9">
        <w:rPr>
          <w:rFonts w:ascii="Arial" w:eastAsia="Times New Roman" w:hAnsi="Arial" w:cs="Arial"/>
          <w:color w:val="000000"/>
          <w:lang w:eastAsia="es-CO"/>
        </w:rPr>
        <w:t xml:space="preserve"> estará con</w:t>
      </w:r>
      <w:r w:rsidRPr="009342F9">
        <w:rPr>
          <w:rFonts w:ascii="Arial" w:eastAsia="Times New Roman" w:hAnsi="Arial" w:cs="Arial"/>
          <w:color w:val="000000"/>
          <w:lang w:eastAsia="es-CO"/>
        </w:rPr>
        <w:softHyphen/>
        <w:t>dicionado a que la entidad otorgante del crédito realice el desembolso del mismo o a que dé inicio al contrato de leasing habitacional, lo cual deberá comunicar a Fonvivienda y/o a quien esta indique. </w:t>
      </w:r>
    </w:p>
    <w:p w14:paraId="4597F68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50" w:name="ver_30113903"/>
      <w:bookmarkStart w:id="551" w:name="ver_30113898"/>
      <w:bookmarkEnd w:id="549"/>
      <w:bookmarkEnd w:id="550"/>
    </w:p>
    <w:p w14:paraId="71D888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2.1.1.4.1.5.3. Revisión de la consistencia y/o veracidad de la información. Fonvivienda o quien ésta indique, tendrá la facultad de revisar en cualquier momento la consistencia y/o veracidad de la información suministrada. Si se determina que existe imprecisión o falta de veracidad en los datos entregados o en las condiciones o requisitos del hogar, se solicitará al hogar que emita las aclaraciones del caso. Si dentro del plazo establecido por Fonvivienda no se subsanan las imprecisiones o se aclaran las presuntas irregularidades que se presenten, se rechazarán los hogares respecto de los cuales se hayan advertido las inconsistencias.  </w:t>
      </w:r>
    </w:p>
    <w:p w14:paraId="1AF6CE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5A56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cualquiera de los casos señalados en este artículo, ninguno de los miembros mayores de edad del hogar respecto del cual se adviertan las inconsistencias, podrá solicitar de nuevo un subsidio familiar de vivienda durante un término de diez (10) años, de conformidad con lo estipulado en el artículo 30 de la Ley 3ª de 1991.  </w:t>
      </w:r>
    </w:p>
    <w:p w14:paraId="69B59F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B20F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presenten los eventos señalados en el parágrafo 2º del artículo 8º de la Ley 3ª de 1991, modificado por el artículo 21 de la Ley 1537 de 2012, Fonvivienda dará traslado de las actuaciones realizadas a la Fiscalía General de la Nación, para que se inicien las investigaciones a que haya lugar.  </w:t>
      </w:r>
    </w:p>
    <w:p w14:paraId="0509D2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D114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hogares deberán mantener las condiciones y requisitos para acceder al Programa a que se refiere esta sección, desde la entrega de la información al estableci</w:t>
      </w:r>
      <w:r w:rsidRPr="009342F9">
        <w:rPr>
          <w:rFonts w:ascii="Arial" w:eastAsia="Times New Roman" w:hAnsi="Arial" w:cs="Arial"/>
          <w:color w:val="000000"/>
          <w:lang w:eastAsia="es-CO"/>
        </w:rPr>
        <w:softHyphen/>
        <w:t>miento de crédito, hasta el momento de la firma de la Escritura Pública de adquisición de la vivienda o hasta el momento de la iniciación del contrato de leasing habitacional. En consecuencia, será responsabilidad de los hogares informar al establecimiento de crédito o a Fonvivienda cualquier hecho que modifique de alguna manera las condiciones que le permiten ser beneficiario del Programa al que se refiere la presente sección. En todo caso, todos los miembros del hogar indicados por el establecimiento de crédito serán beneficiarios del subsidio familiar de vivienda, para todos los efectos. </w:t>
      </w:r>
    </w:p>
    <w:p w14:paraId="11E83C9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52" w:name="ver_30113917"/>
      <w:bookmarkStart w:id="553" w:name="ver_30113908"/>
      <w:bookmarkEnd w:id="551"/>
      <w:bookmarkEnd w:id="552"/>
    </w:p>
    <w:p w14:paraId="156886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2.1.1.4.1.5.4. Solicitud de investigación. Cuando se compruebe que se recibió el beneficio del subsidio familiar de vivienda de manera fraudulenta o utilizando documentos falsos, se solicitará a la autoridad competente el inicio de una investigación por el delito de Fraude en Subvenciones señalado en el artículo 403 A de la Ley 599 de 2000, adicionado por el artículo 26 de la Ley 1474 de 2011, de acuerdo con lo dispuesto en el parágrafo 2° del artículo 8º de la Ley 3ª de 1991, modificado por el artículo 21 de la Ley 1537 de 2012.  </w:t>
      </w:r>
    </w:p>
    <w:p w14:paraId="660577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CCBC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beneficiarios que por sentencia ejecutoriada hubiesen sido condenados por haber presentado documentos o información falsos con el objeto de acceder a un subsidio familiar de vivienda, quedarán inhabilitados por el término de diez (10) años para volver a solicitarlo, de acuerdo con lo dispuesto en el artículo 30 de la Ley 3ª de 1991. </w:t>
      </w:r>
    </w:p>
    <w:p w14:paraId="471C01C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54" w:name="ver_30113934"/>
      <w:bookmarkStart w:id="555" w:name="ver_30113929"/>
      <w:bookmarkEnd w:id="553"/>
      <w:bookmarkEnd w:id="554"/>
    </w:p>
    <w:p w14:paraId="187E3A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2.1.1.4.1.5.5. Legalización del subsidio familiar de vivienda. El subsidio familiar de vivienda aplicado en el marco del Programa, para la adquisición de viviendas mediante la obtención de créditos hipotecarios o contratos de leasing habitacional, a que se refiere la presente sección, se entenderá legalizado, para Fonvivienda, con los siguientes documentos:  </w:t>
      </w:r>
    </w:p>
    <w:p w14:paraId="3D8D20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2125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documento que acredita la asignación del subsidio familiar de vivienda.  </w:t>
      </w:r>
    </w:p>
    <w:p w14:paraId="14A2B2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B728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certificado de tradición y libertad o verificación en las bases de datos de la Su</w:t>
      </w:r>
      <w:r w:rsidRPr="009342F9">
        <w:rPr>
          <w:rFonts w:ascii="Arial" w:eastAsia="Times New Roman" w:hAnsi="Arial" w:cs="Arial"/>
          <w:color w:val="000000"/>
          <w:lang w:eastAsia="es-CO"/>
        </w:rPr>
        <w:softHyphen/>
        <w:t>perintendencia de Notariado y Registro, en los cuales conste la inscripción del título de adquisición de la vivienda a favor del beneficiario del subsidio familiar de vivienda, o del establecimiento de crédito con el cual se suscriba el contrato de leasing habitacional.  </w:t>
      </w:r>
    </w:p>
    <w:p w14:paraId="4D869C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9CDA04" w14:textId="77777777"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contrato de leasing habitacional, en los casos en que el subsidio familiar de vi</w:t>
      </w:r>
      <w:r w:rsidRPr="009342F9">
        <w:rPr>
          <w:rFonts w:ascii="Arial" w:eastAsia="Times New Roman" w:hAnsi="Arial" w:cs="Arial"/>
          <w:color w:val="000000"/>
          <w:lang w:eastAsia="es-CO"/>
        </w:rPr>
        <w:softHyphen/>
        <w:t>vienda se aplique para operaciones de leasing habitacional destinado a la adquisición de vivienda familiar. </w:t>
      </w:r>
      <w:bookmarkStart w:id="556" w:name="ver_30071427"/>
      <w:bookmarkEnd w:id="555"/>
      <w:bookmarkEnd w:id="556"/>
    </w:p>
    <w:p w14:paraId="2B09983C"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0BA6A27" w14:textId="21649735"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6</w:t>
      </w:r>
    </w:p>
    <w:p w14:paraId="5A8710C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DISPOSICIONES</w:t>
      </w:r>
    </w:p>
    <w:p w14:paraId="0A9BFF2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57" w:name="ver_30113941"/>
      <w:bookmarkStart w:id="558" w:name="ver_30113940"/>
      <w:bookmarkEnd w:id="557"/>
    </w:p>
    <w:p w14:paraId="1D9973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2.1.1.4.1.6.1. Causales de restitución del subsidio familiar de vivienda. El subsidio familiar de vivienda de que trata la presente sección será objeto de restitución por cualquiera de las causales previstas en las normas vigentes y especialmente las siguientes:  </w:t>
      </w:r>
    </w:p>
    <w:p w14:paraId="22FD90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972A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Cuando los beneficiarios del Programa transfieran cualquier derecho real sobre la solución de vivienda o dejen de residir en ella, sin mediar permiso específico fundamentado en razones de fuerza mayor, en los términos a que se refiere el artículo 8° de la Ley 3ª de 1991, modificado por el artículo 21 de la Ley 1537 de 2012.  </w:t>
      </w:r>
    </w:p>
    <w:p w14:paraId="6655BC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39F3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Por imprecisión o falta de veracidad en los datos entregados o en las condiciones o requisitos del hogar para la asignación del subsidio familiar de vivienda, sin perjuicio, de que </w:t>
      </w:r>
      <w:proofErr w:type="gramStart"/>
      <w:r w:rsidRPr="009342F9">
        <w:rPr>
          <w:rFonts w:ascii="Arial" w:eastAsia="Times New Roman" w:hAnsi="Arial" w:cs="Arial"/>
          <w:color w:val="000000"/>
          <w:lang w:eastAsia="es-CO"/>
        </w:rPr>
        <w:t>la relación contractual entre las partes se mantengan</w:t>
      </w:r>
      <w:proofErr w:type="gramEnd"/>
      <w:r w:rsidRPr="009342F9">
        <w:rPr>
          <w:rFonts w:ascii="Arial" w:eastAsia="Times New Roman" w:hAnsi="Arial" w:cs="Arial"/>
          <w:color w:val="000000"/>
          <w:lang w:eastAsia="es-CO"/>
        </w:rPr>
        <w:t xml:space="preserve"> en el crédito hipotecario o el contrato de leasing habitacional.  </w:t>
      </w:r>
    </w:p>
    <w:p w14:paraId="044C95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1844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Por un incumplimiento del contrato de leasing habitacional que dé lugar a su terminación.  </w:t>
      </w:r>
    </w:p>
    <w:p w14:paraId="031099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D239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Por cesión de la opción de compra o del contrato de leasing habitacional destinado a vivienda familiar por parte del beneficiario del subsidio familiar de vivienda.  </w:t>
      </w:r>
    </w:p>
    <w:p w14:paraId="51E4C1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haya lugar a la restitución del subsidio familiar de vivienda otorgado deberá restituirse indexado con el Índice de Precios al Consumidor (IPC), desde la fecha en que se realizó el desembolso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hasta la fecha en que efectivamente se realice el pago del valor a restituir, en la cuenta que indique Fonvivienda.  </w:t>
      </w:r>
    </w:p>
    <w:p w14:paraId="4FE8B5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8414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La disposición contenida en el numeral 1 del presente artículo no impide la posibilidad para el beneficiario del subsidio, de constituir de acuerdo con las normas vigentes, una hipoteca a favor de la entidad otorgante del crédito requerido para lograr el cierre financiero de la vivienda.  </w:t>
      </w:r>
    </w:p>
    <w:p w14:paraId="3F1FA5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19A7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2º. Si la restitución del subsidio se fundamenta en los numerales 1 y 2 del presente artículo, se solicitará al hogar que emita las aclaraciones del caso debidamente soportadas. Si dentro del plazo establecido por Fonvivienda no se efectúan las aclaraciones del caso o persisten las causales para la restitución del subsidio, este procederá a revocar la asignación del subsidio y a ordenar la restitución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Caso en el cual se iniciarán las acciones judiciales o extrajudiciales tendientes a la recuperación efectiva de dichos recursos.  </w:t>
      </w:r>
    </w:p>
    <w:p w14:paraId="3F332B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17DB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haya lugar a la restitución del subsidio en contratos de leasing habitacional con fundamento en la causal del numeral 3 del presente artículo, el establecimiento de crédito descontará el valor del subsidio a restituir de los dineros objeto de la devolución al locatario beneficiario del subsidio familiar de vivienda.  </w:t>
      </w:r>
    </w:p>
    <w:p w14:paraId="1350C5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57E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presente la causal de restitución prevista en el numeral 4 del presente artí</w:t>
      </w:r>
      <w:r w:rsidRPr="009342F9">
        <w:rPr>
          <w:rFonts w:ascii="Arial" w:eastAsia="Times New Roman" w:hAnsi="Arial" w:cs="Arial"/>
          <w:color w:val="000000"/>
          <w:lang w:eastAsia="es-CO"/>
        </w:rPr>
        <w:softHyphen/>
        <w:t>culo, el establecimiento de crédito autorizará la cesión de la opción de adquisición o del contrato de leasing habitacional, siempre y cuando, cuente previamente con la aprobación de Fonvivienda. En todo caso, Fonvivienda aprobará la cesión de la opción de adquisición o del contrato de leasing habitacional, únicamente cuando el locatario beneficiario del subsidio lo restituya, de conformidad con lo dispuesto por inciso 2º del presente artículo. </w:t>
      </w:r>
    </w:p>
    <w:p w14:paraId="339EFE7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59" w:name="ver_30071462"/>
      <w:bookmarkEnd w:id="558"/>
      <w:bookmarkEnd w:id="559"/>
    </w:p>
    <w:p w14:paraId="75961F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2.1.1.4.1.6.2. Apropiación y compromiso de recursos del presupuesto nacional. Los recursos que destine el Gobierno Nacional para la asignación de los subsidios familiares de vivienda a que se refiere el artículo 2.1.1.4.1.2.1 de esta sección, serán apropiados en el Presupuesto General de la Nación a través de FONVIVIENDA o quien haga sus veces, y serán comprometidos con cargo a su presupuesto de inversión. La apropiación de estos recursos deberá guardar concordancia con la disponibilidad fiscal establecida tanto en el Marco de Gasto de Mediano Plazo del sector, como en el Marco Fiscal de Mediano Plazo. </w:t>
      </w:r>
    </w:p>
    <w:p w14:paraId="75B0DF66" w14:textId="72771647"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60" w:name="ver_30113946"/>
      <w:bookmarkEnd w:id="560"/>
    </w:p>
    <w:p w14:paraId="319ADD2E" w14:textId="69CCED1A"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1D23FD36"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COBERTURA DE TASA DE INTERÉS PARA LOS POTENCIALES DEUDORES DE CRÉDITO PERTENECIENTES A LOS HOGARES QUE RESULTEN BENEFICIARIOS DEL PROGRAMA DE PROMOCIÓN DE ACCESO A LA VIVIENDA DE INTERÉS SOCIAL “MI CASA YA”.</w:t>
      </w:r>
    </w:p>
    <w:p w14:paraId="0E5D855F" w14:textId="77777777" w:rsidR="00BD03DD" w:rsidRDefault="00BD03DD" w:rsidP="00683694">
      <w:pPr>
        <w:spacing w:after="0" w:line="240" w:lineRule="auto"/>
        <w:jc w:val="center"/>
        <w:rPr>
          <w:rFonts w:ascii="Arial" w:eastAsia="Times New Roman" w:hAnsi="Arial" w:cs="Arial"/>
          <w:b/>
          <w:bCs/>
          <w:color w:val="000000"/>
          <w:lang w:eastAsia="es-CO"/>
        </w:rPr>
      </w:pPr>
      <w:bookmarkStart w:id="561" w:name="ver_30113950"/>
      <w:bookmarkEnd w:id="561"/>
    </w:p>
    <w:p w14:paraId="08B5CFBF" w14:textId="14AB6565"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SECCION 2</w:t>
      </w:r>
    </w:p>
    <w:p w14:paraId="41EF7EAB"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COBERTURA DE TASA DE INTERÉS PARA LOS POTENCIALES DEUDORES DE CRÉDITO O LOCATARIOS DE LEASING HABITACIONAL DESTINADO A VIVIENDA FAMILIAR PERTENECIENTES A LOS HOGARES QUE RESULTEN BENEFICIARIOS DEL PROGRAMA DE PROMOCION DE ACCESO A LA VI</w:t>
      </w:r>
      <w:r w:rsidRPr="009342F9">
        <w:rPr>
          <w:rFonts w:ascii="Arial" w:eastAsia="Times New Roman" w:hAnsi="Arial" w:cs="Arial"/>
          <w:b/>
          <w:bCs/>
          <w:color w:val="000000"/>
          <w:lang w:eastAsia="es-CO"/>
        </w:rPr>
        <w:softHyphen/>
        <w:t>VIENDA DE INTERÉS SOCIAL - MI CASA YA</w:t>
      </w:r>
    </w:p>
    <w:p w14:paraId="1BDB4D6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62" w:name="ver_30113957"/>
      <w:bookmarkStart w:id="563" w:name="ver_30109280"/>
      <w:bookmarkEnd w:id="562"/>
    </w:p>
    <w:p w14:paraId="47341A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2.1.1.4.2.1. Cobertura de tasa de interés para la financiación de vivienda de interés social urbana nueva. El Gobierno nacional, a través del Fondo de Reserva para la Estabilización de la Cartera Hipotecaria (FRECH), administrado por el Banco de la República, ofrecerá coberturas de tasa de interés que faciliten la financiación de vivienda de interés social urbana nueva, a los potenciales deudores de crédito o locatarios de leasing habitacional destinado a vivienda familiar pertenecientes a los hogares que resulten benefi</w:t>
      </w:r>
      <w:r w:rsidRPr="009342F9">
        <w:rPr>
          <w:rFonts w:ascii="Arial" w:eastAsia="Times New Roman" w:hAnsi="Arial" w:cs="Arial"/>
          <w:color w:val="000000"/>
          <w:lang w:eastAsia="es-CO"/>
        </w:rPr>
        <w:softHyphen/>
        <w:t>ciarios del subsidio familiar de vivienda del Programa de Promoción de Acceso a la Vivienda de Interés Social - “Mi Casa Ya” a que hace referencia la sección 2.1.1.4.1 del presente decreto, a través de créditos para la compra de vivienda otorgados por establecimientos de crédito y contratos de leasing habitacional destinados a la adquisición de vivienda familiar celebrados por establecimientos de crédito, de acuerdo con las condiciones y términos establecidos en la presente sección, y sus modificaciones.  </w:t>
      </w:r>
    </w:p>
    <w:p w14:paraId="34F86D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8BBF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Banco de la República, como administrador del FRECH, creará una subcuenta para el manejo de los recursos requeridos para la cobertura a la que se refiere la presente sec</w:t>
      </w:r>
      <w:r w:rsidRPr="009342F9">
        <w:rPr>
          <w:rFonts w:ascii="Arial" w:eastAsia="Times New Roman" w:hAnsi="Arial" w:cs="Arial"/>
          <w:color w:val="000000"/>
          <w:lang w:eastAsia="es-CO"/>
        </w:rPr>
        <w:softHyphen/>
        <w:t>ción, separada y diferenciada contablemente de los demás recursos del FRECH, la cual se denominará FRECH - Mi Casa Ya.  </w:t>
      </w:r>
    </w:p>
    <w:p w14:paraId="414617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039C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cobertura consistirá en una permuta financiera calculada sobre la tasa de interés pac</w:t>
      </w:r>
      <w:r w:rsidRPr="009342F9">
        <w:rPr>
          <w:rFonts w:ascii="Arial" w:eastAsia="Times New Roman" w:hAnsi="Arial" w:cs="Arial"/>
          <w:color w:val="000000"/>
          <w:lang w:eastAsia="es-CO"/>
        </w:rPr>
        <w:softHyphen/>
        <w:t>tada en créditos nuevos o contratos de leasing habitacional nuevos, otorgados o celebrados respectivamente, por los establecimientos de crédito a deudores o locatarios que cumplan las condiciones que se establecen en la presente sección y en la normativa aplicable. La cobertura sólo será aplicable durante los primeros siete (7) años de vigencia contados a partir de la fecha de desembolso del crédito o de inicio del contrato de leasing habitacional.  </w:t>
      </w:r>
    </w:p>
    <w:p w14:paraId="5A8482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9F3F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permuta financiera consiste en un intercambio de flujos que se presenta cuando el establecimiento de crédito entrega al FRECH - Mi Casa Ya, el equivalente mensual de la tasa de interés pactada en el crédito o contrato de leasing habitacional, descontando lo co</w:t>
      </w:r>
      <w:r w:rsidRPr="009342F9">
        <w:rPr>
          <w:rFonts w:ascii="Arial" w:eastAsia="Times New Roman" w:hAnsi="Arial" w:cs="Arial"/>
          <w:color w:val="000000"/>
          <w:lang w:eastAsia="es-CO"/>
        </w:rPr>
        <w:softHyphen/>
        <w:t>rrespondiente a la cobertura y el FRECH - Mi Casa Ya, a su vez entrega al establecimiento de crédito el equivalente mensual de la tasa de interés pactada en el crédito o contrato de leasing habitacional. Cuando se trate de operaciones en UVR, el equivalente mensual de la tasa de interés pactada en el crédito o contrato de leasing habitacional se convertirá a su equivalente en pesos.  </w:t>
      </w:r>
    </w:p>
    <w:p w14:paraId="00603B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E898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pago producto de la permuta financiera por parte del FRECH - Mi Casa Ya a los establecimientos de crédito se realizará por el monto neto de las obligaciones generadas mes a mes, derivadas del intercambio de flujos.  </w:t>
      </w:r>
    </w:p>
    <w:p w14:paraId="243E44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E39E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señalará al Banco de la República y a los establecimientos de crédito, entre otras cosas, los términos y condiciones para realizar el intercambio de flujos derivados de la cobertura y precisará el alcance y contenido de los contratos marco de cobertura a que se refiere el artículo 2.1.1.4.2.10 del presente decreto.  </w:t>
      </w:r>
    </w:p>
    <w:p w14:paraId="1D84B2F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64" w:name="ver_30210173"/>
      <w:bookmarkStart w:id="565" w:name="ver_30109282"/>
      <w:bookmarkStart w:id="566" w:name="ver_30113960"/>
      <w:bookmarkEnd w:id="563"/>
      <w:bookmarkEnd w:id="564"/>
    </w:p>
    <w:p w14:paraId="06D20A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2.1.1.4.2.2. Graduación de la Cobertura. La cobertura prevista en la presente sección se graduará de acuerdo con el valor de la vivienda financiada por los deudores del crédito o locatarios del leasing habitacional beneficiarios de un subsidio familiar de vivienda en el Programa “Mi Casa Ya”, que la solicite según los siguientes segmentos:  </w:t>
      </w:r>
    </w:p>
    <w:p w14:paraId="04F48EE2"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2F894E9" w14:textId="1D774D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solicitudes de asignación del subsidio familiar de vivienda en el desarrollo del Programa “Mi Casa Ya” hasta el 31 de diciembre de 2019:  </w:t>
      </w:r>
    </w:p>
    <w:p w14:paraId="4650973E"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5757E71" w14:textId="351A202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Para viviendas cuyo valor, de acuerdo con el avalúo comercial vigente con el que cuente el establecimiento de crédito al momento en que se solicite la asignación del subsidio familiar de vivienda, sea de hasta setenta (70) salarios mínimos legales mensuales vigentes, se otorgará una cobertura equivalente a cinco (5) puntos porcentuales, liquidados sobre el saldo remanente del crédito o del contrato de leasing habitacional.  </w:t>
      </w:r>
    </w:p>
    <w:p w14:paraId="17149D6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780A00D" w14:textId="1CC6F0E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Para viviendas cuyo valor, de acuerdo con el avalúo comercial vigente con el que cuente el establecimiento de crédito al momento en que se solicite la asignación del subsidio familiar de vivienda, sea mayor a setenta (70) salarios mínimos legales mensuales vigentes y hasta ciento treinta y cinco (135) salarios mínimos mensuales legales vigentes, se otorgará una cobertura equivalente a cuatro (4) puntos porcentuales, liquidados sobre el saldo remanente del crédito o del contrato de leasing habitacional.  </w:t>
      </w:r>
    </w:p>
    <w:p w14:paraId="36AF694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C88D4E3" w14:textId="0CE7E10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solicitud de asignación del subsidio familiar de vivienda en el desarrollo del  </w:t>
      </w:r>
    </w:p>
    <w:p w14:paraId="685BCA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Programa “Mi Casa Ya a partir del 01 de enero de 2020:  </w:t>
      </w:r>
    </w:p>
    <w:p w14:paraId="3E3C392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481E47D" w14:textId="0266D66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Para viviendas cuyo valor, de acuerdo con el avalúo comercial vigente con el que cuente el establecimiento de crédito al momento en que se solicite la asignación del subsidio familiar de vivienda, sea de hasta noventa (90) salarios mínimos legales mensuales vigentes, se otorgará una cobertura equivalente a cinco (5) puntos porcentuales, liquidados sobre el saldo remanente del crédito o del contrato de leasing habitacional.  </w:t>
      </w:r>
    </w:p>
    <w:p w14:paraId="1BBF8BE2"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6275A57" w14:textId="2769AA8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Para viviendas cuyo valor de acuerdo con el avalúo comercial vigente con el que cuente el establecimiento de crédito al momento en que se solicite la asignación del subsidio familiar de vivienda, sea mayor a noventa (90) salarios mínimos legales mensuales vigentes y hasta ciento treinta y cinco (135) salarios mínimos mensuales legales vigentes, se otorgará una cobertura equivalente a cuatro (4) puntos porcentuales, liquidados sobre el saldo remanente del crédito o del contrato de leasing habitacional.  </w:t>
      </w:r>
    </w:p>
    <w:p w14:paraId="4C6311C4"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EC187A8" w14:textId="5D9E9ABA"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Para viviendas ubicadas en los municipios y distritos establecidos en el título 9 de la parte 1 del libro 2 del presente decreto, cuyo valor, de acuerdo con el avalúo comercial vigente con el que cuente el establecimiento de crédito al momento en que se solicite la asignación del subsidio familiar de vivienda, sea mayor a noventa (90) salarios mínimos legales mensuales vigentes y hasta ciento cincuenta (150) salarios mínimos mensuales legales vigentes, se otorgará una cobertura equivalente a cuatro (4) puntos porcentuales, liquidados sobre el saldo remanente del crédito o del contrato de leasing habitacional.  </w:t>
      </w:r>
    </w:p>
    <w:p w14:paraId="28A2B201"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717E1F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El(los) deudor(es) del crédito o locatario(s) del leasing habitacional beneficiario(s) de la cobertura, durante la vigencia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pagarán mensualmente a los establecimientos de crédito, el equivalente mensual de la tasa de interés pactada para el respectivo período, descontando lo correspondiente a la cobertura, de acuerdo con lo establecido en el presente artículo. Cuando se trate de operaciones en UVR, el equivalente mensual de la tasa de interés pactada en el crédito hipotecario o contrato de leasing habitacional se convertirá a pesos.  </w:t>
      </w:r>
    </w:p>
    <w:p w14:paraId="09BD8AD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E99F181" w14:textId="0FAD630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que por cualquier circunstancia el establecimiento de crédito cobre al(los) deudor(es) del crédito o locatario(s) una tasa de interés diferente a la pactada, la tasa de interés efectivamente cobrada será la utilizada para el cálculo del intercambio de flujos derivado de la cobertura. En ningún caso la cobertura resultante podrá ser superior a la tasa pactada o a la efectivamente cobrada al(los) deudor(es) del crédito o locatario(s) del contrato de leasing habitacional, según sea el caso.  </w:t>
      </w:r>
    </w:p>
    <w:p w14:paraId="376D49B5"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2D29198" w14:textId="47843EE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definirá el número de coberturas disponibles para los créditos o contratos de leasing habitacional en cada uno de los segmentos de vivienda señalados, que serán objeto del beneficio aquí previsto. En todo caso, Fonvivienda podrá optar por modificar el número de coberturas.  </w:t>
      </w:r>
    </w:p>
    <w:p w14:paraId="0E530CE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32842BF" w14:textId="76B163E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los créditos desembolsados y contratos de leasing habitacional iniciados a partir del primero (1°) de junio de 2017, el salario mínimo legal mensual vigente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que se utilizará para la graduación de la cobertura, corresponderá al salario mínimo legal mensual vigente (</w:t>
      </w:r>
      <w:proofErr w:type="spellStart"/>
      <w:r w:rsidRPr="009342F9">
        <w:rPr>
          <w:rFonts w:ascii="Arial" w:eastAsia="Times New Roman" w:hAnsi="Arial" w:cs="Arial"/>
          <w:color w:val="000000"/>
          <w:lang w:eastAsia="es-CO"/>
        </w:rPr>
        <w:t>smlmv</w:t>
      </w:r>
      <w:proofErr w:type="spellEnd"/>
      <w:r w:rsidRPr="009342F9">
        <w:rPr>
          <w:rFonts w:ascii="Arial" w:eastAsia="Times New Roman" w:hAnsi="Arial" w:cs="Arial"/>
          <w:color w:val="000000"/>
          <w:lang w:eastAsia="es-CO"/>
        </w:rPr>
        <w:t>) de la fecha de solicitud de asignación del subsidio familiar de vivienda.  </w:t>
      </w:r>
    </w:p>
    <w:p w14:paraId="33B9AC2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A955AA6" w14:textId="2323E94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serán los únicos responsables de verificar las condiciones señaladas en este parágrafo e informarán al Banco de la República, como administrador del FRECH, la fecha de solicitud de asignación del subsidio familiar de vivienda.  </w:t>
      </w:r>
    </w:p>
    <w:p w14:paraId="21ABF863" w14:textId="43625CD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67" w:name="ver_30113965"/>
      <w:bookmarkStart w:id="568" w:name="ver_30109283"/>
      <w:bookmarkEnd w:id="565"/>
      <w:bookmarkEnd w:id="566"/>
      <w:bookmarkEnd w:id="567"/>
    </w:p>
    <w:p w14:paraId="5D64BE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2.1.1.4.2.3. Condiciones para el acceso a la cobertura. Para acceder a la cobertura, el(los) potencial(es) deudor(es) del crédito o locatarios del contrato de leasing habitacional, deberán cumplir las condiciones previstas en esta sección, y especialmente las siguientes:  </w:t>
      </w:r>
    </w:p>
    <w:p w14:paraId="7CE20C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F59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Ser beneficiario(s) de un subsidio familiar de vivienda en el marco del Programa “Mi Casa Ya” de que trata la sección 2.1.1.4.1 del presente decreto y las demás normas que lo modifiquen adicionen o sustituyan.  </w:t>
      </w:r>
    </w:p>
    <w:p w14:paraId="15DFF8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5680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 haber sido beneficiarios, a cualquier título, de las coberturas de tasa de interés, establecidas en el Decreto 1068 de 2015, Decreto Único Reglamentario del Sector Hacienda y Crédito Público, y en el presente decreto, y las normas que los reglamenten, modifiquen, adicionen o sustituyan.  </w:t>
      </w:r>
    </w:p>
    <w:p w14:paraId="2D8D2C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acceder a la cobertura de que trata la presente sección, los potenciales beneficiarios deberán manifestar por escrito al establecimiento de crédito, antes del desembolso del crédito o de la suscripción del contrato de leasing habitacional su intención de recibirla, señalando expresamente que conocen y aceptan los términos y condiciones para el acceso, vigencia y terminación anticipada de la cobertura, en particular que el beneficio de la cobertura estará sujeto a la disponibilidad de coberturas del Programa “Mi Casa Ya” al momento del desembolso del crédito o inicio del contrato de leasing habitacional.  </w:t>
      </w:r>
    </w:p>
    <w:p w14:paraId="1BF427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A784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definirá cuando sea el caso, el alcance de las condiciones para acceder a la cobertura de que trata la presente sección.  </w:t>
      </w:r>
    </w:p>
    <w:p w14:paraId="359399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7EB7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verificarán el cumplimiento de las condiciones esta</w:t>
      </w:r>
      <w:r w:rsidRPr="009342F9">
        <w:rPr>
          <w:rFonts w:ascii="Arial" w:eastAsia="Times New Roman" w:hAnsi="Arial" w:cs="Arial"/>
          <w:color w:val="000000"/>
          <w:lang w:eastAsia="es-CO"/>
        </w:rPr>
        <w:softHyphen/>
        <w:t>blecidas en los numerales 1 y 2 del presente artículo mediante el sistema de información que determine Fonvivienda.  </w:t>
      </w:r>
    </w:p>
    <w:p w14:paraId="6A54FF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EB27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Con las verificaciones que realicen los establecimientos de crédito de los numerales 1 y 2 del presente artículo, se acreditará el cumplimiento de estas condiciones y no habrá lugar a verificaciones adicionales por parte del Banco de la República, como administrador del FRECH. </w:t>
      </w:r>
    </w:p>
    <w:p w14:paraId="31DAEEE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69" w:name="ver_30210174"/>
      <w:bookmarkStart w:id="570" w:name="ver_30109284"/>
      <w:bookmarkStart w:id="571" w:name="ver_30113967"/>
      <w:bookmarkStart w:id="572" w:name="ver_30200399"/>
      <w:bookmarkEnd w:id="568"/>
      <w:bookmarkEnd w:id="569"/>
    </w:p>
    <w:p w14:paraId="370C6F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2.1.1.4.2.4. Créditos o Contratos de leasing habitacional elegibles. La cobertura se aplicará a los créditos o contratos de leasing habitacional que cumplan, como mínimo, con las condiciones que se relacionan a continuación y las demás que se prevean en la presente sección y sus modificaciones:  </w:t>
      </w:r>
    </w:p>
    <w:p w14:paraId="564D924D"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319DD69" w14:textId="2F90851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Financiación objeto de la cobertura: Los créditos o contratos de leasing habitacional que celebren los establecimientos de crédito para financiar el acceso a una vivienda de interés social urbana nueva, en el marco del Programa “Mi Casa Ya” de que trata la sección 2.1.1.4.1 del presente decreto y sus modificaciones, y que cumplan con las condiciones establecidas en esta sección.  </w:t>
      </w:r>
    </w:p>
    <w:p w14:paraId="46F9FB6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2500B0B" w14:textId="70CB6B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Fecha de desembolso de los créditos o de inicio de los contratos de leasing habitacional: La cobertura se aplicará a los créditos que se desembolsen o contratos de leasing habitacional que se inicien a partir del primero (1°) de junio de 2017 y hasta el agotamiento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xml:space="preserve"> o hasta las fechas que establezca el Fondo Nacional de Vivienda (Fonvivienda).  </w:t>
      </w:r>
    </w:p>
    <w:p w14:paraId="63DA2F8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3C46F41" w14:textId="7F2FB25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Unicidad: La cobertura se otorgará por una sola vez y se aplicará a todos los deudores del crédito o locatarios del contrato de leasing habitacional, a cualquier título.  </w:t>
      </w:r>
    </w:p>
    <w:p w14:paraId="30AF7B39" w14:textId="445DA88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73" w:name="ver_30219296"/>
      <w:bookmarkStart w:id="574" w:name="ver_30109286"/>
      <w:bookmarkStart w:id="575" w:name="ver_30113971"/>
      <w:bookmarkEnd w:id="570"/>
      <w:bookmarkEnd w:id="571"/>
      <w:bookmarkEnd w:id="572"/>
      <w:bookmarkEnd w:id="573"/>
    </w:p>
    <w:p w14:paraId="5716F6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2.1.1.4.2.5. Terminación anticipada de la cobertura. La cobertura se terminará en forma anticipada en los siguientes eventos: </w:t>
      </w:r>
    </w:p>
    <w:p w14:paraId="673A893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6F4A5F8" w14:textId="581636A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Por pago anticipado del crédito o por hacer uso de la opción de adquisición, tratándose de contratos de leasing habitacional. </w:t>
      </w:r>
    </w:p>
    <w:p w14:paraId="6C689CE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28FF071" w14:textId="4BADFA5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Por mora en el pago de tres (3) cuotas o cánones consecutivos a cargo del(los) deudor(es) o locatario(s) de leasing habitacional. En este caso, la cobertura se perderá a partir del día siguiente al vencimiento de la última cuota o canon incumplido. </w:t>
      </w:r>
    </w:p>
    <w:p w14:paraId="540A86E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707CE42" w14:textId="04588C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Por petición del(los) deudor(es) o locatario(s). </w:t>
      </w:r>
    </w:p>
    <w:p w14:paraId="2E215D0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1807E16" w14:textId="32E59F6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Por cesión del crédito, por parte del deudor. </w:t>
      </w:r>
    </w:p>
    <w:p w14:paraId="3F93CCD4"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971F019" w14:textId="50FAC63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Por cesión del contrato de leasing habitacional, por parte del locatario. </w:t>
      </w:r>
    </w:p>
    <w:p w14:paraId="57C8C65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314F4AE" w14:textId="2425C3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Por reestructuración del crédito o del contrato de leasing habitacional que implique el incremento de los montos, o saldos de las obligaciones o ampliación del plazo del crédito o contrato. </w:t>
      </w:r>
    </w:p>
    <w:p w14:paraId="75FB8B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Por aceleración del plazo conforme a los términos contractuales. </w:t>
      </w:r>
    </w:p>
    <w:p w14:paraId="4E34FA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6EE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cobertura se mantendrá vigente en los casos de cesión, venta o enajenación de la cartera con cobertura, entre establecimientos de crédito y en los procesos derivados de titularización de cartera con cobertura. </w:t>
      </w:r>
    </w:p>
    <w:p w14:paraId="76E0AACE" w14:textId="46AE013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El otorgamiento de periodos de gracia en capital e intereses en los créditos para adquisición de vivienda o contratos de leasing habitacional que cuenten con el beneficio de cobertura de tasa de interés, que se pacten entre los beneficiarios y la respectiva entidad en el marco de las instrucciones impartidas por la Superintendencia Financiera mediante circular externa 007 de 2020, no se entenderá como causal de terminación anticipada de la cobertura.</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Las entidades que otorguen periodos de gracia en capital e intereses a los beneficiarios de las coberturas de tasa de interés deberán informar dicha circunstancia al Banco de la República como administrador del Fondo de Reserva para la Estabilización de la Cartera Hipotecaria - FRECH. </w:t>
      </w:r>
    </w:p>
    <w:p w14:paraId="2AC1469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76" w:name="ver_30113973"/>
      <w:bookmarkStart w:id="577" w:name="ver_30109287"/>
      <w:bookmarkEnd w:id="574"/>
      <w:bookmarkEnd w:id="575"/>
      <w:bookmarkEnd w:id="576"/>
    </w:p>
    <w:p w14:paraId="53BF17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2.1.1.4.2.6. Recursos para la cobertura. Los recursos requeridos para el otorgamiento y pago de las coberturas previstas en esta sección, así como los gastos de gestión en que incurra el Banco de la República en la realización de la permuta financiera, serán apropiados en el Presupuesto General de la Nación a través de Fonvivienda o quien haga sus veces, y serán comprometidos con cargo a su presupuesto de inversión a favor del FRECH - Mi Casa Ya, dando cumplimiento a las disposiciones en materia presupuestal.  </w:t>
      </w:r>
    </w:p>
    <w:p w14:paraId="64F1BB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C0C0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cada vigencia, la apropiación de estos recursos quedará condicionada al espacio fiscal establecido tanto en el Marco de Gasto de Mediano Plazo del sector Vivienda, así como en el Marco Fiscal de Mediano Plazo. La expedición de la presente sección no podrá dar origen a ajustes que impliquen recursos adicionales a los ya contemplados en el marco de gasto de mediano plazo vigente para el sector.  </w:t>
      </w:r>
    </w:p>
    <w:p w14:paraId="05B58A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85B0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Ministerio de Vivienda, Ciudad y Territorio realizará un seguimiento a la ejecución del Programa, y adelantará los trámites a que haya lugar ante el Ministerio de Hacienda y Crédito Público, con el fin de gestionar la disponibilidad de recursos para la continuidad del Programa y otorgar los beneficios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5FDB843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78" w:name="ver_30113977"/>
      <w:bookmarkStart w:id="579" w:name="ver_30109288"/>
      <w:bookmarkEnd w:id="577"/>
      <w:bookmarkEnd w:id="578"/>
    </w:p>
    <w:p w14:paraId="036D52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2.1.1.4.2.7. Giro de los recursos. Los recursos asignados para financiar la cobertura de que trata la presente </w:t>
      </w:r>
      <w:proofErr w:type="gramStart"/>
      <w:r w:rsidRPr="009342F9">
        <w:rPr>
          <w:rFonts w:ascii="Arial" w:eastAsia="Times New Roman" w:hAnsi="Arial" w:cs="Arial"/>
          <w:color w:val="000000"/>
          <w:lang w:eastAsia="es-CO"/>
        </w:rPr>
        <w:t>sección,</w:t>
      </w:r>
      <w:proofErr w:type="gramEnd"/>
      <w:r w:rsidRPr="009342F9">
        <w:rPr>
          <w:rFonts w:ascii="Arial" w:eastAsia="Times New Roman" w:hAnsi="Arial" w:cs="Arial"/>
          <w:color w:val="000000"/>
          <w:lang w:eastAsia="es-CO"/>
        </w:rPr>
        <w:t xml:space="preserve"> formarán parte del FRECH - Mi Casa Ya y serán girados de conformidad con los compromisos anuales que se deriven del otorgamiento, ejecución y vencimiento de dichas coberturas.  </w:t>
      </w:r>
    </w:p>
    <w:p w14:paraId="1408D4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DA25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Viceministerio Técnico del Ministerio de Hacienda y Crédito Público definirá el procedimiento, oportunidad, plazo y cuantías requeridas para el traslado al FRECH - Mi Casa Ya, de los recursos líquidos necesarios para el cubrimiento y pago de las coberturas de que trata la presente sección.  </w:t>
      </w:r>
    </w:p>
    <w:p w14:paraId="18EA1B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2122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girará al Banco de la República, como administrador del FRECH, los re</w:t>
      </w:r>
      <w:r w:rsidRPr="009342F9">
        <w:rPr>
          <w:rFonts w:ascii="Arial" w:eastAsia="Times New Roman" w:hAnsi="Arial" w:cs="Arial"/>
          <w:color w:val="000000"/>
          <w:lang w:eastAsia="es-CO"/>
        </w:rPr>
        <w:softHyphen/>
        <w:t>cursos líquidos necesarios para el cubrimiento y pago de estas coberturas, previa solicitud que en tal sentido le presente el Banco de la República a Fonvivienda, de conformidad con las obligaciones generadas mes a mes derivadas de la permuta financiera.  </w:t>
      </w:r>
    </w:p>
    <w:p w14:paraId="5A3D24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A6F1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Así mismo, Fonvivienda pagará al Banco de la República los gastos en que este incurra en la realización de la permuta financiera prevista en esta sección, los cuales se pagarán con cargo a los recursos del FRECH - Mi Casa Ya.  </w:t>
      </w:r>
    </w:p>
    <w:p w14:paraId="7D8B66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DCED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Banco de la República, como administrador del FRECH, no será responsable por el cubrimiento y pago de las coberturas de que trata esta sección, cuando Fonvivienda no haya realizado las apropiaciones presupuestales necesarias para el pago de estas coberturas y cuando Fonvivienda no haya hecho la entrega y giro de los recursos correspondientes al FRECH - Mi Casa Ya.  </w:t>
      </w:r>
    </w:p>
    <w:p w14:paraId="219A9B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56C2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trámites presupuestales de apropiación, ejecución, registro y desembolso estarán a cargo de Fonvivienda. </w:t>
      </w:r>
    </w:p>
    <w:p w14:paraId="726D1AEC"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7B0B96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80" w:name="ver_30109290"/>
      <w:bookmarkEnd w:id="579"/>
      <w:r w:rsidRPr="009342F9">
        <w:rPr>
          <w:rFonts w:ascii="Arial" w:eastAsia="Times New Roman" w:hAnsi="Arial" w:cs="Arial"/>
          <w:color w:val="000000"/>
          <w:lang w:eastAsia="es-CO"/>
        </w:rPr>
        <w:t>Artículo 2.1.1.4.2.8 Restitución de los recursos de la cobertura. Las sumas provenientes de las restituciones de recursos que deban realizar los establecimientos de crédito al FRECH - Mi Casa Ya respecto de deudores o locatarios que no tengan derecho a la cobertura o que se haya entregado en exceso, o por haber perdido la posibilidad de realizar el intercambio de flujos de la cobertura, o cualquier otra suma que deba restituirse, serán trasladadas a Fonvivienda y de este a la Dirección General de Crédito Público y Tesoro Nacional del Ministerio de Hacienda y Crédito Público. Fonvivienda impartirá las instrucciones para la restitución de estos recursos. </w:t>
      </w:r>
    </w:p>
    <w:p w14:paraId="6C4C4AE7" w14:textId="77777777" w:rsidR="00683694" w:rsidRPr="009342F9" w:rsidRDefault="00683694" w:rsidP="00FC79C1">
      <w:pPr>
        <w:spacing w:after="0" w:line="240" w:lineRule="auto"/>
        <w:jc w:val="both"/>
        <w:rPr>
          <w:rFonts w:ascii="Arial" w:eastAsia="Times New Roman" w:hAnsi="Arial" w:cs="Arial"/>
          <w:color w:val="000000"/>
          <w:lang w:eastAsia="es-CO"/>
        </w:rPr>
      </w:pPr>
      <w:bookmarkStart w:id="581" w:name="ver_30113979"/>
      <w:bookmarkStart w:id="582" w:name="ver_30109292"/>
      <w:bookmarkEnd w:id="580"/>
      <w:bookmarkEnd w:id="581"/>
    </w:p>
    <w:p w14:paraId="622810AE" w14:textId="2E3CC48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2.1.1.4.2.9. Convenio Interadministrativo. Mediante convenio interadministra</w:t>
      </w:r>
      <w:r w:rsidRPr="009342F9">
        <w:rPr>
          <w:rFonts w:ascii="Arial" w:eastAsia="Times New Roman" w:hAnsi="Arial" w:cs="Arial"/>
          <w:color w:val="000000"/>
          <w:lang w:eastAsia="es-CO"/>
        </w:rPr>
        <w:softHyphen/>
        <w:t>tivo o modificación al existente, Fonvivienda y el Banco de la República, como administrador del FRECH, determinarán las condiciones en que debe realizarse la permuta financiera de tasa de interés pactada sobre los créditos o contratos de leasing habitacional destinados a la adquisición de vivienda familiar a que se refiere la presente sección.  </w:t>
      </w:r>
    </w:p>
    <w:p w14:paraId="591D6864" w14:textId="1A6BDE1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83" w:name="ver_30113980"/>
      <w:bookmarkStart w:id="584" w:name="ver_30109293"/>
      <w:bookmarkEnd w:id="582"/>
      <w:bookmarkEnd w:id="583"/>
    </w:p>
    <w:p w14:paraId="583AAE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2.1.1.4.2.10. Contratos marco de permuta financiera de tasa de interés. Los establecimientos de crédito interesados en acceder a la cobertura que ofrece el Gobierno nacional a través del FRECH - Mi Casa Ya, deberán celebrar con el Banco de la República, como administrador del FRECH, un contrato marco de permuta financiera de tasa de interés para realizar el intercambio de flujos derivado de la cobertura prevista en esta sección. </w:t>
      </w:r>
    </w:p>
    <w:p w14:paraId="5E568C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5223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Dichos contratos marco deberán tener en cuenta de conformidad con lo dispuesto en esta sección y demás normas que lo reglamenten, modifiquen, adicionen o sustituyan, entre otras, las siguientes obligaciones: </w:t>
      </w:r>
    </w:p>
    <w:p w14:paraId="1F1B17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los establecimientos de crédito: </w:t>
      </w:r>
    </w:p>
    <w:p w14:paraId="6D6F2F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7C81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Informar al FRECH - Mi Casa Ya, para su registro, los créditos y contratos de leasing habitacional elegibles con derecho a la cobertura, de acuerdo con lo dispuesto en esta sección; </w:t>
      </w:r>
    </w:p>
    <w:p w14:paraId="0C8E8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CB7A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Presentar al FRECH - Mi Casa Ya, la cuenta de cobro correspondiente a los créditos desembolsados o contratos de leasing habitacional iniciados con derecho a la cobertura, registrados en el FRECH - Mi Casa Ya, por el valor neto del intercambio de flujos derivado de la permuta financiera, de acuerdo con lo dispuesto en esta sección; </w:t>
      </w:r>
    </w:p>
    <w:p w14:paraId="40256B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ABA2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Certificar al Banco de la República, como administrador del FRECH: </w:t>
      </w:r>
    </w:p>
    <w:p w14:paraId="31888B97" w14:textId="3732C4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Que los créditos o contratos de leasing habitacional objeto de la cobertura cumplen los requisitos y condiciones establecidos para el acceso y vigencia de la cobertura de tasa de interés, señalados en esta sección; </w:t>
      </w:r>
    </w:p>
    <w:p w14:paraId="31B8E1D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E5FDD85" w14:textId="0B1858C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La veracidad de toda la información enviada al FRECH - Mi Casa Ya, en concordan</w:t>
      </w:r>
      <w:r w:rsidRPr="009342F9">
        <w:rPr>
          <w:rFonts w:ascii="Arial" w:eastAsia="Times New Roman" w:hAnsi="Arial" w:cs="Arial"/>
          <w:color w:val="000000"/>
          <w:lang w:eastAsia="es-CO"/>
        </w:rPr>
        <w:softHyphen/>
        <w:t>cia con los requisitos y condiciones para el acceso, vigencia, terminación anticipada de la cobertura de tasa de interés y aquella relacionada con el intercambio de flujos, establecidos en esta sección y en la normativa aplicable; </w:t>
      </w:r>
    </w:p>
    <w:p w14:paraId="4012FE7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EC22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iii) Los créditos o contratos de leasing habitacional registrados en el FRECH - Mi Casa Ya que no tengan el derecho a la cobertura y las terminaciones anticipadas de la misma, de acuerdo con lo dispuesto en esta sección; </w:t>
      </w:r>
    </w:p>
    <w:p w14:paraId="18EA7C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C05F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Suministrar la información que requiera el Banco de la República para la realización de la permuta financiera en la oportunidad que se establezca para el efecto; </w:t>
      </w:r>
    </w:p>
    <w:p w14:paraId="4D2974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5E92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Restituir los recursos de que trata el artículo 2.1.1.4.2.8 de la presente sección. </w:t>
      </w:r>
    </w:p>
    <w:p w14:paraId="2915B0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1E05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el Banco de la República: </w:t>
      </w:r>
    </w:p>
    <w:p w14:paraId="5AD1C9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2F75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Validar operativamente que el contenido de la información remitida por los esta</w:t>
      </w:r>
      <w:r w:rsidRPr="009342F9">
        <w:rPr>
          <w:rFonts w:ascii="Arial" w:eastAsia="Times New Roman" w:hAnsi="Arial" w:cs="Arial"/>
          <w:color w:val="000000"/>
          <w:lang w:eastAsia="es-CO"/>
        </w:rPr>
        <w:softHyphen/>
        <w:t xml:space="preserve">blecimientos de crédito al FRECH - Mi Casa Ya, para efectos del registro de los créditos desembolsados o contratos de leasing habitacional iniciados con derecho a la cobertura y para el pago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sea consistente con la presente sección y su reglamentación; </w:t>
      </w:r>
    </w:p>
    <w:p w14:paraId="60B033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B250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Registrar en el FRECH - Mi Casa Ya, atendiendo la fecha de recibo en el Banco de la República en orden de llegada, los créditos desembolsados o contratos de leasing habi</w:t>
      </w:r>
      <w:r w:rsidRPr="009342F9">
        <w:rPr>
          <w:rFonts w:ascii="Arial" w:eastAsia="Times New Roman" w:hAnsi="Arial" w:cs="Arial"/>
          <w:color w:val="000000"/>
          <w:lang w:eastAsia="es-CO"/>
        </w:rPr>
        <w:softHyphen/>
        <w:t>tacional iniciados con derecho a la cobertura, teniendo en cuenta el número de coberturas disponibles para los créditos o contratos de leasing habitacional establecidos por Fonvivienda y el número de créditos o contratos de leasing habitacional con cobertura registrados en el FRECH - Mi Casa Ya, de acuerdo con lo informado por los establecimientos de crédito; </w:t>
      </w:r>
    </w:p>
    <w:p w14:paraId="6DD7ED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C665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Pagar el valor neto del intercambio de flujos derivado de la permuta financiera, de acuerdo con las instrucciones que para el efecto imparta Fonvivienda; </w:t>
      </w:r>
    </w:p>
    <w:p w14:paraId="492B4D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5AEA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Excluir de la cobertura los créditos o contratos de leasing habitacional registrados en el FRECH - Mi Casa Ya, que no tengan derecho a esta y registrar las terminaciones anti</w:t>
      </w:r>
      <w:r w:rsidRPr="009342F9">
        <w:rPr>
          <w:rFonts w:ascii="Arial" w:eastAsia="Times New Roman" w:hAnsi="Arial" w:cs="Arial"/>
          <w:color w:val="000000"/>
          <w:lang w:eastAsia="es-CO"/>
        </w:rPr>
        <w:softHyphen/>
        <w:t>cipadas de la misma, así como créditos o contratos de leasing habitacional respecto de los cuales no sea posible realizar el intercambio de flujos, de conformidad con la información presentada por los establecimientos de crédito; </w:t>
      </w:r>
    </w:p>
    <w:p w14:paraId="43F16D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08E7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Informar mensualmente a los establecimientos de crédito y a Fonvivienda el número de créditos desembolsados y contratos de leasing habitacional con derecho a la cobertura registrados en el FRECH - Mi Casa Ya. Adicionalmente a Fonvivienda se remitirá men</w:t>
      </w:r>
      <w:r w:rsidRPr="009342F9">
        <w:rPr>
          <w:rFonts w:ascii="Arial" w:eastAsia="Times New Roman" w:hAnsi="Arial" w:cs="Arial"/>
          <w:color w:val="000000"/>
          <w:lang w:eastAsia="es-CO"/>
        </w:rPr>
        <w:softHyphen/>
        <w:t>sualmente una relación de los beneficiarios de la cobertura. </w:t>
      </w:r>
    </w:p>
    <w:p w14:paraId="10B463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5636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En los contratos marco se estipulará que los establecimientos de crédito perderán la posibilidad de realizar el intercambio de flujos de la cobertura en los eventos que defina Fonvivienda, cuando haya lugar a ello, de acuerdo con la naturaleza y propósito de dicho mecanismo. </w:t>
      </w:r>
    </w:p>
    <w:p w14:paraId="4D84A5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DA06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En todo caso el registro y pago de la cobertura estará condicionada a la suscripción, o modificación, cuando sea el caso, de los contratos marco aquí establecidos, entre los establecimientos de crédito y el Banco de la República. </w:t>
      </w:r>
    </w:p>
    <w:p w14:paraId="6B35C3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9693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3º. El Banco de la República, como administrador del FRECH, no verifica las condiciones y requisitos para el otorgamiento de las coberturas de tasas de interés esta</w:t>
      </w:r>
      <w:r w:rsidRPr="009342F9">
        <w:rPr>
          <w:rFonts w:ascii="Arial" w:eastAsia="Times New Roman" w:hAnsi="Arial" w:cs="Arial"/>
          <w:color w:val="000000"/>
          <w:lang w:eastAsia="es-CO"/>
        </w:rPr>
        <w:softHyphen/>
        <w:t>blecidos en la presente sección y en las normas que lo modifiquen, adicionen o sustituyan; ni le corresponde determinar si los créditos desembolsados o contratos de leasing habitacional iniciados con los establecimientos de crédito tienen derecho a la cobertura. En ningún caso el Banco de la República pagará con sus recursos propios las coberturas de tasas de interés. </w:t>
      </w:r>
    </w:p>
    <w:p w14:paraId="2B1971A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85" w:name="ver_30113981"/>
      <w:bookmarkStart w:id="586" w:name="ver_30109294"/>
      <w:bookmarkEnd w:id="584"/>
      <w:bookmarkEnd w:id="585"/>
    </w:p>
    <w:p w14:paraId="0A2968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2.1.1.4.2.11. Responsabilidad de los establecimientos de crédito. Los esta</w:t>
      </w:r>
      <w:r w:rsidRPr="009342F9">
        <w:rPr>
          <w:rFonts w:ascii="Arial" w:eastAsia="Times New Roman" w:hAnsi="Arial" w:cs="Arial"/>
          <w:color w:val="000000"/>
          <w:lang w:eastAsia="es-CO"/>
        </w:rPr>
        <w:softHyphen/>
        <w:t>blecimientos de crédito serán los únicos responsables de verificar el cumplimiento de los requisitos y condiciones establecidos para el acceso, vigencia, y terminación anticipada de la cobertura de tasa de interés a los créditos o contratos de leasing habitacional de que trata la presente sección; así como de la veracidad de la información presentada al FRECH - Mi Casa Ya y del cumplimiento de las obligaciones contenidas en el contrato marco que sus</w:t>
      </w:r>
      <w:r w:rsidRPr="009342F9">
        <w:rPr>
          <w:rFonts w:ascii="Arial" w:eastAsia="Times New Roman" w:hAnsi="Arial" w:cs="Arial"/>
          <w:color w:val="000000"/>
          <w:lang w:eastAsia="es-CO"/>
        </w:rPr>
        <w:softHyphen/>
        <w:t>criban con el Banco de la República. Con la verificación del establecimiento de crédito se acreditará el cumplimiento de las condiciones y requisitos y no habrá lugar a verificaciones adicionales por parte del Banco de la República como administrador del FRECH.  </w:t>
      </w:r>
    </w:p>
    <w:p w14:paraId="71A3CB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B20B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deberán informar a los potenciales deudores de créditos de vivienda o locatarios de los contratos de leasing habitacional acerca de las condiciones de acceso, vigencia, y terminación anticipada de la cobertura, en las condiciones establecidas en la presente sección y demás normas que la reglamenten, modifiquen, adicionen o susti</w:t>
      </w:r>
      <w:r w:rsidRPr="009342F9">
        <w:rPr>
          <w:rFonts w:ascii="Arial" w:eastAsia="Times New Roman" w:hAnsi="Arial" w:cs="Arial"/>
          <w:color w:val="000000"/>
          <w:lang w:eastAsia="es-CO"/>
        </w:rPr>
        <w:softHyphen/>
        <w:t>tuyan, así como las instrucciones que imparta la Superintendencia Financiera de Colombia.  </w:t>
      </w:r>
    </w:p>
    <w:p w14:paraId="507747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0EA1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no podrán desembolsar créditos o iniciar contratos de leasing habitacional con derecho a la cobertura, sin haber recibido de parte de los potenciales deudores de los créditos o locatarios de los contratos de leasing habitacional la manifestación escrita prevista en el artículo 2.1.1.4.2.3 del presente decreto.  </w:t>
      </w:r>
    </w:p>
    <w:p w14:paraId="4B639A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1918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los establecimientos de crédito deberán informar al(los) deudor(es) o locatario(s): a) que su cobertura se encuentra sujeta a que en el momento del desembolso del crédito o inicio del contrato del leasing habitacional no se hayan agotado las coberturas disponibles y b) en el extracto de la obligación, el cálculo y aplicación de la cobertura, y remitir dentro de la proyección anual de los créditos individuales de vivienda o contratos de leasing habitacional lo que corresponda a la discriminación de los valores del beneficio.  </w:t>
      </w:r>
    </w:p>
    <w:p w14:paraId="28CBAA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6074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deberán verificar al momento del desembolso del crédito o inicio del contrato del leasing habitacional lo siguiente:  </w:t>
      </w:r>
    </w:p>
    <w:p w14:paraId="175BE2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1BB1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i) La disponibilidad de coberturas. En ningún caso los establecimientos de crédito podrán desembolsar créditos o iniciar los contratos del leasing habitacional con derecho a la cobertura en exceso del número de coberturas definidas por Fonvivienda, so pena de asumir el pago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con sus propios recursos;  </w:t>
      </w:r>
    </w:p>
    <w:p w14:paraId="3069B4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478D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Que la cobertura se otorgue únicamente a un crédito o contrato del leasing habita</w:t>
      </w:r>
      <w:r w:rsidRPr="009342F9">
        <w:rPr>
          <w:rFonts w:ascii="Arial" w:eastAsia="Times New Roman" w:hAnsi="Arial" w:cs="Arial"/>
          <w:color w:val="000000"/>
          <w:lang w:eastAsia="es-CO"/>
        </w:rPr>
        <w:softHyphen/>
        <w:t>cional y que aquella se aplique a todos los deudores o locatarios del contrato de leasing habitacional, a cualquier título.  </w:t>
      </w:r>
    </w:p>
    <w:p w14:paraId="6E1AB4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9307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Corresponderá a los establecimientos de crédito informar al Banco de la República los créditos desembolsados y contratos de leasing habitacional iniciados con derecho a la cobertura para efectos del registro y pago de la cobertura y comunicar lo pertinente al(los) deudor(es) o locatario(s).  </w:t>
      </w:r>
    </w:p>
    <w:p w14:paraId="508817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ED15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uso de los recursos otorgados como cobertura no podrán destinarse a propósitos diferentes a los indicados en la presente sección y las normas que lo reglamenten, modifi</w:t>
      </w:r>
      <w:r w:rsidRPr="009342F9">
        <w:rPr>
          <w:rFonts w:ascii="Arial" w:eastAsia="Times New Roman" w:hAnsi="Arial" w:cs="Arial"/>
          <w:color w:val="000000"/>
          <w:lang w:eastAsia="es-CO"/>
        </w:rPr>
        <w:softHyphen/>
        <w:t>quen, adicionen o sustituyan, so pena de incurrir en la conducta descrita en el artículo 311 del Código Penal </w:t>
      </w:r>
    </w:p>
    <w:p w14:paraId="06B95DB6" w14:textId="77777777" w:rsidR="00683694" w:rsidRPr="009342F9" w:rsidRDefault="00683694" w:rsidP="00683694">
      <w:pPr>
        <w:spacing w:after="0" w:line="240" w:lineRule="auto"/>
        <w:jc w:val="center"/>
        <w:rPr>
          <w:rFonts w:ascii="Arial" w:eastAsia="Times New Roman" w:hAnsi="Arial" w:cs="Arial"/>
          <w:b/>
          <w:bCs/>
          <w:color w:val="000000"/>
          <w:lang w:eastAsia="es-CO"/>
        </w:rPr>
      </w:pPr>
      <w:bookmarkStart w:id="587" w:name="ver_30071467"/>
      <w:bookmarkEnd w:id="586"/>
      <w:bookmarkEnd w:id="587"/>
    </w:p>
    <w:p w14:paraId="4D786ED8" w14:textId="33BA220F"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5</w:t>
      </w:r>
    </w:p>
    <w:p w14:paraId="20413DF8"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CRÉDITO CON ALIANZAS ESTRATÉGICAS DEL FONDO NACIONAL DEL AHORRO</w:t>
      </w:r>
    </w:p>
    <w:p w14:paraId="01F3235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88" w:name="ver_30071468"/>
      <w:bookmarkEnd w:id="588"/>
    </w:p>
    <w:p w14:paraId="679FAF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2.1.1.5.1. Objeto. Dentro de los programas de crédito que desarrolle el Fondo Nacional de Ahorro se incluirá una modalidad a través de Alianzas Estratégicas, consistente en el desarrollo de convenios entre el Fondo Nacional de Ahorro y las Cajas de Compensación Familiar que cuenten con unidades de servicio técnico especializado de vivienda, con el fin de promover el acceso efectivo a la vivienda de interés social, en condiciones favorables para los afiliados del Fondo Nacional de Ahorro, e incentivar la utilización de los subsidios de vivienda. </w:t>
      </w:r>
    </w:p>
    <w:p w14:paraId="3F56EFF6" w14:textId="57AA231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89" w:name="ver_30071471"/>
      <w:bookmarkEnd w:id="589"/>
    </w:p>
    <w:p w14:paraId="05407A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2.1.1.5.2. Gerentes de los proyectos de vivienda. Las Cajas de Compensación Familiar que cuenten con unidades de servicio técnico especializado de vivienda actuarán, en el marco de los convenios antes mencionados, como gerentes de los proyectos de vivienda que se ofrezcan a los afiliados al Fondo Nacional de Ahorro, y entre sus funciones estarán las siguientes: </w:t>
      </w:r>
    </w:p>
    <w:p w14:paraId="15ACF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DF28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Seleccionar las empresas constructoras, con observancia de las normas de contratación administrativa. </w:t>
      </w:r>
    </w:p>
    <w:p w14:paraId="14172C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117A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Designar al interventor del proyecto. </w:t>
      </w:r>
    </w:p>
    <w:p w14:paraId="318A77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1877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Ofrecer los proyectos. </w:t>
      </w:r>
    </w:p>
    <w:p w14:paraId="4DA55E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30B1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Administrar los recursos de los créditos otorgados por el Fondo Nacional de Ahorro y demás dineros aportados para el desarrollo del proyecto, para lo cual deberá constituirse un encargo fiduciario donde serán desembolsados, siguiendo la metodología que para el efecto adopte el Fondo Nacional de Ahorro mediante resolución. </w:t>
      </w:r>
    </w:p>
    <w:p w14:paraId="542746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90" w:name="ver_30071477"/>
      <w:bookmarkEnd w:id="590"/>
      <w:r w:rsidRPr="009342F9">
        <w:rPr>
          <w:rFonts w:ascii="Arial" w:eastAsia="Times New Roman" w:hAnsi="Arial" w:cs="Arial"/>
          <w:color w:val="000000"/>
          <w:lang w:eastAsia="es-CO"/>
        </w:rPr>
        <w:t>Artículo 2.1.1.5.3. Requisitos de los proyectos de vivienda. Será responsabilidad exclusiva de las Cajas de Compensación Familiar que suscriban los convenios, la evaluación y aprobación económica, administrativa, financiera, jurídica y técnica de los proyectos de vivienda para desarrollo con programas de crédito del Fondo Nacional de Ahorro. Para tal fin deberán verificar la existencia, entre otros, de los siguientes requisitos y condiciones: </w:t>
      </w:r>
    </w:p>
    <w:p w14:paraId="01CAC6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2DDB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existan las condiciones técnicas, jurídicas y financieras necesarias para que el proyecto se desarrolle. </w:t>
      </w:r>
    </w:p>
    <w:p w14:paraId="093FA8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208C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Que cuenten con las licencias de construcción y permisos necesarios para el desarrollo de las obras, y que los predios donde se vayan a desarrollar los </w:t>
      </w:r>
      <w:proofErr w:type="gramStart"/>
      <w:r w:rsidRPr="009342F9">
        <w:rPr>
          <w:rFonts w:ascii="Arial" w:eastAsia="Times New Roman" w:hAnsi="Arial" w:cs="Arial"/>
          <w:color w:val="000000"/>
          <w:lang w:eastAsia="es-CO"/>
        </w:rPr>
        <w:t>proyectos,</w:t>
      </w:r>
      <w:proofErr w:type="gramEnd"/>
      <w:r w:rsidRPr="009342F9">
        <w:rPr>
          <w:rFonts w:ascii="Arial" w:eastAsia="Times New Roman" w:hAnsi="Arial" w:cs="Arial"/>
          <w:color w:val="000000"/>
          <w:lang w:eastAsia="es-CO"/>
        </w:rPr>
        <w:t xml:space="preserve"> se encuentren libres de gravámenes y sean de propiedad de las respectivas Cajas de Compensación Familiar, los constructores privados, de las entidades territoriales o de las cooperativas y/o asociaciones que participen en el desarrollo del respectivo proyecto. </w:t>
      </w:r>
    </w:p>
    <w:p w14:paraId="7DC512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57DD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Que el constructor o promotor del proyecto acredite un mínimo de dos años de experiencia en construcción de vivienda y manifieste que no se le han hecho efectivas pólizas de cumplimiento en desarrollo de proyectos de vivienda, ni se encuentra inhabilitado para la celebración del contrato. </w:t>
      </w:r>
    </w:p>
    <w:p w14:paraId="21DC79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3455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Que presente un beneficio para los afiliados al Fondo Nacional de Ahorro en cuanto a precio, características, ubicación, área y especificaciones de las viviendas. </w:t>
      </w:r>
    </w:p>
    <w:p w14:paraId="4CB1F1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9095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Que se hayan constituido las pólizas tendientes a mitigar los riesgos inherentes al desarrollo de los proyectos. </w:t>
      </w:r>
    </w:p>
    <w:p w14:paraId="02CD80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C5A1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Los demás que determine el Fondo Nacional de Ahorro mediante resolución. </w:t>
      </w:r>
    </w:p>
    <w:p w14:paraId="12CD9F6A" w14:textId="7F89193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91" w:name="ver_30071616"/>
      <w:bookmarkEnd w:id="591"/>
    </w:p>
    <w:p w14:paraId="75696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2.1.1.5.4. Publicación proyectos de vivienda. Las Cajas de Compensación Familiar que cuenten con unidades de servicio técnico especializado de vivienda y hayan suscrito los convenios de que trata el presente capítulo, darán a conocer a los afiliados al Fondo Nacional de Ahorro los proyectos de vivienda, para que quienes lo estimen conveniente, radiquen la solicitud de crédito en el Fondo Nacional de Ahorro, que estudiará la solicitud de conformidad con los parámetros establecidos en su Reglamento de Crédito y se encargará de autorizar o negar los créditos de conformidad con las normas vigentes. </w:t>
      </w:r>
    </w:p>
    <w:p w14:paraId="0208FAA9" w14:textId="77777777" w:rsidR="00D25E1B" w:rsidRDefault="00D25E1B" w:rsidP="00FC79C1">
      <w:pPr>
        <w:spacing w:after="0" w:line="240" w:lineRule="auto"/>
        <w:jc w:val="both"/>
        <w:rPr>
          <w:rFonts w:ascii="Arial" w:eastAsia="Times New Roman" w:hAnsi="Arial" w:cs="Arial"/>
          <w:color w:val="000000"/>
          <w:lang w:eastAsia="es-CO"/>
        </w:rPr>
      </w:pPr>
      <w:bookmarkStart w:id="592" w:name="ver_30071618"/>
      <w:bookmarkEnd w:id="592"/>
    </w:p>
    <w:p w14:paraId="2A694165" w14:textId="61F4A9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2.1.1.5.5. Convenios con entidades territoriales. Las entidades territoriales que pretendan participar en los proyectos de los que trata el presente capítulo, dirigidos a generar soluciones de vivienda de interés social prioritario, deberán suscribir convenios en desarrollo de las Alianzas Estratégicas aquí reglamentadas y destinar recursos para subsidios en dinero y/o especie cuyo monto no podrá ser inferior al diez por ciento (10%) del valor final de la vivienda. </w:t>
      </w:r>
    </w:p>
    <w:p w14:paraId="5895C8DD" w14:textId="6D9E76C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593" w:name="ver_30072090"/>
      <w:bookmarkEnd w:id="593"/>
    </w:p>
    <w:p w14:paraId="0547A6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2.1.1.5.6. Reglamentación del desembolso de créditos. El Fondo Nacional de Ahorro reglamentará mediante resolución los mecanismos de promoción de los proyectos, el procedimiento y condiciones del desembolso de los créditos, así como los demás aspectos necesarios para hacer efectivo el cumplimiento del presente capítulo. </w:t>
      </w:r>
    </w:p>
    <w:p w14:paraId="28DC51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8C9376" w14:textId="53D09C3A" w:rsidR="00683694" w:rsidRPr="009342F9" w:rsidRDefault="00683694" w:rsidP="00D25E1B">
      <w:pPr>
        <w:spacing w:after="0" w:line="240" w:lineRule="auto"/>
        <w:jc w:val="both"/>
        <w:rPr>
          <w:rFonts w:ascii="Arial" w:eastAsia="Times New Roman" w:hAnsi="Arial" w:cs="Arial"/>
          <w:b/>
          <w:bCs/>
          <w:color w:val="000000"/>
          <w:lang w:eastAsia="es-CO"/>
        </w:rPr>
      </w:pPr>
      <w:bookmarkStart w:id="594" w:name="ver_30180368"/>
      <w:bookmarkEnd w:id="594"/>
    </w:p>
    <w:p w14:paraId="0C2CDEAE" w14:textId="104CD4CE"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6</w:t>
      </w:r>
    </w:p>
    <w:p w14:paraId="3067776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APLICABLE A CONTRATOS DE ARRENDAMIENTO Y ARRENDAMIENTO CON OPCIÓN DE COMPRA</w:t>
      </w:r>
    </w:p>
    <w:p w14:paraId="4B268352" w14:textId="77777777" w:rsidR="00E35FDD" w:rsidRDefault="00E35FDD" w:rsidP="00683694">
      <w:pPr>
        <w:spacing w:after="0" w:line="240" w:lineRule="auto"/>
        <w:jc w:val="center"/>
        <w:rPr>
          <w:rFonts w:ascii="Arial" w:eastAsia="Times New Roman" w:hAnsi="Arial" w:cs="Arial"/>
          <w:b/>
          <w:bCs/>
          <w:color w:val="000000"/>
          <w:lang w:eastAsia="es-CO"/>
        </w:rPr>
      </w:pPr>
    </w:p>
    <w:p w14:paraId="0C5C7B1F" w14:textId="535A52C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52EBF96D"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GENERALIDADES</w:t>
      </w:r>
    </w:p>
    <w:p w14:paraId="41CCA80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(Adicionado por artículo 1 Decreto 2413 de 2018)</w:t>
      </w:r>
    </w:p>
    <w:p w14:paraId="6357282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95" w:name="ver_30180369"/>
      <w:bookmarkEnd w:id="595"/>
    </w:p>
    <w:p w14:paraId="21AC33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2.1.1.6.1.1. Aplicación: El presente capítulo aplica a las operaciones de arrendamiento y arrendamiento con opción de compra y su vinculación con el subsidio familiar de vivienda en el marco del programa de promoción y acceso a vivienda de interés social y prioritario “Semillero de Propietarios” </w:t>
      </w:r>
    </w:p>
    <w:p w14:paraId="57DEFC3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96" w:name="ver_30180370"/>
      <w:bookmarkEnd w:id="596"/>
    </w:p>
    <w:p w14:paraId="207E1E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2.1.1.6.1.2. Definiciones: Para efectos del programa reglamentado en el presente capítulo, se tendrán en cuenta las siguientes definiciones:  </w:t>
      </w:r>
    </w:p>
    <w:p w14:paraId="446BE9D7"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168A6E8" w14:textId="220211A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Agentes  </w:t>
      </w:r>
    </w:p>
    <w:p w14:paraId="67B53DFD"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6D7C528" w14:textId="7AF6C3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 Hogar Beneficiario. Es aquel conformado por una o más personas que integren el mismo núcleo familiar, incluidos los cónyuges y las uniones maritales de hecho incluidas las conformadas por parejas del mismo sexo, y/o el grupo de personas unidas por vínculos de parentesco hasta el segundo grado de consanguinidad, primero de afinidad y único civil y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al cumplir con los requisitos de acceso, puede ser beneficiario del subsidio familiar de vivienda de que trata el presente capítulo.  </w:t>
      </w:r>
    </w:p>
    <w:p w14:paraId="442D100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EB3762E" w14:textId="2F17EEB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1.2. Gestor Inmobiliario. Son aquellas personas jurídicas o patrimonios autónomos encargados de la suscripción de los contratos de arrendamiento y de arrendamiento con opción de compra en calidad de arrendador, así como de efectuar la administración de las unidades de vivienda, sean propietarios o no de las mismas. Su gestión </w:t>
      </w:r>
      <w:proofErr w:type="gramStart"/>
      <w:r w:rsidRPr="009342F9">
        <w:rPr>
          <w:rFonts w:ascii="Arial" w:eastAsia="Times New Roman" w:hAnsi="Arial" w:cs="Arial"/>
          <w:color w:val="000000"/>
          <w:lang w:eastAsia="es-CO"/>
        </w:rPr>
        <w:t>se enmarcará dentro de</w:t>
      </w:r>
      <w:proofErr w:type="gramEnd"/>
      <w:r w:rsidRPr="009342F9">
        <w:rPr>
          <w:rFonts w:ascii="Arial" w:eastAsia="Times New Roman" w:hAnsi="Arial" w:cs="Arial"/>
          <w:color w:val="000000"/>
          <w:lang w:eastAsia="es-CO"/>
        </w:rPr>
        <w:t xml:space="preserve"> lo resuelto en el presente capítulo para efectos del programa “Semillero de Propietarios”, y le serán aplicables en su integralidad las disposiciones de la Ley 820 de 2003 y demás normas que regulen la actuación del arrendador de vivienda urbana.  </w:t>
      </w:r>
    </w:p>
    <w:p w14:paraId="6A9B009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5C9BD12" w14:textId="0FCDF0C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1.3. Sociedad Fiduciaria. Entendida como aquella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virtud de un contrato de fiducia mercantil, administra en calidad de vocera, el Patrimonio Autónomo que se constituya con los recursos que transfiera Fonvivienda y los demás que reciba de terceros para la ejecución del programa. En virtud de lo anterior, esta entidad podrá suscribir contratos a nombre del patrimonio autónomo y efectuar los desembolsos de recursos necesarios para la ejecución del programa.  </w:t>
      </w:r>
    </w:p>
    <w:p w14:paraId="0D41EE5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76726C4" w14:textId="5773B7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Recursos  </w:t>
      </w:r>
    </w:p>
    <w:p w14:paraId="588D692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B471521" w14:textId="05064932"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Subsidio Familiar de Vivienda aplicable al canon mensual en contratos de arrendamiento y arrendamiento con opción de compra. Es un aporte estatal en dinero, que se otorga por una sola vez al beneficiario y se entrega de forma periódica o anticipada, sin cargo de restitución, destinado a cubrir un porcentaje del canon mensual de arrendamiento, que le permita acceder en calidad de arrendatario a una solución de vivienda de interés social o prioritario nueva o usada.  </w:t>
      </w:r>
    </w:p>
    <w:p w14:paraId="5D32BAC2"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51026A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Porcentaje del canon a cargo del hogar. Corresponde al porcentaje del canon mensual de arrendamiento que no se encuentra cubierto por el subsidio familiar de vivienda y que debe ser sufragado por el hogar.  </w:t>
      </w:r>
    </w:p>
    <w:p w14:paraId="01F1B2C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4B6F6F4" w14:textId="4407FFE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Aporte del hogar. Es un monto mínimo adicional de 0.25 salarios mínimos legales mensuales vigentes de propiedad del hogar, que este debe aportar mensualmente durante la etapa de arrendamiento subsidiado, al producto financiero que se defina para tal efecto, el cual puede estar destinado a facilitar el ejercicio de la opción de compra. Durante la etapa de arrendamiento estos recursos solo podrán usarse como instrumento para hacer efectivas las garantías que los hogares beneficiarios constituyan para respaldar el cumplimiento de sus obligaciones con el garante del contrato de arrendamiento o de arrendamiento con opción de compra.  </w:t>
      </w:r>
    </w:p>
    <w:p w14:paraId="21B70D5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A2CDCEF" w14:textId="3064AFB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Instrumentos contractuales  </w:t>
      </w:r>
    </w:p>
    <w:p w14:paraId="2D6CA512"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624A50E" w14:textId="068813C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Contrato de arrendamiento. Aquel por el cual dos partes se obligan recíprocamente, la una a conceder el goce de un inmueble urbano destinado a vivienda, y la otra a pagar en contraprestación, un precio determinado, de acuerdo con las disposiciones establecidas en la Ley 820 de 2003.  </w:t>
      </w:r>
    </w:p>
    <w:p w14:paraId="38E16CD6"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6DCB099" w14:textId="3C05783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Contrato de arrendamiento con opción de compra. Aquel por el cual dos partes se obligan recíprocamente, la una a conceder el goce de un inmueble urbano destinado a vivienda, y la otra a pagar por este goce un precio determinado, durante un plazo convenido, a cuyo vencimiento el bien se restituye al arrendador o se transfiere al arrendatario, si este último decide ejercer la opción de compra pactada a su favor y al cual le serán aplicables en la etapa de alquiler las disposiciones de la Ley 820 de 2003.  </w:t>
      </w:r>
    </w:p>
    <w:p w14:paraId="4B9DD88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B6FC55C" w14:textId="3B19109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Garantías a cargo del hogar. Son aquellas que suscriban los hogares beneficiarios del subsidio familiar de vivienda de que trata el presente capítulo para respaldar el cumplimiento de sus obligaciones con el garante principal del contrato de arrendamiento o de arrendamiento con opción de compra, y que estarán respaldadas con los recursos de los aportes del hogar a los que se refiere el numeral 2.3 del presente artículo.  </w:t>
      </w:r>
    </w:p>
    <w:p w14:paraId="4BE23B4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9F323DA" w14:textId="0187A56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Instrumento Financiero de recaudo de aportes del hogar. Es el producto ofrecido por una entidad vigilada por la Superintendencia Financiera de Colombia, al cual se girarán los aportes de que trata el numeral 2.3 del presente artículo y que debe garantizar como mínimo, la posibilidad de utilizar los recursos allí depositados como respaldo al cumplimiento de las obligaciones del hogar con el garante del contrato de arrendamiento o de arrendamiento con opción de compra. A través de este instrumento también podrá efectuarse el recaudo del porcentaje del canon a cargo del hogar de que trata el numeral 2.2 de este artículo.  </w:t>
      </w:r>
    </w:p>
    <w:p w14:paraId="4A1E766C" w14:textId="41084C1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367055"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597" w:name="ver_30180371"/>
      <w:bookmarkEnd w:id="597"/>
      <w:r w:rsidRPr="009342F9">
        <w:rPr>
          <w:rFonts w:ascii="Arial" w:eastAsia="Times New Roman" w:hAnsi="Arial" w:cs="Arial"/>
          <w:b/>
          <w:bCs/>
          <w:color w:val="000000"/>
          <w:lang w:eastAsia="es-CO"/>
        </w:rPr>
        <w:t>SECCIÓN 2</w:t>
      </w:r>
    </w:p>
    <w:p w14:paraId="4380224E"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BENEFICIOS PARA LOS HOGARES OBJETO DEL PROGRAMA</w:t>
      </w:r>
    </w:p>
    <w:p w14:paraId="0B5CF2D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98" w:name="ver_30180372"/>
      <w:bookmarkEnd w:id="598"/>
    </w:p>
    <w:p w14:paraId="07DE01D3" w14:textId="356C27F5"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2.1.1.6.2.1. Valor del subsidio familiar de vivienda. El valor del subsidio familiar de vivienda destinado a cubrir un porcentaje del canon de arrendamiento </w:t>
      </w:r>
      <w:proofErr w:type="gramStart"/>
      <w:r w:rsidRPr="009342F9">
        <w:rPr>
          <w:rFonts w:ascii="Arial" w:eastAsia="Times New Roman" w:hAnsi="Arial" w:cs="Arial"/>
          <w:color w:val="000000"/>
          <w:lang w:eastAsia="es-CO"/>
        </w:rPr>
        <w:t>mensual,</w:t>
      </w:r>
      <w:proofErr w:type="gramEnd"/>
      <w:r w:rsidRPr="009342F9">
        <w:rPr>
          <w:rFonts w:ascii="Arial" w:eastAsia="Times New Roman" w:hAnsi="Arial" w:cs="Arial"/>
          <w:color w:val="000000"/>
          <w:lang w:eastAsia="es-CO"/>
        </w:rPr>
        <w:t xml:space="preserve"> será de hasta 0.6 salarios mínimos legales mensuales vigentes al momento de asignación del subsidio para cada canon de arrendamiento, hasta por veinticuatro (24) meses. El valor será determinado por el Ministerio de Vivienda, Ciudad y Territorio, de conformidad con el canon pactado en el contrato de arrendamiento o de arrendamiento con opción de compra.  </w:t>
      </w:r>
    </w:p>
    <w:p w14:paraId="1145ABE3"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6AF8A097" w14:textId="765AD5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valor del subsidio podrá ser ajustado por una sola vez dentro de los veinticuatro (24) meses antes señalados en los términos del artículo 20 de la Ley 820 de 2003 y de acuerdo con lo pactado en el respectivo contrato de arrendamiento o de arrendamiento con opción de compra.  </w:t>
      </w:r>
    </w:p>
    <w:p w14:paraId="15AF529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F35AF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valor del subsidio en ningún caso podrá sobrepasar el valor del canon pactado en el contrato de arrendamiento o de arrendamiento con opción de compra.  </w:t>
      </w:r>
    </w:p>
    <w:p w14:paraId="12219EB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599" w:name="ver_30180373"/>
      <w:bookmarkEnd w:id="599"/>
    </w:p>
    <w:p w14:paraId="2ED254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2.1.1.6.2.2 Garantía de Contratos de Arrendamiento y de Arrendamiento con Opción de Compra. Los contratos de arrendamiento o de arrendamiento con opción de compra que suscriban los hogares que resulten beneficiarios del programa, deberán ser objeto de una garantía que cubra el posible incumplimiento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incluyendo lo relacionado con la restitución final del inmueble. Fonvivienda podrá pagar el costo de adquisición de la garantía ya sea directamente o a través del patrimonio autónomo que se constituya para la administración de los recursos del programa. </w:t>
      </w:r>
    </w:p>
    <w:p w14:paraId="61469C17"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88DFF2F" w14:textId="0200519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2.1.1.6.2.3 Concurrencia de Subsidios. Los hogares beneficiarios del subsidio de que trata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podrán aplicarlo de manera complementaria y concurrente con otros subsidios otorgados por entidades partícipes del Sistema Nacional de Vivienda de Interés Social, destinados a facilitar la tenencia de vivienda en arrendamiento con o sin opción de compra. </w:t>
      </w:r>
    </w:p>
    <w:p w14:paraId="730B20E1" w14:textId="77777777" w:rsidR="00683694" w:rsidRPr="009342F9" w:rsidRDefault="00683694" w:rsidP="00FC79C1">
      <w:pPr>
        <w:spacing w:after="0" w:line="240" w:lineRule="auto"/>
        <w:jc w:val="both"/>
        <w:rPr>
          <w:rFonts w:ascii="Arial" w:eastAsia="Times New Roman" w:hAnsi="Arial" w:cs="Arial"/>
          <w:color w:val="000000"/>
          <w:lang w:eastAsia="es-CO"/>
        </w:rPr>
      </w:pPr>
      <w:bookmarkStart w:id="600" w:name="ver_30180375"/>
      <w:bookmarkEnd w:id="600"/>
    </w:p>
    <w:p w14:paraId="5BA1F441" w14:textId="72384064" w:rsidR="00FC79C1" w:rsidRPr="00E35FDD" w:rsidRDefault="00FC79C1" w:rsidP="00683694">
      <w:pPr>
        <w:spacing w:after="0" w:line="240" w:lineRule="auto"/>
        <w:jc w:val="center"/>
        <w:rPr>
          <w:rFonts w:ascii="Arial" w:eastAsia="Times New Roman" w:hAnsi="Arial" w:cs="Arial"/>
          <w:b/>
          <w:bCs/>
          <w:color w:val="000000"/>
          <w:lang w:eastAsia="es-CO"/>
        </w:rPr>
      </w:pPr>
      <w:r w:rsidRPr="00E35FDD">
        <w:rPr>
          <w:rFonts w:ascii="Arial" w:eastAsia="Times New Roman" w:hAnsi="Arial" w:cs="Arial"/>
          <w:b/>
          <w:bCs/>
          <w:color w:val="000000"/>
          <w:lang w:eastAsia="es-CO"/>
        </w:rPr>
        <w:t>SECCIÓN 3</w:t>
      </w:r>
    </w:p>
    <w:p w14:paraId="6F2448F0"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DE ACCESO AL SUBSIDIO FAMILIAR DE VIVIENDA</w:t>
      </w:r>
    </w:p>
    <w:p w14:paraId="023A536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01" w:name="ver_30180376"/>
      <w:bookmarkEnd w:id="601"/>
    </w:p>
    <w:p w14:paraId="129F291C" w14:textId="0CF94E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2.1.1.6.3.1 Distribución de Subsidios. El Ministerio de Vivienda, Ciudad y Territorio definirá mediante acto administrativo motivado, los Departamentos, Municipios y/o Regiones en donde se podrán aplicar los subsidios del programa a que se refiere este capítulo, para lo cual deberá tener en cuenta como mínimo, criterios de disponibilidad de oferta de vivienda de interés social y vivienda de interés prioritario.  </w:t>
      </w:r>
    </w:p>
    <w:p w14:paraId="535699D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EF8C6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dicha regulación también se establecerá hasta un 20% como porcentaje mínimo de destinación de subsidios con aplicación de criterios de enfoque diferencial dentro de los que deberán estar incluidos como mínimo: la población víctima de desplazamiento forzado, las mujeres cabeza de familia de los estratos más pobres de la población, las trabajadoras del sector informal, las madres comunitarias, las personas de la tercera edad, los miembros de comunidades étnicas, la población en situación de discapacidad, los miembros de la fuerza pública y los familiares beneficiarios de estos que hubieren fallecido en actos del servicio, y personal que haya tenido disminución en capacidad psicofísica o incapacidad absoluta permanente por gran invalidez. </w:t>
      </w:r>
    </w:p>
    <w:p w14:paraId="0A87D23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02" w:name="ver_30180377"/>
      <w:bookmarkEnd w:id="602"/>
    </w:p>
    <w:p w14:paraId="1797B470" w14:textId="3C57C31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2.1.1.6.3.2 Beneficiarios del Programa Semillero de Propietarios. Podrán ser beneficiarios del subsidio familiar de vivienda aplicable al canon mensual en contratos de arrendamiento y arrendamiento con opción de compra, los hogares que cumplan las siguientes condiciones:  </w:t>
      </w:r>
    </w:p>
    <w:p w14:paraId="0DE40CD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1F1F2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Acreditar ingresos mensuales hasta por el equivalente a dos (2) salarios mínimos legales mensuales vigentes.  </w:t>
      </w:r>
    </w:p>
    <w:p w14:paraId="29E63D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Para la población no perteneciente al sistema formal de trabajo, contar al momento de la postulación, con un puntaje del Sisbén igual o inferior al que determine el Ministerio de Vivienda, Ciudad y Territorio mediante Acto Administrativo, o en su defecto, estar incluidos en las herramientas de focalización establecidas por entidades del orden nacional.  </w:t>
      </w:r>
    </w:p>
    <w:p w14:paraId="00DC3F81" w14:textId="00CE6D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No ser propietarios de una vivienda en el territorio nacional.  </w:t>
      </w:r>
    </w:p>
    <w:p w14:paraId="0A46D5B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C7CED4A" w14:textId="5A819F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No haber sido beneficiarios de un subsidio familiar vivienda, que haya sido efectivamente aplicado, salvo quienes hayan perdido la vivienda por imposibilidad de pago, de acuerdo con lo establecido en el artículo 33 de la Ley 546 de 1999, o esta haya resultado afectada o destruida por causas no imputables al hogar beneficiario, o cuando la vivienda en la cual se haya aplicado el subsidio haya resultado totalmente destruid o quedado inhabitable como consecuencia de desastres naturales, calamidades públicas, emergencias, o atentados terroristas, o que haya sido abandonada o despojada en el marco del conflicto armado interno.  </w:t>
      </w:r>
    </w:p>
    <w:p w14:paraId="39C3800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FA7F6EA" w14:textId="1C149C5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No haber sido beneficiarios del subsidio familiar de vivienda de que trata el presente capítulo. Esta restricción no aplicará para quienes conformen hasta por una sola vez, un nuevo núcleo familiar al inicialmente beneficiado.  </w:t>
      </w:r>
    </w:p>
    <w:p w14:paraId="5DBF584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9B85BD7" w14:textId="10A97F7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No haber sido beneficiarios a cualquier título, de las coberturas de tasa de interés, salvo quienes hayan perdido la vivienda por imposibilidad de pago, de acuerdo con lo establecido en el artículo 33 de la Ley 546 de 1999, o esta haya resultado afectada o destruida por incumplimientos imputables a oferentes, constructores, gestores y/o ejecutores, o cuando la vivienda en la cual se haya aplicado la cobertura haya resultado totalmente destruida o quedado inhabitable como consecuencia de desastres naturales, calamidades públicas, emergencias, o atentados terroristas, o que haya sido abandonada o despojada en el marco del conflicto armado interno.  </w:t>
      </w:r>
    </w:p>
    <w:p w14:paraId="518CE25C"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0A82DD5" w14:textId="24D4B8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Contar con el puntaje de corte en el análisis de riesgo crediticio, de acuerdo con los criterios que establezca el Ministerio de Vivienda, Ciudad y Territorio.  </w:t>
      </w:r>
    </w:p>
    <w:p w14:paraId="0FACEDAE"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EF31F58" w14:textId="7826E6C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Contar con concepto favorable por parte del gestor inmobiliario para la suscripción de un contrato de arrendamiento o arrendamiento con opción de compra.  </w:t>
      </w:r>
    </w:p>
    <w:p w14:paraId="07714854"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0063A13" w14:textId="1FF069C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todos los efectos, cuando en el presente capítulo se hace referencia a los ingresos del hogar, se entenderá que son los ingresos totales que aquel devenga mensualmente.  </w:t>
      </w:r>
    </w:p>
    <w:p w14:paraId="6515BD2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9EED3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Quien haya sido beneficiario de un subsidio familiar de vivienda para la adquisición de vivienda urbana que se encuentre vigente y sin aplicar, asignado por Fonvivienda, podrá ser beneficiario del subsidio familiar de vivienda a que se refiere el presente capítulo, previa renuncia al subsidio asignado que se encuentre sin aplicar.  </w:t>
      </w:r>
    </w:p>
    <w:p w14:paraId="407D6F42"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42011D9" w14:textId="0E07135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2.1.1.6.3.3 Obligaciones de los beneficiarios. Los hogares que resulten beneficiados con la asignación del subsidio familiar de vivienda de que trata el presente capítulo por parte de Fonvivienda, tendrán las siguientes obligaciones:  </w:t>
      </w:r>
    </w:p>
    <w:p w14:paraId="5F5F457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D597C9C" w14:textId="2722067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Pagar el porcentaje del canon de arrendamiento que no se encuentre cubierto por el subsidio familiar de vivienda.  </w:t>
      </w:r>
    </w:p>
    <w:p w14:paraId="181A9BB4"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D0E5126" w14:textId="64F7F9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Efectuar el aporte de que trata el numeral 2.3 del artículo 2.1.1.6.1.2 del presente decreto.  </w:t>
      </w:r>
    </w:p>
    <w:p w14:paraId="142CF16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94C0EE6" w14:textId="4FD4076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Constituir las garantías que se requieran para respaldar el cumplimiento de sus obligaciones con el garante principal del contrato.  </w:t>
      </w:r>
    </w:p>
    <w:p w14:paraId="7DF8D62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5E45D34" w14:textId="1B35E7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Restituir el inmueble inmediatamente a la terminación del contrato de arrendamiento o cuando se presente incumplimiento de las obligaciones a su cargo establecidas en el presente capítulo, en el contrato de arrendamiento y en las demás normas aplicables.  </w:t>
      </w:r>
    </w:p>
    <w:p w14:paraId="0DFB693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4D870F5" w14:textId="4E3CCFC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Las demás que se establezcan en el contrato de arrendamiento o de arrendamiento con opción de compra. </w:t>
      </w:r>
    </w:p>
    <w:p w14:paraId="4713F0F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03" w:name="ver_30180379"/>
      <w:bookmarkEnd w:id="603"/>
    </w:p>
    <w:p w14:paraId="63104E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2.1.1.6.3.4 Condiciones de los beneficiarios. Los hogares beneficiarios deberán mantener las condiciones y requisitos para acceder al subsidio familiar de vivienda a que se refiere este capítulo, desde el momento de la postulación, hasta el momento del primer desembolso del subsidio, en consecuencia, será responsabilidad de los hogares informar a la entidad otorgante cualquier hecho que modifique las condiciones que le permiten ser beneficiario del subsidio familiar de vivienda. En todo caso, todos los miembros del hogar que se </w:t>
      </w:r>
      <w:proofErr w:type="gramStart"/>
      <w:r w:rsidRPr="009342F9">
        <w:rPr>
          <w:rFonts w:ascii="Arial" w:eastAsia="Times New Roman" w:hAnsi="Arial" w:cs="Arial"/>
          <w:color w:val="000000"/>
          <w:lang w:eastAsia="es-CO"/>
        </w:rPr>
        <w:t>postule,</w:t>
      </w:r>
      <w:proofErr w:type="gramEnd"/>
      <w:r w:rsidRPr="009342F9">
        <w:rPr>
          <w:rFonts w:ascii="Arial" w:eastAsia="Times New Roman" w:hAnsi="Arial" w:cs="Arial"/>
          <w:color w:val="000000"/>
          <w:lang w:eastAsia="es-CO"/>
        </w:rPr>
        <w:t xml:space="preserve"> se entenderán como beneficiarios del subsidio familiar de vivienda para todos los efectos. </w:t>
      </w:r>
    </w:p>
    <w:p w14:paraId="78FC3EA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04" w:name="ver_30205793"/>
      <w:bookmarkStart w:id="605" w:name="ver_30180381"/>
      <w:bookmarkEnd w:id="604"/>
    </w:p>
    <w:p w14:paraId="7FFBFFB4" w14:textId="00FF789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2.1.1.6.3.5 Condiciones de la vivienda. El valor de la vivienda en la que se aplicará el subsidio al que hace referencia el presente capítulo no podrá exceder el límite en salarios mínimos mensuales legales vigentes que se establezca para la Vivienda de Interés Social en las normas que regulen la materia. </w:t>
      </w:r>
    </w:p>
    <w:p w14:paraId="63C1C8A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18D8C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valor de la vivienda deberá incluir el valor de los bienes muebles e inmuebles que presten usos y servicios complementarios o conexos a los mismos tales como parqueaderos, depósitos, buhardillas, terrazas, antejardines o patios, así como el correspondiente a contratos de mejoras o acabados suscritos con el oferente o con terceros. Todos los valores contenidos en los contratos adicionales que se suscriban por parte de los </w:t>
      </w:r>
      <w:proofErr w:type="gramStart"/>
      <w:r w:rsidRPr="009342F9">
        <w:rPr>
          <w:rFonts w:ascii="Arial" w:eastAsia="Times New Roman" w:hAnsi="Arial" w:cs="Arial"/>
          <w:color w:val="000000"/>
          <w:lang w:eastAsia="es-CO"/>
        </w:rPr>
        <w:t>interesados,</w:t>
      </w:r>
      <w:proofErr w:type="gramEnd"/>
      <w:r w:rsidRPr="009342F9">
        <w:rPr>
          <w:rFonts w:ascii="Arial" w:eastAsia="Times New Roman" w:hAnsi="Arial" w:cs="Arial"/>
          <w:color w:val="000000"/>
          <w:lang w:eastAsia="es-CO"/>
        </w:rPr>
        <w:t xml:space="preserve"> formarán parte del valor final de la vivienda. </w:t>
      </w:r>
    </w:p>
    <w:p w14:paraId="59E148B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E5060E7" w14:textId="6F7AEC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subsidio familiar de vivienda de que trata el presente capítulo será aplicable a viviendas nuevas o usadas, entendiéndose por “nueva” aquella que estando terminada no ha sido habitada, y por “usada”, aquella que estando terminada ya ha sido habitada. </w:t>
      </w:r>
    </w:p>
    <w:p w14:paraId="197C9A7C"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CA23FB4" w14:textId="32AFB34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valor de la vivienda nueva será el establecido en el avalúo comercial presentado por el gestor inmobiliario en el acto de postulación de la vivienda, el cual deberá cumplir con las condiciones que sobre el particular establezca la normatividad vigente que regule la materia. Para viviendas usadas, el valor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será el establecido en el avalúo catastral”.  </w:t>
      </w:r>
    </w:p>
    <w:p w14:paraId="3D2440C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2D5F1C1"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06" w:name="ver_30180383"/>
      <w:bookmarkEnd w:id="605"/>
      <w:bookmarkEnd w:id="606"/>
      <w:r w:rsidRPr="009342F9">
        <w:rPr>
          <w:rFonts w:ascii="Arial" w:eastAsia="Times New Roman" w:hAnsi="Arial" w:cs="Arial"/>
          <w:b/>
          <w:bCs/>
          <w:color w:val="000000"/>
          <w:lang w:eastAsia="es-CO"/>
        </w:rPr>
        <w:t>SECCIÓN 4</w:t>
      </w:r>
    </w:p>
    <w:p w14:paraId="54A83C53"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INSTRUMENTOS PARA LA OPERACIÓN, ASIGNACIÓN Y LEGALIZACIÓN DEL SUBSIDIO FAMILIAR DE VIVIENDA</w:t>
      </w:r>
    </w:p>
    <w:p w14:paraId="2436E779"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07" w:name="ver_30180385"/>
      <w:bookmarkEnd w:id="607"/>
    </w:p>
    <w:p w14:paraId="695ADD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2.1.1.6.4.1 Contrato de fiducia mercantil. De acuerdo con las facultades atribuidas por el artículo 23 de la Ley 1469 de 2011 y el artículo 6° de la Ley 1537 de 2012, Fonvivienda celebrará en condición de fideicomitente, un contrato de fiducia mercantil, para que el patrimonio autónomo que se constituya administre los recursos del subsidio familiar de vivienda de que trata el presente capítulo.  </w:t>
      </w:r>
    </w:p>
    <w:p w14:paraId="09F2B36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08" w:name="ver_30180387"/>
      <w:bookmarkEnd w:id="608"/>
    </w:p>
    <w:p w14:paraId="3EDA48A5" w14:textId="5C3F40A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2.1.1.6.4.2 Activos del patrimonio autónomo. Podrán ser activos del patrimonio autónomo los siguientes:  </w:t>
      </w:r>
    </w:p>
    <w:p w14:paraId="01A0ADC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721B8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Los recursos del Presupuesto General de la Nación destinados a Fonvivienda, que este último transfiera a título de aporte fiduciario, de acuerdo con las facultades otorgadas por el artículo 23 de la Ley 1469 de 2011 y el artículo 6° de la Ley 1537 de 2012.  </w:t>
      </w:r>
    </w:p>
    <w:p w14:paraId="1C05C0D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3C07E3E" w14:textId="0C3659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Los que aporte cualquier entidad en calidad de otorgante del subsidio familiar de vivienda.  </w:t>
      </w:r>
    </w:p>
    <w:p w14:paraId="326E358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AB7ED0F" w14:textId="23C407D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Los rendimientos financieros que produzcan los recursos fideicomitidos.  </w:t>
      </w:r>
    </w:p>
    <w:p w14:paraId="6C76CF37"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D0E3ECE" w14:textId="4908AA3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Los que aporte cualquier persona jurídica a título gratuito.  </w:t>
      </w:r>
    </w:p>
    <w:p w14:paraId="67B6A57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68C1CF4" w14:textId="24F8613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Los que se determinen en el contrato de fiducia mercantil. </w:t>
      </w:r>
    </w:p>
    <w:p w14:paraId="3053A1C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09" w:name="ver_30180389"/>
      <w:bookmarkEnd w:id="609"/>
    </w:p>
    <w:p w14:paraId="137360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2.1.1.6.4.3 Gastos de administración. Con cargo a los recursos girados por Fonvivienda al patrimonio autónomo al que hace referencia el presente capítulo, se sufragarán los costos en que se incurra para el manejo y control de los recursos, los gastos de operación, auditorías y cualquier otro gasto que se requiera para el desarrollo, implementación y divulgación del programa “Semillero de Propietarios”.  </w:t>
      </w:r>
    </w:p>
    <w:p w14:paraId="7B5B949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10" w:name="ver_30180391"/>
      <w:bookmarkEnd w:id="610"/>
    </w:p>
    <w:p w14:paraId="035F791D" w14:textId="64F5C2C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2.1.1.6.4.4 Postulación de viviendas al programa. Los gestores inmobiliarios podrán postular viviendas nuevas, usadas o en construcción, propias o de terceros según el formato que sea establecido para tal efecto. Para la postulación será requisito contar con la matrícula de que tratan los artículos 28, 29, 30 y 31 de la Ley 820 de 2003. Para las viviendas cuyo propietario no sea el gestor inmobiliario, deberá acreditarse el fundamento contractual que le permite al gestor disponer de dicha vivienda para la suscripción del contrato de arrendamiento o arrendamiento con opción de compra, en calidad de arrendador.  </w:t>
      </w:r>
    </w:p>
    <w:p w14:paraId="433F421C"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0B5F986" w14:textId="6CD80D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gestor inmobiliario será el encargado de suscribir los contratos de arrendamiento y de arrendamiento con opción de compra en calidad de arrendador y de responder por la idoneidad de las viviendas que postulen.  </w:t>
      </w:r>
    </w:p>
    <w:p w14:paraId="3799452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0322EB1" w14:textId="0DFFEA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podrá establecer directamente, o a través del Patrimonio Autónomo que administre los recursos del programa, los requisitos, obligaciones y responsabilidades de los gestores inmobiliarios para efectos de su participación en el programa, las condiciones de las viviendas que estos postulen, así como los elementos mínimos del contrato de arrendamiento o arrendamiento con opción de compra que se suscriba en el marco del programa.  </w:t>
      </w:r>
    </w:p>
    <w:p w14:paraId="2DE076D2"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03632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Dentro de los elementos mínimos que se definan para los contratos de arrendamiento o arrendamiento con opción de compra, podrá estipularse el giro anticipado de los recursos del subsidio de que trata el presente capítulo al gestor inmobiliario, hasta por doce (12) meses. </w:t>
      </w:r>
    </w:p>
    <w:p w14:paraId="3A2F4FD9"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41C64DCC"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11" w:name="ver_30180393"/>
      <w:bookmarkEnd w:id="611"/>
      <w:r w:rsidRPr="009342F9">
        <w:rPr>
          <w:rFonts w:ascii="Arial" w:eastAsia="Times New Roman" w:hAnsi="Arial" w:cs="Arial"/>
          <w:b/>
          <w:bCs/>
          <w:color w:val="000000"/>
          <w:lang w:eastAsia="es-CO"/>
        </w:rPr>
        <w:t>SECCIÓN 5</w:t>
      </w:r>
    </w:p>
    <w:p w14:paraId="6FA35848"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POSTULACIÓN, ASIGNACIÓN Y LEGALIZACIÓN DEL SUBSIDIO FAMILIAR DE VIVIENDA</w:t>
      </w:r>
    </w:p>
    <w:p w14:paraId="62774F3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12" w:name="ver_30180395"/>
      <w:bookmarkEnd w:id="612"/>
    </w:p>
    <w:p w14:paraId="1626F9F4" w14:textId="355E9F7B"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2.1.1.6.5.1 Postulación de beneficiarios al programa. Es la solicitud individual por parte de un hogar, con el objeto de acceder al subsidio familiar de vivienda de que trata el presente capítulo. Los hogares interesados en ser beneficiarios del programa podrán presentarla por medio del sistema de información que señale Fonvivienda para tal efecto. Fonvivienda o la entidad que éste designe para la recepción de la postulación, hará una primera verificación del cumplimiento de los requisitos del hogar para acceder al subsidio de arrendamiento e indicará el resultado de dicha verificación en el sistema de información.  </w:t>
      </w:r>
    </w:p>
    <w:p w14:paraId="0A190F33"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704FBA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Surtido este trámite, el hogar postulante podrá acceder a la oferta de vivienda del programa a través del gestor inmobiliario, el cual emitirá el concepto favorable para la firma del contrato de arrendamiento o arrendamiento con opción de compra y dejará constancia de lo anterior en el respectivo sistema de información. </w:t>
      </w:r>
    </w:p>
    <w:p w14:paraId="0E114CF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13" w:name="ver_30180436"/>
      <w:bookmarkEnd w:id="613"/>
    </w:p>
    <w:p w14:paraId="48C329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2.1.1.6.5.2 Apertura del Instrumento para el recaudo de aportes del hogar. Una vez inscrito y habilitado para el otorgamiento del subsidio, el hogar postulante deberá constituir el producto financiero al que se refiere el numeral 3.4 del artículo 2.1.1.6.1.2 del presente decreto, al cual se transferirán los recursos del aporte y del porcentaje del canon a cargo del hogar contemplados en los numerales 2.2 y 2.3 del mismo artículo. </w:t>
      </w:r>
    </w:p>
    <w:p w14:paraId="75A0A72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14" w:name="ver_30180437"/>
      <w:bookmarkEnd w:id="614"/>
    </w:p>
    <w:p w14:paraId="2F390B90" w14:textId="173B2BC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2.1.1.6.5.3 Suscripción del contrato de arrendamiento y arrendamiento con opción de compra y solicitud de asignación del subsidio. Efectuada la apertura del instrumento financiero, el hogar postulante deberá presentar ante el gestor inmobiliario, el documento que certifique la existencia de dicho instrumento, lo cual quedará registrado en el sistema de información y habilitará al hogar postulante para la suscripción del respectivo contrato de arrendamiento o arrendamiento con opción de compra y la constitución de la garantía a favor del garante principal de dicho contrato.  </w:t>
      </w:r>
    </w:p>
    <w:p w14:paraId="540B7B2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A7D53FA" w14:textId="5780B62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contrato de arrendamiento o arrendamiento con opción de compra será suscrito entre las partes de acuerdo con las condiciones establecidas por Fonvivienda para tal efecto.  </w:t>
      </w:r>
    </w:p>
    <w:p w14:paraId="7FD7C87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50B6E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suscrito el contrato de arrendamiento o arrendamiento con opción de compra y la respectiva garantía, el gestor inmobiliario solicitará la asignación del subsidio de que trata el presente capítulo, a través del sistema de información.  </w:t>
      </w:r>
    </w:p>
    <w:p w14:paraId="1F333F70" w14:textId="1433153E" w:rsidR="00FC79C1" w:rsidRPr="009342F9" w:rsidRDefault="00FC79C1" w:rsidP="00683694">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15" w:name="ver_30180438"/>
      <w:bookmarkEnd w:id="615"/>
    </w:p>
    <w:p w14:paraId="0C157D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2.1.1.6.5.4 Asignación del subsidio familiar de vivienda. Una vez se reciba la solicitud para proceder a la asignación no se requerirán trámites adicionales y Fonvivienda procederá a la expedición del acto administrativo de asignación, la cual estará condicionada a la respectiva disponibilidad de recursos. El Ministerio de Vivienda, Ciudad y Territorio podrá suspender o cancelar los subsidios asignados si se agotan los recursos disponibles.  </w:t>
      </w:r>
    </w:p>
    <w:p w14:paraId="5DB1292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16" w:name="ver_30180439"/>
      <w:bookmarkEnd w:id="616"/>
    </w:p>
    <w:p w14:paraId="7083EFB1" w14:textId="06C2971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2.1.1.6.5.5 Legalización del subsidio familiar de vivienda. El subsidio familiar de vivienda de que trata el presente capítulo se entenderá legalizado para Fonvivienda, con los siguientes documentos:  </w:t>
      </w:r>
    </w:p>
    <w:p w14:paraId="7229E26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399212F" w14:textId="77777777"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El documento que acredita la asignación del subsidio familiar de vivienda. </w:t>
      </w:r>
    </w:p>
    <w:p w14:paraId="108F3A30" w14:textId="4BDE8B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B7F1AB" w14:textId="26220BC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documento que acredite la entrega a satisfacción del inmueble por parte del gestor inmobiliario al hogar beneficiario.  </w:t>
      </w:r>
    </w:p>
    <w:p w14:paraId="032ACD3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8BF09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w:t>
      </w:r>
      <w:proofErr w:type="gramStart"/>
      <w:r w:rsidRPr="009342F9">
        <w:rPr>
          <w:rFonts w:ascii="Arial" w:eastAsia="Times New Roman" w:hAnsi="Arial" w:cs="Arial"/>
          <w:color w:val="000000"/>
          <w:lang w:eastAsia="es-CO"/>
        </w:rPr>
        <w:t>El paz</w:t>
      </w:r>
      <w:proofErr w:type="gramEnd"/>
      <w:r w:rsidRPr="009342F9">
        <w:rPr>
          <w:rFonts w:ascii="Arial" w:eastAsia="Times New Roman" w:hAnsi="Arial" w:cs="Arial"/>
          <w:color w:val="000000"/>
          <w:lang w:eastAsia="es-CO"/>
        </w:rPr>
        <w:t xml:space="preserve"> y salvo emitido por el gestor inmobiliario en el que conste el pago de la totalidad de los cánones de arrendamiento que fueron objeto del subsidio.  </w:t>
      </w:r>
    </w:p>
    <w:p w14:paraId="0BABEFFB" w14:textId="1C0FEE2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15182F"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17" w:name="ver_30180441"/>
      <w:bookmarkEnd w:id="617"/>
      <w:r w:rsidRPr="009342F9">
        <w:rPr>
          <w:rFonts w:ascii="Arial" w:eastAsia="Times New Roman" w:hAnsi="Arial" w:cs="Arial"/>
          <w:b/>
          <w:bCs/>
          <w:color w:val="000000"/>
          <w:lang w:eastAsia="es-CO"/>
        </w:rPr>
        <w:t>SECCIÓN 6</w:t>
      </w:r>
    </w:p>
    <w:p w14:paraId="474DBA4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PÉRDIDA Y RESTITUCIÓN DEL SUBSIDIO FAMILIAR DE VIVIENDA</w:t>
      </w:r>
    </w:p>
    <w:p w14:paraId="1F05A7B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18" w:name="ver_30180442"/>
      <w:bookmarkEnd w:id="618"/>
    </w:p>
    <w:p w14:paraId="3700EBA8" w14:textId="2A3138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2.1.1.6.6.1 Pérdida y restitución del subsidio familiar de vivienda. Serán causales de pérdida y restitución del subsidio aplicable al canon, las establecidas en las normas vigentes y especialmente las siguientes:  </w:t>
      </w:r>
    </w:p>
    <w:p w14:paraId="3D5DC687"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95D5862" w14:textId="303487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Cuando el hogar beneficiario deje de residir en la vivienda dentro del plazo por el cual se haya subsidiado el canon, sin mediar permiso específico fundamentado en razones de fuerza mayor.  </w:t>
      </w:r>
    </w:p>
    <w:p w14:paraId="6A4C925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D1484F6" w14:textId="169796E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Por falta de veracidad en los datos entregados o en las condiciones o requisitos del hogar para la asignación del subsidio familiar de vivienda.  </w:t>
      </w:r>
    </w:p>
    <w:p w14:paraId="50861B8D"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73DB7A5" w14:textId="43DBCA1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Por subarriendo del inmueble sobre el que se aplica el subsidio.  </w:t>
      </w:r>
    </w:p>
    <w:p w14:paraId="61E3997C"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5BB0C76" w14:textId="7384036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Cuando el hogar incurra en mora de al menos tres (3) meses en el giro del aporte y/o del porcentaje del canon a su cargo o efectúe retiros del producto financiero en donde se recauden los recursos del aporte. No obstante lo anterior, Fonvivienda podrá ordenar la suspensión del giro del subsidio al canon, cuando se percate que el hogar no ha girado el valor correspondiente a su aporte y/o el porcentaje del canon a su cargo dentro de los plazos establecidos en el respectivo contrato de arrendamiento o de arrendamiento con opción de compra, todo lo anterior, sin perjuicio de que opere la garantía a la que se refiere el artículo 2.1.1.6.2.2 del presente decreto.  </w:t>
      </w:r>
    </w:p>
    <w:p w14:paraId="2A84ADE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3D9C456" w14:textId="3F10B5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Por incumplimiento del contrato de arrendamiento o de arrendamiento con opción de compra que dé lugar a su terminación.  </w:t>
      </w:r>
    </w:p>
    <w:p w14:paraId="7F19C5D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44DFD4C" w14:textId="1AC6C3D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haya lugar a la restitución del subsidio familiar de vivienda otorgado, esta se hará indexada con la variación del índice de Precios al Consumidor, desde la fecha en que se realizó el último desembolso hasta la fecha en que efectivamente se realice el pago del valor a restituir, en la cuenta indicada por la respectiva entidad otorgante.  </w:t>
      </w:r>
    </w:p>
    <w:p w14:paraId="5652B0C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EFB0F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se presente alguna de las causales contempladas para la restitución del subsidio, se solicitará al hogar que emita las aclaraciones del caso debidamente soportadas. Si dentro del plazo establecido por la entidad otorgante del subsidio, no se efectúan las aclaraciones del caso o persisten las causales para la restitución del subsidio, esta procederá a revocar la asignación del subsidio y a ordenar la restitución del mismo previo el agotamiento del proceso administrativo sancionatorio establecido en el Título III Capítulo III de la Ley 1437 de 2011, caso en el cual se iniciarán las acciones judiciales o extrajudiciales tendientes a la recuperación efectiva de dichos recursos.  </w:t>
      </w:r>
    </w:p>
    <w:p w14:paraId="408983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7E3DD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E33D9EE"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19" w:name="ver_30180443"/>
      <w:bookmarkEnd w:id="619"/>
      <w:r w:rsidRPr="009342F9">
        <w:rPr>
          <w:rFonts w:ascii="Arial" w:eastAsia="Times New Roman" w:hAnsi="Arial" w:cs="Arial"/>
          <w:b/>
          <w:bCs/>
          <w:color w:val="000000"/>
          <w:lang w:eastAsia="es-CO"/>
        </w:rPr>
        <w:t>SECCIÓN 7</w:t>
      </w:r>
    </w:p>
    <w:p w14:paraId="563C824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EJERCICIO DE LA OPCIÓN DE COMPRA</w:t>
      </w:r>
    </w:p>
    <w:p w14:paraId="5B11854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20" w:name="ver_30180444"/>
      <w:bookmarkEnd w:id="620"/>
    </w:p>
    <w:p w14:paraId="4A3254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2.1.1.6.7.1 Utilización del Aporte del Hogar. A la terminación de la etapa de arrendamiento objeto de subsidio, el hogar podrá optar por adquirir la vivienda objeto de arrendamiento o una diferente, para lo cual podrá hacer uso de los recursos de su aporte que no hayan sido desembolsados en el ejercicio de las garantías constituidas por el hogar para respaldar el cumplimiento de sus obligaciones.  </w:t>
      </w:r>
    </w:p>
    <w:p w14:paraId="6F6A6B1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21" w:name="ver_30180445"/>
      <w:bookmarkEnd w:id="621"/>
    </w:p>
    <w:p w14:paraId="609A40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2.1.1.6.7.2 Normatividad aplicable al proceso de asignación del subsidio de adquisición. En el proceso de adquisición de la vivienda, el hogar que haya sido beneficiario del subsidio en la etapa de arrendamiento, podrá ser beneficiario de la cobertura a la tasa de interés y podrá postularse a las modalidades y programas de asignación del subsidio familiar de vivienda incluido el otorgado por las Cajas de Compensación Familiar, que se encuentren vigentes en ese momento. </w:t>
      </w:r>
    </w:p>
    <w:p w14:paraId="18BB43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0D3A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hogar deberá cumplir con los requisitos que se establezcan para el acceso a la cobertura a la tasa de interés, así como los relacionados con la modalidad o programa de asignación del subsidio familiar de vivienda destinado a la adquisición del inmueble, vigentes al momento de efectuar su postulación a dicha modalidad. </w:t>
      </w:r>
    </w:p>
    <w:p w14:paraId="44A384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22" w:name="ver_30180446"/>
      <w:bookmarkEnd w:id="622"/>
    </w:p>
    <w:p w14:paraId="5010C0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2.1.1.6.7.3 Requisitos de la vivienda. Cuando en la modalidad o programa de asignación del subsidio familiar de vivienda destinado a la adquisición de la vivienda escogida por el hogar, la entidad otorgante del subsidio sea Fonvivienda y/o las Cajas de Compensación Familiar, y las normas que regulan la modalidad o programa establezcan como requisito para la aplicación del subsidio de adquisición, que la vivienda sea nueva, podrá aplicarse el subsidio de adquisición excepcionalmente sobre una vivienda usada, siempre y cuando dicho inmueble haya sido nuevo al momento de su primera postulación al programa Semillero de Propietarios. Lo establecido en este artículo aplica igualmente para la cobertura a la tasa de interés. </w:t>
      </w:r>
    </w:p>
    <w:p w14:paraId="18982BC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23" w:name="ver_30180447"/>
      <w:bookmarkEnd w:id="623"/>
    </w:p>
    <w:p w14:paraId="20D36B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2.1.1.6.7.4 Valor de la vivienda. Cuando al momento de la adquisición, por efectos de la valorización, el inmueble que fue objeto del contrato de arrendamiento con opción de compra tenga un precio superior al límite establecido para el tipo de vivienda al que se dirija el subsidio de adquisición, y la entidad otorgante del mismo sea Fonvivienda y/o las Cajas de Compensación Familiar, este podrá ser aplicado excepcionalmente sobre esa unidad de vivienda siempre y cuando el avalúo comercial en salarios mínimos legales mensuales vigentes al momento de la asignación del subsidio aplicado al canon, se encuentre dentro del rango establecido en las normas que regulen el acceso al subsidio para adquisición. </w:t>
      </w:r>
    </w:p>
    <w:p w14:paraId="69D76A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42E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cualquier caso, la valorización de la vivienda no podrá superar el 15% nominal con respecto al avalúo inicial para efecto del otorgamiento del subsidio de adquisición. </w:t>
      </w:r>
    </w:p>
    <w:p w14:paraId="04FF208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24" w:name="ver_30180464"/>
      <w:bookmarkEnd w:id="624"/>
    </w:p>
    <w:p w14:paraId="4A9091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2.1.1.6.7.5 Adquisición Anticipada. El hogar beneficiario podrá optar por adquirir el inmueble antes del vencimiento del término por el cual fue asignado el subsidio al canon; lo anterior sin perjuicio de la responsabilidad que le asista en el marco del contrato de arrendamiento o arrendamiento con opción de compra suscrito con el gestor inmobiliario. En caso de optar por la adquisición anticipada, la opción de compra solo podrá ejercerse una vez se haya dado por terminado el contrato de arrendamiento o de arrendamiento con opción de compra. </w:t>
      </w:r>
    </w:p>
    <w:p w14:paraId="1497BC3A" w14:textId="77777777" w:rsidR="0021587D" w:rsidRDefault="0021587D" w:rsidP="00FC79C1">
      <w:pPr>
        <w:spacing w:after="0" w:line="240" w:lineRule="auto"/>
        <w:jc w:val="both"/>
        <w:rPr>
          <w:rFonts w:ascii="Arial" w:eastAsia="Times New Roman" w:hAnsi="Arial" w:cs="Arial"/>
          <w:color w:val="000000"/>
          <w:lang w:eastAsia="es-CO"/>
        </w:rPr>
      </w:pPr>
      <w:bookmarkStart w:id="625" w:name="ver_30180722"/>
      <w:bookmarkEnd w:id="625"/>
    </w:p>
    <w:p w14:paraId="697EDC5F" w14:textId="00533EA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2.1.1.6.7.6. Adquisición a través del Programa “Mi Casa Ya”. En los casos en que el hogar beneficiario adelante el proceso de asignación del subsidio de adquisición a través del programa “Mi Casa Ya”, los trámites respectivos podrán adelantarse durante la etapa de arrendamiento. Así mismo, solamente para los beneficiarios del programa “Semillero de Propietarios”, el desembolso del subsidio familiar de vivienda de que trata el inciso tercero del artículo 2.1.1.4.1.5.2 del presente decreto podrá hacerse con anterioridad al desembolso del crédito hipotecario o al inicio del contrato de leasing habitacional, sin embargo, este desembolso no podrá hacerse con más de seis (6) meses de anterioridad a la terminación de la etapa de arrendamiento.  </w:t>
      </w:r>
    </w:p>
    <w:p w14:paraId="42D91D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46D9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subsidio dirigido al arrendamiento haya sido aplicado sobre una vivienda nueva en el marco de un contrato de arrendamiento con opción de compra y el hogar beneficiario no ejerza la opción de adquisición a su favor sobre dicho inmueble, este no podrá ser beneficiario del subsidio de adquisición de vivienda del programa “Mi Casa Ya” por un lapso de un año contado desde la terminación de la etapa de arrendamiento subsidiado, excepto cuando el no ejercicio de la opción de compra se encuentre sustentado en razones de fuerza mayor o falta de cierre financiero lo cual deberá estar certificado por la no asignación del crédito hipotecario o la operación de leasing habitacional por parte de la respectiva entidad financiera. </w:t>
      </w:r>
    </w:p>
    <w:p w14:paraId="3DE04D0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26" w:name="ver_30180723"/>
      <w:bookmarkEnd w:id="626"/>
    </w:p>
    <w:p w14:paraId="60F750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2.1.1.6.7.7. Responsabilidad del hogar beneficiario. En los casos en que no se efectúe la adquisición de la vivienda al vencimiento del término por el cual fue asignado el subsidio familiar de vivienda de que trata el presente capítulo, corresponderá al hogar beneficiario, en caso de continuidad del contrato de arrendamiento, asumir el pago total del canon, para lo cual podrá hacer uso de los recursos del aporte que no hayan sido desembolsados en el ejercicio de las garantías constituidas por el hogar para respaldar el cumplimiento de sus obligaciones. </w:t>
      </w:r>
    </w:p>
    <w:p w14:paraId="095FE862" w14:textId="77777777" w:rsidR="00683694" w:rsidRPr="009342F9" w:rsidRDefault="00683694" w:rsidP="00FC79C1">
      <w:pPr>
        <w:spacing w:after="0" w:line="240" w:lineRule="auto"/>
        <w:jc w:val="both"/>
        <w:rPr>
          <w:rFonts w:ascii="Arial" w:eastAsia="Times New Roman" w:hAnsi="Arial" w:cs="Arial"/>
          <w:color w:val="000000"/>
          <w:lang w:eastAsia="es-CO"/>
        </w:rPr>
      </w:pPr>
      <w:bookmarkStart w:id="627" w:name="ver_30180725"/>
      <w:bookmarkEnd w:id="627"/>
    </w:p>
    <w:p w14:paraId="0FBAA673" w14:textId="3D55385C"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8</w:t>
      </w:r>
    </w:p>
    <w:p w14:paraId="06904D24"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Disposiciones</w:t>
      </w:r>
    </w:p>
    <w:p w14:paraId="67F6C0B1" w14:textId="77777777" w:rsidR="008A536D" w:rsidRDefault="008A536D" w:rsidP="00FC79C1">
      <w:pPr>
        <w:spacing w:after="0" w:line="240" w:lineRule="auto"/>
        <w:jc w:val="both"/>
        <w:rPr>
          <w:rFonts w:ascii="Arial" w:eastAsia="Times New Roman" w:hAnsi="Arial" w:cs="Arial"/>
          <w:color w:val="000000"/>
          <w:lang w:eastAsia="es-CO"/>
        </w:rPr>
      </w:pPr>
      <w:bookmarkStart w:id="628" w:name="ver_30180727"/>
      <w:bookmarkEnd w:id="628"/>
    </w:p>
    <w:p w14:paraId="6A9EA0DB" w14:textId="481EFDA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2.1.1.6.8.1 Revisión de la consistencia y/o veracidad de la información.  </w:t>
      </w:r>
    </w:p>
    <w:p w14:paraId="475E0F0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28DD1FD" w14:textId="7E7388C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o quien este indique, tendrá la facultad de revisar en cualquier momento la consistencia y/o veracidad de la información suministrada por los postulantes. Si se determina que existe imprecisión o falta de veracidad en los datos entregados o en las condiciones o requisitos del hogar, se le solicitará que emita las aclaraciones del caso. Si dentro del plazo establecido por la entidad otorgante no se subsanan las imprecisiones o se aclaran las presuntas irregularidades que se presenten, se rechazarán los hogares respecto de los cuales se hayan advertido las inconsistencias.  </w:t>
      </w:r>
    </w:p>
    <w:p w14:paraId="3154646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5BDCE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las imprecisiones o inconsistencias se percatan con posterioridad a la asignación del subsidio, Fonvivienda podrá dar inicio al procedimiento administrativo sancionatorio establecido en el Título III, Capítulo III de la Ley 1437 de 2011, caso en el cual se iniciarán las acciones judiciales o extrajudiciales tendientes a la recuperación efectiva de dichos recursos.  </w:t>
      </w:r>
    </w:p>
    <w:p w14:paraId="32C19418" w14:textId="57BDBAB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29" w:name="ver_30180729"/>
      <w:bookmarkEnd w:id="629"/>
    </w:p>
    <w:p w14:paraId="475B23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2.1.1.6.8.2 Responsabilidad de la entidad otorgante. Fonvivienda no será parte de los negocios jurídicos que realice el hogar beneficiario con el gestor inmobiliario ni de aquellos de este con el propietario del inmueble, en caso de presentarse. </w:t>
      </w:r>
    </w:p>
    <w:p w14:paraId="62F9533D" w14:textId="77777777" w:rsidR="008A536D" w:rsidRDefault="008A536D" w:rsidP="00FC79C1">
      <w:pPr>
        <w:spacing w:after="0" w:line="240" w:lineRule="auto"/>
        <w:jc w:val="both"/>
        <w:rPr>
          <w:rFonts w:ascii="Arial" w:eastAsia="Times New Roman" w:hAnsi="Arial" w:cs="Arial"/>
          <w:color w:val="000000"/>
          <w:lang w:eastAsia="es-CO"/>
        </w:rPr>
      </w:pPr>
      <w:bookmarkStart w:id="630" w:name="ver_30180730"/>
      <w:bookmarkEnd w:id="630"/>
    </w:p>
    <w:p w14:paraId="5423CF23" w14:textId="004B474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2.1.1.6.8.3 Aplicación de la línea de redescuento con tasa compensada. Las entidades territoriales, las entidades públicas y las entidades descentralizadas del orden nacional y territorial, así como las entidades de derecho privado que realicen inversiones relacionadas con proyectos de vivienda de interés social y prioritario para ser destinados al programa de qué trata el presente capítulo, podrán ser beneficiarías de la línea de redescuento con tasa compensada de la Financiera de Desarrollo Territorial Findeter de que trata el Capítulo 2, Título 7, Parte 6, Libro 2 del Decreto número 1068 de 2015, en los términos que establezca el Ministerio de Vivienda, Ciudad y Territorio en relación con los requisitos y condiciones que deben cumplir tales proyectos, de conformidad con la disponibilidad presupuestal con la que cuente la línea de redescuento con tasa compensada en la respectiva vigencia. </w:t>
      </w:r>
    </w:p>
    <w:p w14:paraId="01C67B3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1" w:name="ver_30180732"/>
      <w:bookmarkEnd w:id="631"/>
    </w:p>
    <w:p w14:paraId="367173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2.1.1.6.8.4. Ajuste al marco fiscal. La financiación del Subsidio Familiar de Vivienda aplicable a contratos de arrendamiento y arrendamiento con opción de compra, así como los demás costos en que incurra Fonvivienda asociados a la implementación del programa, estará sujeta a la disponibilidad de recursos del Marco Fiscal de Mediano Plazo y el Marco de Gasto de Mediano Plazo del sector vivienda. </w:t>
      </w:r>
    </w:p>
    <w:p w14:paraId="4E8D6CB6" w14:textId="77777777" w:rsidR="00683694" w:rsidRDefault="00683694" w:rsidP="00FC79C1">
      <w:pPr>
        <w:spacing w:after="0" w:line="240" w:lineRule="auto"/>
        <w:jc w:val="both"/>
        <w:rPr>
          <w:rFonts w:ascii="Arial" w:eastAsia="Times New Roman" w:hAnsi="Arial" w:cs="Arial"/>
          <w:color w:val="000000"/>
          <w:lang w:eastAsia="es-CO"/>
        </w:rPr>
      </w:pPr>
      <w:bookmarkStart w:id="632" w:name="ver_30189912"/>
      <w:bookmarkEnd w:id="632"/>
    </w:p>
    <w:p w14:paraId="70089488" w14:textId="77777777" w:rsidR="008A536D" w:rsidRDefault="008A536D" w:rsidP="00FC79C1">
      <w:pPr>
        <w:spacing w:after="0" w:line="240" w:lineRule="auto"/>
        <w:jc w:val="both"/>
        <w:rPr>
          <w:rFonts w:ascii="Arial" w:eastAsia="Times New Roman" w:hAnsi="Arial" w:cs="Arial"/>
          <w:color w:val="000000"/>
          <w:lang w:eastAsia="es-CO"/>
        </w:rPr>
      </w:pPr>
    </w:p>
    <w:p w14:paraId="62CE4B71" w14:textId="77777777" w:rsidR="008A536D" w:rsidRDefault="008A536D" w:rsidP="00683694">
      <w:pPr>
        <w:spacing w:after="0" w:line="240" w:lineRule="auto"/>
        <w:jc w:val="center"/>
        <w:rPr>
          <w:rFonts w:ascii="Arial" w:eastAsia="Times New Roman" w:hAnsi="Arial" w:cs="Arial"/>
          <w:b/>
          <w:bCs/>
          <w:color w:val="000000"/>
          <w:lang w:eastAsia="es-CO"/>
        </w:rPr>
      </w:pPr>
    </w:p>
    <w:p w14:paraId="394A4D82" w14:textId="77777777" w:rsidR="008A536D" w:rsidRDefault="008A536D" w:rsidP="00683694">
      <w:pPr>
        <w:spacing w:after="0" w:line="240" w:lineRule="auto"/>
        <w:jc w:val="center"/>
        <w:rPr>
          <w:rFonts w:ascii="Arial" w:eastAsia="Times New Roman" w:hAnsi="Arial" w:cs="Arial"/>
          <w:b/>
          <w:bCs/>
          <w:color w:val="000000"/>
          <w:lang w:eastAsia="es-CO"/>
        </w:rPr>
      </w:pPr>
    </w:p>
    <w:p w14:paraId="08237BD0" w14:textId="77777777" w:rsidR="008A536D" w:rsidRDefault="008A536D" w:rsidP="00683694">
      <w:pPr>
        <w:spacing w:after="0" w:line="240" w:lineRule="auto"/>
        <w:jc w:val="center"/>
        <w:rPr>
          <w:rFonts w:ascii="Arial" w:eastAsia="Times New Roman" w:hAnsi="Arial" w:cs="Arial"/>
          <w:b/>
          <w:bCs/>
          <w:color w:val="000000"/>
          <w:lang w:eastAsia="es-CO"/>
        </w:rPr>
      </w:pPr>
    </w:p>
    <w:p w14:paraId="2048B383" w14:textId="728C36E9"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7</w:t>
      </w:r>
    </w:p>
    <w:p w14:paraId="201B636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en modalidad de mejoramiento en el marco del programa “casa digna, vida digna”</w:t>
      </w:r>
    </w:p>
    <w:p w14:paraId="55C17D2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3" w:name="ver_30189913"/>
      <w:bookmarkEnd w:id="633"/>
    </w:p>
    <w:p w14:paraId="7AEBEC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2.1.1.7.1. Aplicación. Lo dispuesto en el presente capítulo aplica solamente a los procesos de asignación y ejecución del subsidio familiar de vivienda para áreas urbanas en la modalidad de mejoramiento a ser otorgado por Fonvivienda, en el marco del Programa denominado “Casa Digna, Vida Digna”.  </w:t>
      </w:r>
    </w:p>
    <w:p w14:paraId="64A038D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4" w:name="ver_30189914"/>
      <w:bookmarkEnd w:id="634"/>
      <w:r w:rsidRPr="009342F9">
        <w:rPr>
          <w:rFonts w:ascii="Arial" w:eastAsia="Times New Roman" w:hAnsi="Arial" w:cs="Arial"/>
          <w:color w:val="000000"/>
          <w:lang w:eastAsia="es-CO"/>
        </w:rPr>
        <w:t>  </w:t>
      </w:r>
    </w:p>
    <w:p w14:paraId="71B0CCAB" w14:textId="22905B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2.1.1.7.2. Definición de los departamentos, municipios y/o regiones en que se ejecuta el programa. El Ministerio de Vivienda, Ciudad y Territorio definirá mediante acto administrativo los departamentos, municipios y/o regiones en los cuales se desarrollarán las intervenciones de que trata el presente capítulo.  </w:t>
      </w:r>
    </w:p>
    <w:p w14:paraId="172497AE"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6A8AA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dicha reglamentación deberán incluirse porcentajes mínimos de cupos para la asignación de subsidios a hogares con criterios de enfoque diferencial dentro de los que deberán estar incluidos como mínimo la población víctima de desplazamiento forzado, las mujeres cabeza de familia de los estratos más pobres de la población, las trabajadoras del sector informal y las madres comunitarias.  </w:t>
      </w:r>
    </w:p>
    <w:p w14:paraId="508CB9A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5" w:name="ver_30189915"/>
      <w:bookmarkEnd w:id="635"/>
    </w:p>
    <w:p w14:paraId="41BA7D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2.1.1.7.3. Operación del Programa. Para la ejecución de las intervenciones de que trata este capítulo, Fonvivienda celebrará en condición de fideicomitente, un contrato de fiducia mercantil para que el patrimonio autónomo que se constituya administre los recursos del subsidio, y a través del cual podrá contratarse a la entidad encargada de la asistencia técnica y operación del programa. Las condiciones de postulación de beneficiarios, asignación del subsidio, participación de entidades territoriales y operación del programa, serán definidas por el Ministerio de Vivienda, Ciudad y Territorio mediante acto administrativo.  </w:t>
      </w:r>
    </w:p>
    <w:p w14:paraId="7C892C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6" w:name="ver_30189916"/>
      <w:bookmarkEnd w:id="636"/>
    </w:p>
    <w:p w14:paraId="356EE2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2.1.1.7.4. Participación de las entidades territoriales. Las entidades territoriales podrán postular a los potenciales beneficiarios del subsidio ante Fonvivienda, a través de la identificación y postulación de las zonas y las unidades de vivienda habitadas por estos. Adicionalmente, podrán aportar recursos directamente al patrimonio autónomo que se constituya para la ejecución del programa de acuerdo con los porcentajes de cofinanciación que defina el Ministerio de Vivienda, Ciudad y Territorio.  </w:t>
      </w:r>
    </w:p>
    <w:p w14:paraId="2960960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7" w:name="ver_30189917"/>
      <w:bookmarkEnd w:id="637"/>
    </w:p>
    <w:p w14:paraId="79689A8D" w14:textId="3C3256F6"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2.1.1.7.5. Beneficiarios del subsidio. El subsidio familiar de vivienda en la modalidad de mejoramiento que se otorgue en el marco del Programa “Casa Digna, Vida Digna” podrá beneficiar a propietarios, o a quienes demuestren posesión de un inmueble con al menos cinco (5) años de anterioridad a la postulación del subsidio y a los demás beneficiarios y ocupantes a los que se refiere la definición de la modalidad de subsidio de mejoramiento de vivienda contenida en el artículo 2.1.1.1.1.1.2 del Decreto 1077 de 2015.  </w:t>
      </w:r>
    </w:p>
    <w:p w14:paraId="723EE039"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3CFE17C5" w14:textId="71DBA13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se trate de propietarios, el título de propiedad de la vivienda a </w:t>
      </w:r>
      <w:proofErr w:type="gramStart"/>
      <w:r w:rsidRPr="009342F9">
        <w:rPr>
          <w:rFonts w:ascii="Arial" w:eastAsia="Times New Roman" w:hAnsi="Arial" w:cs="Arial"/>
          <w:color w:val="000000"/>
          <w:lang w:eastAsia="es-CO"/>
        </w:rPr>
        <w:t>mejorar,</w:t>
      </w:r>
      <w:proofErr w:type="gramEnd"/>
      <w:r w:rsidRPr="009342F9">
        <w:rPr>
          <w:rFonts w:ascii="Arial" w:eastAsia="Times New Roman" w:hAnsi="Arial" w:cs="Arial"/>
          <w:color w:val="000000"/>
          <w:lang w:eastAsia="es-CO"/>
        </w:rPr>
        <w:t xml:space="preserve"> debe estar inscrito en la Oficina de Registro de Instrumentos Públicos a nombre de cualquiera de los miembros del hogar postulante, quienes deben habitar en la vivienda. Para acreditar la propiedad del inmueble se debe anexar certificado de libertad y tradición, con fecha de expedición no mayor a treinta (30) días.  </w:t>
      </w:r>
    </w:p>
    <w:p w14:paraId="11C56F6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AE2C6D7" w14:textId="5E4EF4B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trate de poseedores, sobre el inmueble no debe cursar proceso reivindicatorio, para lo cual debe aportarse el respectivo certificado de tradición y libertad con fecha de expedición no mayor a treinta (30) días, contados desde la entrega de documentos por parte del hogar a quien se defina en el manual operativo del programa, a su vez, deberá demostrarse la posesión ininterrumpida, pacífica y quieta del inmueble, en los términos de los artículos 762 y 764 del Código Civil, que podrá acreditarse a través de alguno de los siguientes documentos:  </w:t>
      </w:r>
    </w:p>
    <w:p w14:paraId="160F02D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8F323FC" w14:textId="58EC132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Escrito aportado por el hogar que se entenderá suscrito bajo la gravedad del juramento, en el que declare que ejerce la posesión regular del bien inmueble de manera quieta, pública, pacífica e ininterrumpida por un término mínimo de cinco (5) años, y que respecto el bien inmueble no está en curso proceso reivindicatorio.  </w:t>
      </w:r>
    </w:p>
    <w:p w14:paraId="73A8538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95C9880" w14:textId="77777777"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Declaración del </w:t>
      </w:r>
      <w:proofErr w:type="gramStart"/>
      <w:r w:rsidRPr="009342F9">
        <w:rPr>
          <w:rFonts w:ascii="Arial" w:eastAsia="Times New Roman" w:hAnsi="Arial" w:cs="Arial"/>
          <w:color w:val="000000"/>
          <w:lang w:eastAsia="es-CO"/>
        </w:rPr>
        <w:t>Presidente</w:t>
      </w:r>
      <w:proofErr w:type="gramEnd"/>
      <w:r w:rsidRPr="009342F9">
        <w:rPr>
          <w:rFonts w:ascii="Arial" w:eastAsia="Times New Roman" w:hAnsi="Arial" w:cs="Arial"/>
          <w:color w:val="000000"/>
          <w:lang w:eastAsia="es-CO"/>
        </w:rPr>
        <w:t xml:space="preserve"> de la Junta de Acción Comunal del barrio en la que quede de manifiesto que el hogar ha ejercido la posesión regular del inmueble por un término mínimo de cinco (5) años, y que respecto el bien inmueble no está en curso proceso reivindicatorio. </w:t>
      </w:r>
    </w:p>
    <w:p w14:paraId="52B85A61" w14:textId="462D77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7021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 lo anterior, se podrán aportar todos o alguno de los siguientes soportes, los cuales se analizarán para demostrar una sana posesión: pago de servicios públicos, pago de impuestos o contribuciones y valorizaciones, acciones o mejoras sobre el inmueble.  </w:t>
      </w:r>
    </w:p>
    <w:p w14:paraId="6AE8560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8" w:name="ver_30189918"/>
      <w:bookmarkEnd w:id="638"/>
    </w:p>
    <w:p w14:paraId="6E39B1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2.1.1.7.6. Acceso al Programa con subsidio vigente y sin aplicar. Quien haya sido beneficiario de un subsidio familiar de vivienda asignado por Fonvivienda en la modalidad de mejoramiento de vivienda o mejoramiento para vivienda saludable que se encuentre vigente y sin aplicar, podrá autorizar su aplicación bajo el esquema de que trata el presente capítulo y Fonvivienda podrá asignar los recursos necesarios para completar dicho subsidio hasta el valor establecido en el artículo 2.1.1.7.10 del presente decreto.  </w:t>
      </w:r>
    </w:p>
    <w:p w14:paraId="482DE22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39" w:name="ver_30189919"/>
      <w:bookmarkEnd w:id="639"/>
    </w:p>
    <w:p w14:paraId="234A41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2.1.1.7.7. Imposibilidad para postular al subsidio. No podrán postularse al subsidio de que trata este capítulo los hogares que sean propietarios o poseedores de una vivienda diferente a la que será objeto de intervención, ni aquellos que hayan sido beneficiarios de un subsidio familiar de vivienda que haya sido efectivamente aplicado, salvo quienes hayan sido beneficiarios del subsidio en la modalidad de arrendamiento, quienes hayan perdido la vivienda por imposibilidad de pago de acuerdo con lo establecido en el artículo 33 de la Ley 546 de 1999, o esta haya resultado afectada o destruida por causas no imputables al hogar beneficiario, o cuando la vivienda en la cual se haya aplicado el subsidio haya resultado totalmente destruida o quedado inhabitable como consecuencia de desastres naturales, calamidades públicas, emergencias, o atentados terroristas, o que haya sido abandonada o despojada en el marco del conflicto armado interno.  </w:t>
      </w:r>
    </w:p>
    <w:p w14:paraId="1878654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0" w:name="ver_30189920"/>
      <w:bookmarkEnd w:id="640"/>
    </w:p>
    <w:p w14:paraId="5DD0FE0C" w14:textId="5053555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2.1.1.7.8. Condiciones de las intervenciones de mejoramiento. El subsidio familiar de vivienda en la modalidad de mejoramiento de que trata este capítulo tiene por objeto mejorar las condiciones sanitarias satisfactorias de espacio, servicios públicos y calidad de estructura de las viviendas de los hogares beneficiarios, a través de intervenciones de tipo estructural que pueden incluir obras de mitigación de vulnerabilidad, o mejoras locativas que requieren o no la obtención de permisos o licencias por parte de las autoridades competentes. Estas intervenciones o mejoras locativas están asociadas, prioritariamente, a la habilitación o instalación de baños; lavaderos; cocinas; redes hidráulicas, sanitarias y eléctricas; cubiertas; pisos; reforzamiento estructural, mitigación de vulnerabilidad, ampliaciones y otras condiciones relacionadas con el saneamiento y mejoramiento de la solución habitacional, con el objeto de alcanzar progresivamente las condiciones de habitabilidad de la vivienda.  </w:t>
      </w:r>
    </w:p>
    <w:p w14:paraId="27FCF71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5AEFC3C" w14:textId="2E9F1D9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intervenciones podrán realizarse en barrios susceptibles de ser legalizados, de acuerdo con las disposiciones del Plan de Ordenamiento Territorial respectivo, siempre y cuando se hubiese iniciado el proceso de legalización, ya sea de oficio o por solicitud de los interesados, en los términos del presente decreto. La correspondencia con los planes de ordenamiento territorial deberá ser acreditada por el respectivo alcalde y avalada por el Ministerio de Vivienda, Ciudad y Territorio.  </w:t>
      </w:r>
    </w:p>
    <w:p w14:paraId="293E2E1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50F56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alcalde adicionalmente, deberá certificar (i) que se ha iniciado el proceso de legalización en los términos del presente decreto, (ii) que los barrios cuentan con disponibilidad de servicios públicos domiciliarios, (iii) que los barrios tienen acceso a sistemas formales o alternativos de abastecimiento de agua y de disposición de aguas servidas,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que los predios no se encuentran ubicados en zonas de alto riesgo no mitigable, (v) que los predios no se encuentran en zonas de protección de los recursos naturales, y, (vi) que dichos predios no se hallan en zonas de reserva de obra pública o de infraestructuras básicas del nivel nacional, regional o municipal ni áreas no aptas para la localización de vivienda de acuerdo con los planes de ordenamiento territorial.  </w:t>
      </w:r>
    </w:p>
    <w:p w14:paraId="477FB24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1" w:name="ver_30189921"/>
      <w:bookmarkEnd w:id="641"/>
    </w:p>
    <w:p w14:paraId="08E80234" w14:textId="517A660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2.1.1.7.9. Categorización de las intervenciones. </w:t>
      </w:r>
      <w:proofErr w:type="gramStart"/>
      <w:r w:rsidRPr="009342F9">
        <w:rPr>
          <w:rFonts w:ascii="Arial" w:eastAsia="Times New Roman" w:hAnsi="Arial" w:cs="Arial"/>
          <w:color w:val="000000"/>
          <w:lang w:eastAsia="es-CO"/>
        </w:rPr>
        <w:t>Las intervenciones a efectuar</w:t>
      </w:r>
      <w:proofErr w:type="gramEnd"/>
      <w:r w:rsidRPr="009342F9">
        <w:rPr>
          <w:rFonts w:ascii="Arial" w:eastAsia="Times New Roman" w:hAnsi="Arial" w:cs="Arial"/>
          <w:color w:val="000000"/>
          <w:lang w:eastAsia="es-CO"/>
        </w:rPr>
        <w:t xml:space="preserve"> en las viviendas donde se aplique el subsidio familiar de vivienda en la modalidad de mejoramiento de que trata el presente capítulo, se categorizarán de la siguiente manera:  </w:t>
      </w:r>
    </w:p>
    <w:p w14:paraId="5FA9975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7A92A48" w14:textId="712CE822" w:rsidR="00FC79C1"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1432F04F" wp14:editId="7FBBBE3D">
            <wp:extent cx="5612130" cy="1700530"/>
            <wp:effectExtent l="0" t="0" r="762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6"/>
                    <pic:cNvPicPr/>
                  </pic:nvPicPr>
                  <pic:blipFill>
                    <a:blip r:embed="rId14">
                      <a:extLst>
                        <a:ext uri="{28A0092B-C50C-407E-A947-70E740481C1C}">
                          <a14:useLocalDpi xmlns:a14="http://schemas.microsoft.com/office/drawing/2010/main" val="0"/>
                        </a:ext>
                      </a:extLst>
                    </a:blip>
                    <a:stretch>
                      <a:fillRect/>
                    </a:stretch>
                  </pic:blipFill>
                  <pic:spPr>
                    <a:xfrm>
                      <a:off x="0" y="0"/>
                      <a:ext cx="5612130" cy="170053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62D26340" w14:textId="3C3674AD" w:rsidR="00D25E1B" w:rsidRDefault="00D25E1B" w:rsidP="00FC79C1">
      <w:pPr>
        <w:spacing w:after="0" w:line="240" w:lineRule="auto"/>
        <w:jc w:val="both"/>
        <w:rPr>
          <w:rFonts w:ascii="Arial" w:eastAsia="Times New Roman" w:hAnsi="Arial" w:cs="Arial"/>
          <w:color w:val="000000"/>
          <w:lang w:eastAsia="es-CO"/>
        </w:rPr>
      </w:pPr>
    </w:p>
    <w:p w14:paraId="1026F64E"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3FC7D8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definirá los lineamientos y responsables de llevar a cabo el diagnóstico que enmarque el inmueble en alguna de las anteriores categorías.  </w:t>
      </w:r>
    </w:p>
    <w:p w14:paraId="7D35099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2" w:name="ver_30189922"/>
      <w:bookmarkEnd w:id="642"/>
      <w:r w:rsidRPr="009342F9">
        <w:rPr>
          <w:rFonts w:ascii="Arial" w:eastAsia="Times New Roman" w:hAnsi="Arial" w:cs="Arial"/>
          <w:color w:val="000000"/>
          <w:lang w:eastAsia="es-CO"/>
        </w:rPr>
        <w:t> </w:t>
      </w:r>
    </w:p>
    <w:p w14:paraId="76BECC62" w14:textId="08202BF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2.1.1.7.10. Valor del subsidio familiar de vivienda. El valor del subsidio familiar de vivienda de interés social para áreas urbanas que otorgue Fonvivienda, con cargo a los recursos del Presupuesto General de la Nación en la modalidad de mejoramiento en el marco del Programa “Casa Digna, Vida Digna”, será otorgado por un valor equivalente hasta dieciocho (18) salarios mínimos legales mensuales vigentes.  </w:t>
      </w:r>
    </w:p>
    <w:p w14:paraId="5544700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0B3D1A7" w14:textId="3D89FA8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subsidio familiar de vivienda que asigne Fonvivienda en el marco de lo dispuesto en este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podrá aplicarse de forma concurrente con subsidios otorgados por otras entidades, para la ejecución de intervenciones que se realicen sobre un mismo inmueble. También podrá aplicarse concurrentemente cuando a los hogares beneficiarios se les haya asignado en cualquier tiempo, por parte de las distintas entidades partícipes del Sistema Nacional de Vivienda de Interés Social, subsidios de adquisición y construcción en sitio propio que hayan sido aplicados sobre las viviendas objeto de intervención.  </w:t>
      </w:r>
    </w:p>
    <w:p w14:paraId="715D0C45"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D7EA5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subsidio familiar de vivienda de que trata el presente artículo podrá ser aplicado en viviendas cuyo precio no supere el límite establecido en las normas que regulen la materia para la vivienda de interés social, de acuerdo con el avalúo catastral.  </w:t>
      </w:r>
    </w:p>
    <w:p w14:paraId="532B82D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3" w:name="ver_30189923"/>
      <w:bookmarkEnd w:id="643"/>
    </w:p>
    <w:p w14:paraId="474824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2.1.1.7.11 Vigencia del subsidio. La vigencia del subsidio familiar de vivienda de que trata el presente capítulo será de veinticuatro (24) meses calendario, contados desde el primer día del mes siguiente a la fecha de su asignación y hasta la legalización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La entidad otorgante, a través de su representante legal, podrá prorrogar mediante acto administrativo el subsidio familiar de vivienda por un plazo no superior a veinticuatro (24) meses.  </w:t>
      </w:r>
    </w:p>
    <w:p w14:paraId="270F722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4" w:name="ver_30189934"/>
      <w:bookmarkEnd w:id="644"/>
    </w:p>
    <w:p w14:paraId="169A5B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2.1.1.7.12. Renuncia al subsidio familiar de vivienda. El beneficiario del subsidio de que trata el presente capítulo podrá, antes del inicio de las obras, renunciar voluntariamente al beneficio obtenido, mediante comunicación suscrita por los miembros mayores de edad solicitantes del subsidio.  </w:t>
      </w:r>
    </w:p>
    <w:p w14:paraId="00068E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5" w:name="ver_30189935"/>
      <w:bookmarkEnd w:id="645"/>
    </w:p>
    <w:p w14:paraId="16873147" w14:textId="19AC9D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2.1.1.7.13. Pérdida y restitución del subsidio familiar de vivienda. Serán causales de pérdida y restitución del subsidio de que trata el presente capítulo las siguientes:  </w:t>
      </w:r>
    </w:p>
    <w:p w14:paraId="0E1915D7"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B7A27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Cualquier falta de veracidad en los datos entregados por el hogar beneficia</w:t>
      </w:r>
      <w:r w:rsidRPr="009342F9">
        <w:rPr>
          <w:rFonts w:ascii="Arial" w:eastAsia="Times New Roman" w:hAnsi="Arial" w:cs="Arial"/>
          <w:color w:val="000000"/>
          <w:lang w:eastAsia="es-CO"/>
        </w:rPr>
        <w:softHyphen/>
        <w:t>rio.  </w:t>
      </w:r>
    </w:p>
    <w:p w14:paraId="651BF23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849E4D4" w14:textId="7C2866D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Cuando los beneficiarios transfieran cualquier derecho real sobre la solución de vivienda o dejen de residir en ella antes de haber transcurrido al plazo de que trata el artículo 8° de la Ley 3ª de 1991 modificado por el artículo 21 de la Ley 1537 de 2012, contado desde la fecha de suscripción del acta de entrega de las obras, sin mediar permiso específico fundamentado en razones de fuerza mayor definidas por el reglamento.  </w:t>
      </w:r>
    </w:p>
    <w:p w14:paraId="34FD78A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5DCA1C2" w14:textId="41C3BF90"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haya lugar a la restitución del subsidio familiar de vivienda otorgado, esta se hará indexada con la variación del índice de precios al consumidor, desde la fecha en que se haya hecho entrega de la intervención de mejoramiento al hogar beneficiario hasta la fecha en que efectivamente se realice el pago del valor a restituir, en la cuenta indicada por la entidad otorgante.  </w:t>
      </w:r>
    </w:p>
    <w:p w14:paraId="0D98DE1E"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3C367C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se presente alguna de las causales contempladas para la pérdida y restitución del subsidio, se solicitará al hogar que emita las aclaraciones del caso debidamente soportadas. Si dentro del plazo establecido por la entidad otorgante del subsidio, no se efectúan las aclaraciones del caso o persiste la causal para la restitución del subsidio, esta procederá a revocar la asignación del subsidio y a ordenar la restitución del mismo previo el agotamiento del proceso administrativo sancionatorio establecido en el título III capítulo III de la Ley 1437 de 2011, caso en el cual se iniciarán las acciones judiciales o extrajudiciales tendientes a la recuperación efectiva de dichos recursos.  </w:t>
      </w:r>
    </w:p>
    <w:p w14:paraId="64FF25A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6" w:name="ver_30189936"/>
      <w:bookmarkEnd w:id="646"/>
    </w:p>
    <w:p w14:paraId="2B5590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2.1.1.7.14. Legalización del subsidio familiar de vivienda. El subsidio familiar de vivienda de que trata el presente capítulo se entenderá legalizado para Fonvivienda, con el documento que acredita la asignación del subsidio familiar de vivienda y el certificado de existencia de la obra de mejoramiento, suscrito por el interventor.  </w:t>
      </w:r>
    </w:p>
    <w:p w14:paraId="2FF4628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47" w:name="ver_30189937"/>
      <w:bookmarkEnd w:id="647"/>
    </w:p>
    <w:p w14:paraId="4D7459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2.1.1.7.15. Ajuste al Marco Fiscal. Los recursos del Presupuesto General de la Nación que se destinen para atender el subsidio familiar de vivienda de interés social de que trata el presente capítulo, así como los demás costos en que incurra Fonvivienda asociados a la ejecución de los subsidios estarán sujetos a la disponibilidad de recursos del Marco Fiscal de Mediano Plazo y el Marco de Gasto de Mediano Plazo del sector vivienda”.  </w:t>
      </w:r>
    </w:p>
    <w:p w14:paraId="3A5365C6" w14:textId="77777777" w:rsidR="00683694" w:rsidRDefault="00683694" w:rsidP="00FC79C1">
      <w:pPr>
        <w:spacing w:after="0" w:line="240" w:lineRule="auto"/>
        <w:jc w:val="both"/>
        <w:rPr>
          <w:rFonts w:ascii="Arial" w:eastAsia="Times New Roman" w:hAnsi="Arial" w:cs="Arial"/>
          <w:color w:val="000000"/>
          <w:lang w:eastAsia="es-CO"/>
        </w:rPr>
      </w:pPr>
      <w:bookmarkStart w:id="648" w:name="ver_30200400"/>
      <w:bookmarkEnd w:id="648"/>
    </w:p>
    <w:p w14:paraId="7B845D8A" w14:textId="77777777" w:rsidR="000A72FF" w:rsidRDefault="000A72FF" w:rsidP="00FC79C1">
      <w:pPr>
        <w:spacing w:after="0" w:line="240" w:lineRule="auto"/>
        <w:jc w:val="both"/>
        <w:rPr>
          <w:rFonts w:ascii="Arial" w:eastAsia="Times New Roman" w:hAnsi="Arial" w:cs="Arial"/>
          <w:color w:val="000000"/>
          <w:lang w:eastAsia="es-CO"/>
        </w:rPr>
      </w:pPr>
    </w:p>
    <w:p w14:paraId="0C80B2D6" w14:textId="77777777" w:rsidR="000A72FF" w:rsidRDefault="000A72FF" w:rsidP="00FC79C1">
      <w:pPr>
        <w:spacing w:after="0" w:line="240" w:lineRule="auto"/>
        <w:jc w:val="both"/>
        <w:rPr>
          <w:rFonts w:ascii="Arial" w:eastAsia="Times New Roman" w:hAnsi="Arial" w:cs="Arial"/>
          <w:color w:val="000000"/>
          <w:lang w:eastAsia="es-CO"/>
        </w:rPr>
      </w:pPr>
    </w:p>
    <w:p w14:paraId="451D45B6" w14:textId="77777777" w:rsidR="000A72FF" w:rsidRPr="009342F9" w:rsidRDefault="000A72FF" w:rsidP="00FC79C1">
      <w:pPr>
        <w:spacing w:after="0" w:line="240" w:lineRule="auto"/>
        <w:jc w:val="both"/>
        <w:rPr>
          <w:rFonts w:ascii="Arial" w:eastAsia="Times New Roman" w:hAnsi="Arial" w:cs="Arial"/>
          <w:color w:val="000000"/>
          <w:lang w:eastAsia="es-CO"/>
        </w:rPr>
      </w:pPr>
    </w:p>
    <w:p w14:paraId="7ABC2DA4" w14:textId="7B099984"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8</w:t>
      </w:r>
    </w:p>
    <w:p w14:paraId="202FE65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Concurrencia y complementariedad del subsidio familiar de vivienda</w:t>
      </w:r>
    </w:p>
    <w:p w14:paraId="02D86B2F"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49" w:name="ver_30200401"/>
      <w:bookmarkEnd w:id="649"/>
    </w:p>
    <w:p w14:paraId="439493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2.1.1.8.1 Aplicación. Lo estipulado en este capítulo aplica para las nuevas postulaciones al subsidio familiar de vivienda destinado a la adquisición de vivienda nueva o usada, otorgado por el Gobierno nacional para zonas urbanas, a través del Fondo Nacional de Vivienda o quien haga sus veces y la aplicación concurrente y complementaria de este, con los nuevos subsidios familiares de vivienda otorgados por las cajas de compensación familiar.  </w:t>
      </w:r>
    </w:p>
    <w:p w14:paraId="35FD0C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D37E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También podrán aplicar a la concurrencia los beneficiarios que cuenten con subsidio asignado por alguna entidad otorgante y que se encuentre vigente y sin aplicar.  </w:t>
      </w:r>
    </w:p>
    <w:p w14:paraId="17ABD5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31F7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Las disposiciones contenidas en este capítulo, no aplican para el subsidio familiar de vivienda para áreas urbanas de que trata la </w:t>
      </w:r>
      <w:proofErr w:type="spellStart"/>
      <w:r w:rsidRPr="009342F9">
        <w:rPr>
          <w:rFonts w:ascii="Arial" w:eastAsia="Times New Roman" w:hAnsi="Arial" w:cs="Arial"/>
          <w:color w:val="000000"/>
          <w:lang w:eastAsia="es-CO"/>
        </w:rPr>
        <w:t>Sub-subsección</w:t>
      </w:r>
      <w:proofErr w:type="spellEnd"/>
      <w:r w:rsidRPr="009342F9">
        <w:rPr>
          <w:rFonts w:ascii="Arial" w:eastAsia="Times New Roman" w:hAnsi="Arial" w:cs="Arial"/>
          <w:color w:val="000000"/>
          <w:lang w:eastAsia="es-CO"/>
        </w:rPr>
        <w:t xml:space="preserve"> 1 de la Subsección 1 de la Sección 1 del Capítulo 1 del Título 1 de la Parte 1 del Libro 2 del presente decreto, para el subsidio familiar de vivienda 100% en especie establecido en el Capítulo 2 del Título 1 de la Parte 1 del Libro 2, ni para el subsidio en modalidad de adquisición de vivienda nueva para los hogares afectados por desastres naturales, calamidad pública o emergencia, contemplado en el numeral 2.1 del artículo 2.1.1.1.8.1.2 de este decreto.  </w:t>
      </w:r>
    </w:p>
    <w:p w14:paraId="17E55B6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50" w:name="ver_30200402"/>
      <w:bookmarkEnd w:id="650"/>
    </w:p>
    <w:p w14:paraId="54F01D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2.1.1.8.2 Concurrencia de subsidios. El Fondo Nacional de Vivienda o quien haga sus veces, podrá otorgar el Subsidio Familiar de Vivienda en el marco de cualquiera de los programas contemplados en el presente decreto, de forma concurrente con el subsidio familiar de vivienda otorgado por las cajas de compensación familiar para la adquisición de una solución de vivienda, siempre y cuando la naturaleza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lo permita.  </w:t>
      </w:r>
    </w:p>
    <w:p w14:paraId="6CB904B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51" w:name="ver_30200403"/>
      <w:bookmarkEnd w:id="651"/>
    </w:p>
    <w:p w14:paraId="10F64D14" w14:textId="6F46FC70"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2.1.1.8.3. Condiciones de los beneficiarios. La concurrencia de subsidios de que trata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solo podrá aplicarse para hogares cuyos ingresos mensuales no superen el límite de dos (2) salarios mínimos legales mensuales vigentes.  </w:t>
      </w:r>
    </w:p>
    <w:p w14:paraId="114F4B61"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253B21D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52" w:name="ver_30200404"/>
      <w:bookmarkEnd w:id="652"/>
      <w:r w:rsidRPr="009342F9">
        <w:rPr>
          <w:rFonts w:ascii="Arial" w:eastAsia="Times New Roman" w:hAnsi="Arial" w:cs="Arial"/>
          <w:color w:val="000000"/>
          <w:lang w:eastAsia="es-CO"/>
        </w:rPr>
        <w:t xml:space="preserve">Artículo 2.1.1.8.4. Condiciones de las viviendas. La concurrencia de subsidios de que trata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podrá aplicarse para la adquisición de viviendas cuyo precio no supere el límite establecido para la vivienda de interés social en las normas que regulen la materia.  </w:t>
      </w:r>
    </w:p>
    <w:p w14:paraId="05077E3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53" w:name="ver_30200405"/>
      <w:bookmarkEnd w:id="653"/>
    </w:p>
    <w:p w14:paraId="0B80AA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2.1.1.8.5. Monto del subsidio otorgado por Fonvivienda. El subsidio que otorgue Fonvivienda para la adquisición de vivienda en cualquiera de los esquemas o programas de </w:t>
      </w:r>
      <w:proofErr w:type="spellStart"/>
      <w:r w:rsidRPr="009342F9">
        <w:rPr>
          <w:rFonts w:ascii="Arial" w:eastAsia="Times New Roman" w:hAnsi="Arial" w:cs="Arial"/>
          <w:color w:val="000000"/>
          <w:lang w:eastAsia="es-CO"/>
        </w:rPr>
        <w:t>que</w:t>
      </w:r>
      <w:proofErr w:type="spellEnd"/>
      <w:r w:rsidRPr="009342F9">
        <w:rPr>
          <w:rFonts w:ascii="Arial" w:eastAsia="Times New Roman" w:hAnsi="Arial" w:cs="Arial"/>
          <w:color w:val="000000"/>
          <w:lang w:eastAsia="es-CO"/>
        </w:rPr>
        <w:t xml:space="preserve"> trata el presente decreto, se asignará por un monto de hasta 20 salarios mínimos legales mensuales vigentes, cuando este sea aplicado de forma concurrente con el subsidio familiar de vivienda otorgado por las cajas de compensación familiar. </w:t>
      </w:r>
    </w:p>
    <w:p w14:paraId="47CDEFF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54" w:name="ver_30200406"/>
      <w:bookmarkEnd w:id="654"/>
    </w:p>
    <w:p w14:paraId="427ABC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2.1.1.8.6. Condiciones del subsidio. Los demás requisitos de acceso, asignación, operación, legalización, pérdida y restitución relativos al subsidio familiar de vivienda que asigne Fonvivienda, serán los que se encuentren establecidos en la normatividad vigente para los respectivos esquemas o programas a los que se postule el hogar.  </w:t>
      </w:r>
    </w:p>
    <w:p w14:paraId="6F8D918D" w14:textId="2C742A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55" w:name="ver_30200407"/>
      <w:bookmarkEnd w:id="655"/>
    </w:p>
    <w:p w14:paraId="2515C3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2.1.1.8.7. Cobertura a la tasa. Las distintas modalidades de cobertura a la tasa de interés contempladas en este decreto son incompatibles entre sí, aun cuando el subsidio familiar de vivienda se aplique de forma concurrente entre Fonvivienda y las cajas de compensación familiar. En virtud de lo anterior, los hogares beneficiarios de los subsidios otorgados de manera concurrente para la adquisición de una solución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podrán tener acceso a una sola modalidad de cobertura a la tasa de interés. </w:t>
      </w:r>
    </w:p>
    <w:p w14:paraId="6577180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56" w:name="ver_30200408"/>
      <w:bookmarkEnd w:id="656"/>
    </w:p>
    <w:p w14:paraId="24E12D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2.1.1.8.8. Obligación de los hogares. Al momento de su postulación al subsidio otorgado por Fonvivienda, los hogares deberán informar su intención de aplicar el beneficio de manera concurrente con el subsidio otorgado por las cajas de compensación familiar.  </w:t>
      </w:r>
    </w:p>
    <w:p w14:paraId="03E72D6B" w14:textId="1A62287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57" w:name="ver_30200409"/>
      <w:bookmarkEnd w:id="657"/>
    </w:p>
    <w:p w14:paraId="56C620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2.1.1.8.9 Pérdida y restitución del subsidio. El subsidio familiar de vivienda otorgado por Fonvivienda, que se asigne de manera concurrente con el subsidio otorgado por las cajas de compensación familiar, será objeto de restitución por cualquiera de las causales previstas en las normas vigentes, y adicionalmente por incumplimiento en la obligación a cargo del hogar de que trata el artículo anterior” </w:t>
      </w:r>
    </w:p>
    <w:p w14:paraId="21572FE3" w14:textId="77777777" w:rsidR="00683694" w:rsidRPr="009342F9" w:rsidRDefault="00683694" w:rsidP="00FC79C1">
      <w:pPr>
        <w:spacing w:after="0" w:line="240" w:lineRule="auto"/>
        <w:jc w:val="both"/>
        <w:rPr>
          <w:rFonts w:ascii="Arial" w:eastAsia="Times New Roman" w:hAnsi="Arial" w:cs="Arial"/>
          <w:color w:val="000000"/>
          <w:lang w:eastAsia="es-CO"/>
        </w:rPr>
      </w:pPr>
      <w:bookmarkStart w:id="658" w:name="ver_30205778"/>
      <w:bookmarkEnd w:id="658"/>
    </w:p>
    <w:p w14:paraId="75328C58" w14:textId="42B7D445"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9</w:t>
      </w:r>
    </w:p>
    <w:p w14:paraId="2F3F0DF8"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 FAMILIAR DE VIVIENDA CON REQUISITO DE AHORRO EN MODALIDAD DE ADQUISICIÓN EN EL MARCO DEL PROGRAMA “SEMILLERO DE PROPIETARIOS-AHORRADORES</w:t>
      </w:r>
    </w:p>
    <w:p w14:paraId="41C264A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59" w:name="ver_30205779"/>
      <w:bookmarkEnd w:id="659"/>
    </w:p>
    <w:p w14:paraId="599CC737" w14:textId="48254E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2.1.1.9.1.</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Aplicación. El presente capítulo aplica al proceso de asignación del subsidio familiar de vivienda con requisito de ahorro, para la adquisición de vivienda de interés social nueva, del Programa “Semillero de Propietarios - Ahorradores”.  </w:t>
      </w:r>
    </w:p>
    <w:p w14:paraId="556D9732" w14:textId="0A06A8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60" w:name="ver_30205780"/>
      <w:bookmarkEnd w:id="660"/>
    </w:p>
    <w:p w14:paraId="684E2E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2.1.1.9.2. Contrato de fiducia mercantil. De acuerdo con las facultades atribuidas por el artículo 23 de la Ley 1469 de 2011, el Fondo Nacional de Vivienda podrá administrar los recursos del subsidio de que trata el presente capítulo, mediante la constitución de patrimonios autónomos. Para tal efecto, podrá hacerse uso del patrimonio autónomo constituido en el marco del Programa “Semillero de Propietarios” de acuerdo con lo dispuesto en el artículo 2.1.1.6.4.1 del presente decreto </w:t>
      </w:r>
    </w:p>
    <w:p w14:paraId="33B3553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61" w:name="ver_30205781"/>
      <w:bookmarkEnd w:id="661"/>
    </w:p>
    <w:p w14:paraId="01D9D3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2.1.1.9.3. Activos del patrimonio autónomo. Serán activos del patrimonio autónomo que se constituya, de conformidad con lo establecido en el presente capítulo:  </w:t>
      </w:r>
    </w:p>
    <w:p w14:paraId="1C86A9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1249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Los recursos del Presupuesto General de la Nación destinados al Fondo Nacional de Vivienda, que este último transfiera a título de aporte fiduciario de acuerdo con las facultades otorgadas por el artículo 23 de la Ley 1469 de 2011.  </w:t>
      </w:r>
    </w:p>
    <w:p w14:paraId="598D2D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19E9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Los que aporte cualquier entidad en calidad de otorgante del subsidio familiar de vivienda.  </w:t>
      </w:r>
    </w:p>
    <w:p w14:paraId="3529F9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45CE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Los rendimientos financieros que produzcan los recursos fideicomitidos.  </w:t>
      </w:r>
    </w:p>
    <w:p w14:paraId="5F2255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2543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Los que aporte cualquier persona natural o jurídica, a título gratuito.  </w:t>
      </w:r>
    </w:p>
    <w:p w14:paraId="0788B6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DCF2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Los que se determinen en el contrato de fiducia mercantil.  </w:t>
      </w:r>
    </w:p>
    <w:p w14:paraId="16129FAC" w14:textId="03B77A6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62" w:name="ver_30205782"/>
      <w:bookmarkEnd w:id="662"/>
    </w:p>
    <w:p w14:paraId="63845190" w14:textId="5A52DC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2.1.1.9.4</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Valor del subsidio familiar de vivienda. El valor del subsidio familiar de vivienda de que trata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será de hasta seis (6) salarios mínimos legales mensuales vigentes al momento de la expedición del acto administrativo de cumplimiento de las condiciones para la aplicación efectiva del mismo. </w:t>
      </w:r>
    </w:p>
    <w:p w14:paraId="691EC42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63" w:name="ver_30205783"/>
      <w:bookmarkEnd w:id="663"/>
    </w:p>
    <w:p w14:paraId="5C586802" w14:textId="37F06F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2.1.1.9.5.</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Beneficiarios del subsidio. Podrán ser beneficiarios del subsidio familiar de vivienda de que trata el presente capítulo, los hogares que cumplan las siguientes condiciones:  </w:t>
      </w:r>
    </w:p>
    <w:p w14:paraId="469AEC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5D46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Tener ingresos totales mensuales hasta por el equivalente a dos salarios mínimos mensuales legales vigentes.  </w:t>
      </w:r>
    </w:p>
    <w:p w14:paraId="556FD9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F585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No ser propietarios de una vivienda en el territorio nacional.  </w:t>
      </w:r>
    </w:p>
    <w:p w14:paraId="6C10CF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F66A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No haber sido beneficiarios de un subsidio familiar de vivienda otorgado por una Caja de Compensación Familiar que haya sido efectivamente aplicado.  </w:t>
      </w:r>
    </w:p>
    <w:p w14:paraId="175D9F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AF86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No haber sido beneficiarios de un subsidio familiar de vivienda otorgado por el Gobierno nacional que haya sido efectivamente aplicado, incluido el subsidio aplicable a contratos de arrendamiento y arrendamiento con opción de compra, salvo quienes hayan perdido la vivienda por imposibilidad de pago, de acuerdo con lo establecido en el artículo 33 de la Ley 546 de 1999 o cuando la vivienda en la cual se haya aplicado el subsidio haya resultado totalmente destruida o queda</w:t>
      </w:r>
      <w:r w:rsidRPr="009342F9">
        <w:rPr>
          <w:rFonts w:ascii="Arial" w:eastAsia="Times New Roman" w:hAnsi="Arial" w:cs="Arial"/>
          <w:color w:val="000000"/>
          <w:lang w:eastAsia="es-CO"/>
        </w:rPr>
        <w:softHyphen/>
        <w:t>do inhabitable como consecuencia de desastres naturales, calamidades públicas, emergencias, o atentados terroristas, o que haya sido abandonada o despojada en el marco del conflicto armado interno.  </w:t>
      </w:r>
    </w:p>
    <w:p w14:paraId="51D7A0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34C1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No haber sido beneficiarios a cualquier título, de las coberturas de tasa de inte</w:t>
      </w:r>
      <w:r w:rsidRPr="009342F9">
        <w:rPr>
          <w:rFonts w:ascii="Arial" w:eastAsia="Times New Roman" w:hAnsi="Arial" w:cs="Arial"/>
          <w:color w:val="000000"/>
          <w:lang w:eastAsia="es-CO"/>
        </w:rPr>
        <w:softHyphen/>
        <w:t>rés, establecidas en el Decreto 1068 de 2015, Decreto Único Reglamentario del Sector Hacienda y Crédito Público, y en el presente decreto, y las normas que los reglamenten, modifiquen, adicionen o sustituyan.  </w:t>
      </w:r>
    </w:p>
    <w:p w14:paraId="52143198" w14:textId="6E6D688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64" w:name="ver_30205784"/>
      <w:bookmarkEnd w:id="664"/>
    </w:p>
    <w:p w14:paraId="6BBF81FD" w14:textId="1DEC410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2.1.1.9.6.</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Postulación de beneficiarios y solicitud de habilitación del cupo de subsidio. La postulación de los hogares interesados en ser beneficiarios del subsidio se hará a través del diligenciamiento del documento de postulación que defina el Fondo Nacional de Vivienda y la apertura por parte de alguno de los miembros mayores de edad del hogar interesado, de un producto financiero de ahorro que cumpla con las condiciones que establezca el Ministerio de Vivienda, Ciudad y Territorio.  </w:t>
      </w:r>
    </w:p>
    <w:p w14:paraId="2CEAA4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BE10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través de la consulta en el sistema que indique el Fondo Nacional de Vivienda, el establecimiento de crédito en el que se haya efectuado la apertura del producto, verificará que el hogar cumpla las condiciones de acceso establecidas en el artículo 2.1.1.9.5, y solicitará al Fondo Nacional de Vivienda la habilitación del cupo de subsidio.  </w:t>
      </w:r>
    </w:p>
    <w:p w14:paraId="568E6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64FA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establecimiento de crédito también podrá solicitar la habilitación del cupo de subsidio para los hogares que ya cuenten con el producto financiero que cumpla con las condiciones que establezca el Ministerio de Vivienda, Ciudad y Territorio, previo diligenciamiento del documento de postulación que defina el Fondo Nacional de Vivienda por parte de alguno de los miembros mayores de edad del hogar interesado.  </w:t>
      </w:r>
    </w:p>
    <w:p w14:paraId="53377075" w14:textId="16DEA5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65" w:name="ver_30205785"/>
      <w:bookmarkEnd w:id="665"/>
    </w:p>
    <w:p w14:paraId="10E227A0" w14:textId="0B86D2D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2.1.1.9.7.</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Habilitación del cupo de subsidio. Una vez se reciba la solicitud de habilitación del cupo de subsidio de que trata el artículo anterior, el Fondo Nacional de Vivienda procederá a expedir la comunicación que acredita el cumplimiento de los requisitos y la reserva del cupo por un máximo de 24 meses en el programa. En dicha comunicación se dejarán explícitas las condiciones a las que se encuentra sujeta la asignación del subsidio.  </w:t>
      </w:r>
    </w:p>
    <w:p w14:paraId="4F16E6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A564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habilitación del cupo solo podrá hacerse siempre que la asignación del subsidio no supere el 31 de diciembre de 2025.  </w:t>
      </w:r>
    </w:p>
    <w:p w14:paraId="301D50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B59D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hogar que goce de la habilitación del cupo de </w:t>
      </w:r>
      <w:proofErr w:type="gramStart"/>
      <w:r w:rsidRPr="009342F9">
        <w:rPr>
          <w:rFonts w:ascii="Arial" w:eastAsia="Times New Roman" w:hAnsi="Arial" w:cs="Arial"/>
          <w:color w:val="000000"/>
          <w:lang w:eastAsia="es-CO"/>
        </w:rPr>
        <w:t>subsidio,</w:t>
      </w:r>
      <w:proofErr w:type="gramEnd"/>
      <w:r w:rsidRPr="009342F9">
        <w:rPr>
          <w:rFonts w:ascii="Arial" w:eastAsia="Times New Roman" w:hAnsi="Arial" w:cs="Arial"/>
          <w:color w:val="000000"/>
          <w:lang w:eastAsia="es-CO"/>
        </w:rPr>
        <w:t xml:space="preserve"> deberá mantener las condiciones y requisitos hasta que el Fondo Nacional de Vivienda profiera acto administrativo de asignación, so pena de perder dicho beneficio.  </w:t>
      </w:r>
    </w:p>
    <w:p w14:paraId="37E65022" w14:textId="3E3934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66" w:name="ver_30205786"/>
      <w:bookmarkEnd w:id="666"/>
    </w:p>
    <w:p w14:paraId="199D0112" w14:textId="4E53C8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2.1.1.9.8.</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Condiciones para la asignación del Subsidio. La asignación del subsidio familiar de vivienda habilitado de conformidad con lo estipulado en este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estará sujeta al cumplimiento de las </w:t>
      </w:r>
      <w:proofErr w:type="spellStart"/>
      <w:r w:rsidRPr="009342F9">
        <w:rPr>
          <w:rFonts w:ascii="Arial" w:eastAsia="Times New Roman" w:hAnsi="Arial" w:cs="Arial"/>
          <w:color w:val="000000"/>
          <w:lang w:eastAsia="es-CO"/>
        </w:rPr>
        <w:t>siguienteis</w:t>
      </w:r>
      <w:proofErr w:type="spellEnd"/>
      <w:r w:rsidRPr="009342F9">
        <w:rPr>
          <w:rFonts w:ascii="Arial" w:eastAsia="Times New Roman" w:hAnsi="Arial" w:cs="Arial"/>
          <w:color w:val="000000"/>
          <w:lang w:eastAsia="es-CO"/>
        </w:rPr>
        <w:t xml:space="preserve"> condiciones:  </w:t>
      </w:r>
    </w:p>
    <w:p w14:paraId="373EC5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283D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el hogar beneficiario complete un monto mínimo de 4.5 salarios mínimos legales mensuales vigentes en el producto financiero de ahorro, en máximo die</w:t>
      </w:r>
      <w:r w:rsidRPr="009342F9">
        <w:rPr>
          <w:rFonts w:ascii="Arial" w:eastAsia="Times New Roman" w:hAnsi="Arial" w:cs="Arial"/>
          <w:color w:val="000000"/>
          <w:lang w:eastAsia="es-CO"/>
        </w:rPr>
        <w:softHyphen/>
        <w:t>ciocho (18) meses que empezarán a contar a partir de la expedición de la comu</w:t>
      </w:r>
      <w:r w:rsidRPr="009342F9">
        <w:rPr>
          <w:rFonts w:ascii="Arial" w:eastAsia="Times New Roman" w:hAnsi="Arial" w:cs="Arial"/>
          <w:color w:val="000000"/>
          <w:lang w:eastAsia="es-CO"/>
        </w:rPr>
        <w:softHyphen/>
        <w:t>nicación de habilitación en el programa.  </w:t>
      </w:r>
    </w:p>
    <w:p w14:paraId="68DEDB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9831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dentro de los seis (6) meses posteriores al cumplimiento del requisito es</w:t>
      </w:r>
      <w:r w:rsidRPr="009342F9">
        <w:rPr>
          <w:rFonts w:ascii="Arial" w:eastAsia="Times New Roman" w:hAnsi="Arial" w:cs="Arial"/>
          <w:color w:val="000000"/>
          <w:lang w:eastAsia="es-CO"/>
        </w:rPr>
        <w:softHyphen/>
        <w:t xml:space="preserve">tablecido en el literal (a) del presente artículo, el hogar cuente con una carta de aprobación de crédito hipotecario o una operación de leasing habitacional. Para los hogares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 la entrada en vigencia de este capítulo, ya hayan cumplido con el requisito establecido en el literal (a) del presente artículo, el término para la acreditación de la aprobación del crédito hipotecario o la aprobación del leasing habitacional empezará a contar a partir de la fecha de entrada en vigencia del acto administrativo expedido por el Ministerio de Vivienda, Ciudad y Territorio, a través del cual se reglamenten las condiciones del producto financiero.  </w:t>
      </w:r>
    </w:p>
    <w:p w14:paraId="4EDADDA4" w14:textId="319B830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67" w:name="ver_30205787"/>
      <w:bookmarkEnd w:id="667"/>
    </w:p>
    <w:p w14:paraId="3D75C674" w14:textId="7F5188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2.1.1.9.9.</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Solicitud de Asignación del Subsidio. Cumplidos los anteriores requisitos, el establecimiento de crédito verificará el cumplimiento de las condiciones establecidas en el artículo 2.1.1.9.5 a través de la consulta con el sistema que indique el Fondo Nacional de Vivienda, y solicitará a dicha entidad la expedición del acto administrativo de asignación del subsidio.  </w:t>
      </w:r>
    </w:p>
    <w:p w14:paraId="6A4B1C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9F4A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asignación del subsidio no podrá superar el 31 de diciembre de 2025.  </w:t>
      </w:r>
    </w:p>
    <w:p w14:paraId="1FF96F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2752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hogares que ya cuenten con el producto financiero de ahorro que cumpla con las condiciones establecidas por el Ministerio de Vivienda, Ciudad y Territorio, así como con las condiciones establecidas en los artículos 2.1.1.9.5 y 2.1.1.9.8 del presente decreto, no requerirán de habilitación del cupo de subsidio.  </w:t>
      </w:r>
    </w:p>
    <w:p w14:paraId="24D7DE74" w14:textId="67773A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68" w:name="ver_30205788"/>
      <w:bookmarkEnd w:id="668"/>
    </w:p>
    <w:p w14:paraId="087DDCAA" w14:textId="75EB3EC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2.1.1.9.10.</w:t>
      </w:r>
      <w:r w:rsidR="009C22F2">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Desembolso del subsidio. El desembolso del subsidio familiar de vivienda al vendedor de la </w:t>
      </w:r>
      <w:proofErr w:type="gramStart"/>
      <w:r w:rsidRPr="009342F9">
        <w:rPr>
          <w:rFonts w:ascii="Arial" w:eastAsia="Times New Roman" w:hAnsi="Arial" w:cs="Arial"/>
          <w:color w:val="000000"/>
          <w:lang w:eastAsia="es-CO"/>
        </w:rPr>
        <w:t>misma,</w:t>
      </w:r>
      <w:proofErr w:type="gramEnd"/>
      <w:r w:rsidRPr="009342F9">
        <w:rPr>
          <w:rFonts w:ascii="Arial" w:eastAsia="Times New Roman" w:hAnsi="Arial" w:cs="Arial"/>
          <w:color w:val="000000"/>
          <w:lang w:eastAsia="es-CO"/>
        </w:rPr>
        <w:t xml:space="preserve"> estará condicionado al cumplimiento de las mismas condiciones establecidas para el desembolso del subsidio del Programa “Mi Casa Ya”, establecidas en el inciso tercero del artículo 2.1.1.4.1.5.2 de este decreto. </w:t>
      </w:r>
    </w:p>
    <w:p w14:paraId="74E57F1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69" w:name="ver_30205789"/>
      <w:bookmarkEnd w:id="669"/>
    </w:p>
    <w:p w14:paraId="234A0E6B" w14:textId="5C90495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2.1.1.9.11.</w:t>
      </w:r>
      <w:r w:rsidR="00C2229B">
        <w:rPr>
          <w:rFonts w:ascii="Arial" w:eastAsia="Times New Roman" w:hAnsi="Arial" w:cs="Arial"/>
          <w:color w:val="000000"/>
          <w:lang w:eastAsia="es-CO"/>
        </w:rPr>
        <w:t xml:space="preserve"> </w:t>
      </w:r>
      <w:r w:rsidRPr="009342F9">
        <w:rPr>
          <w:rFonts w:ascii="Arial" w:eastAsia="Times New Roman" w:hAnsi="Arial" w:cs="Arial"/>
          <w:color w:val="000000"/>
          <w:lang w:eastAsia="es-CO"/>
        </w:rPr>
        <w:t>Enfoque diferencial. El Ministerio de Vivienda, Ciudad y Territorio podrá establecer hasta un veinte por ciento (20%) como porcentaje mínimo de destinación de subsidios con aplicación de criterios de enfoque diferencial dentro de los que deberán estar incluidos como mínimo la población víctima de desplazamiento forzado, las mujeres cabeza de familia de los estratos más pobres de la población, las trabajadoras del sector informal, las madres comunitarias, las personas de la tercera edad, los miembros de comunidades étnicas, la población en situación de discapacidad, los miembros de la fuerza pública, los familiares beneficiarios de estos que hubieren fallecido en actos del servicio y personal de la fuerza pública que haya tenido disminución en capacidad psicofísica o incapacidad absoluta permanente por gran invalidez.  </w:t>
      </w:r>
    </w:p>
    <w:p w14:paraId="4427369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70" w:name="ver_30205790"/>
      <w:bookmarkEnd w:id="670"/>
    </w:p>
    <w:p w14:paraId="2F66AF60" w14:textId="2659869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2.1.1.9.12.</w:t>
      </w:r>
      <w:r w:rsidR="00C2229B">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Legalización y condiciones de restitución del subsidio. Para efectos de la legalización del subsidio y las condiciones de restitución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se dará aplicación a lo dispuesto en los artículos 2.1.1.4.1.5.5 y 2.1.1.4.1.6.1 del presente decreto.  </w:t>
      </w:r>
    </w:p>
    <w:p w14:paraId="21A6CED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71" w:name="ver_30205791"/>
      <w:bookmarkEnd w:id="671"/>
    </w:p>
    <w:p w14:paraId="1759E912" w14:textId="538DF4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2.1.1.9.13.</w:t>
      </w:r>
      <w:r w:rsidR="00C2229B">
        <w:rPr>
          <w:rFonts w:ascii="Arial" w:eastAsia="Times New Roman" w:hAnsi="Arial" w:cs="Arial"/>
          <w:color w:val="000000"/>
          <w:lang w:eastAsia="es-CO"/>
        </w:rPr>
        <w:t xml:space="preserve"> </w:t>
      </w:r>
      <w:r w:rsidRPr="009342F9">
        <w:rPr>
          <w:rFonts w:ascii="Arial" w:eastAsia="Times New Roman" w:hAnsi="Arial" w:cs="Arial"/>
          <w:color w:val="000000"/>
          <w:lang w:eastAsia="es-CO"/>
        </w:rPr>
        <w:t>Complementariedad y Concurrencia. El subsidio familiar de vivienda de que trata el presente capítulo se podrá aplicar de manera complementaria con el asignado en el marco del Programa “Mi Casa Ya” y de forma concurrente con el asignado por las Cajas de Compensación Familiar siempre y cuando se trate de postulaciones nuevas y se apliquen las siguientes reglas para la definición del valor del subsidio:  </w:t>
      </w:r>
    </w:p>
    <w:p w14:paraId="6F4F1E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5788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Cuando se apliquen complementariamente los subsidios de los programas “Se</w:t>
      </w:r>
      <w:r w:rsidRPr="009342F9">
        <w:rPr>
          <w:rFonts w:ascii="Arial" w:eastAsia="Times New Roman" w:hAnsi="Arial" w:cs="Arial"/>
          <w:color w:val="000000"/>
          <w:lang w:eastAsia="es-CO"/>
        </w:rPr>
        <w:softHyphen/>
        <w:t>millero de Propietarios - Ahorradores” y “Mi Casa Ya” sin concurrencia con el subsidio otorgado por Cajas de Compensación Familiar:  </w:t>
      </w:r>
    </w:p>
    <w:p w14:paraId="3E1286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795"/>
        <w:gridCol w:w="5100"/>
      </w:tblGrid>
      <w:tr w:rsidR="00FC79C1" w:rsidRPr="009342F9" w14:paraId="0F009133" w14:textId="77777777" w:rsidTr="00FC79C1">
        <w:trPr>
          <w:trHeight w:val="105"/>
          <w:tblCellSpacing w:w="0" w:type="dxa"/>
        </w:trPr>
        <w:tc>
          <w:tcPr>
            <w:tcW w:w="3795" w:type="dxa"/>
            <w:tcBorders>
              <w:top w:val="outset" w:sz="6" w:space="0" w:color="auto"/>
              <w:left w:val="outset" w:sz="6" w:space="0" w:color="auto"/>
              <w:bottom w:val="outset" w:sz="6" w:space="0" w:color="auto"/>
              <w:right w:val="outset" w:sz="6" w:space="0" w:color="auto"/>
            </w:tcBorders>
            <w:vAlign w:val="center"/>
            <w:hideMark/>
          </w:tcPr>
          <w:p w14:paraId="67B9A7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Programa </w:t>
            </w:r>
          </w:p>
        </w:tc>
        <w:tc>
          <w:tcPr>
            <w:tcW w:w="5100" w:type="dxa"/>
            <w:tcBorders>
              <w:top w:val="outset" w:sz="6" w:space="0" w:color="auto"/>
              <w:left w:val="outset" w:sz="6" w:space="0" w:color="auto"/>
              <w:bottom w:val="outset" w:sz="6" w:space="0" w:color="auto"/>
              <w:right w:val="outset" w:sz="6" w:space="0" w:color="auto"/>
            </w:tcBorders>
            <w:vAlign w:val="center"/>
            <w:hideMark/>
          </w:tcPr>
          <w:p w14:paraId="586753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Monto del subsidio </w:t>
            </w:r>
          </w:p>
        </w:tc>
      </w:tr>
      <w:tr w:rsidR="00FC79C1" w:rsidRPr="009342F9" w14:paraId="5F8340F8" w14:textId="77777777" w:rsidTr="00FC79C1">
        <w:trPr>
          <w:trHeight w:val="105"/>
          <w:tblCellSpacing w:w="0" w:type="dxa"/>
        </w:trPr>
        <w:tc>
          <w:tcPr>
            <w:tcW w:w="3795" w:type="dxa"/>
            <w:tcBorders>
              <w:top w:val="outset" w:sz="6" w:space="0" w:color="auto"/>
              <w:left w:val="outset" w:sz="6" w:space="0" w:color="auto"/>
              <w:bottom w:val="outset" w:sz="6" w:space="0" w:color="auto"/>
              <w:right w:val="outset" w:sz="6" w:space="0" w:color="auto"/>
            </w:tcBorders>
            <w:vAlign w:val="center"/>
            <w:hideMark/>
          </w:tcPr>
          <w:p w14:paraId="23CF04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Semillero de Propietarios - Ahorradores  </w:t>
            </w:r>
          </w:p>
        </w:tc>
        <w:tc>
          <w:tcPr>
            <w:tcW w:w="5100" w:type="dxa"/>
            <w:tcBorders>
              <w:top w:val="outset" w:sz="6" w:space="0" w:color="auto"/>
              <w:left w:val="outset" w:sz="6" w:space="0" w:color="auto"/>
              <w:bottom w:val="outset" w:sz="6" w:space="0" w:color="auto"/>
              <w:right w:val="outset" w:sz="6" w:space="0" w:color="auto"/>
            </w:tcBorders>
            <w:vAlign w:val="center"/>
            <w:hideMark/>
          </w:tcPr>
          <w:p w14:paraId="57DD4A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6 salarios mínimos legales mensuales vigentes  </w:t>
            </w:r>
          </w:p>
        </w:tc>
      </w:tr>
      <w:tr w:rsidR="00FC79C1" w:rsidRPr="009342F9" w14:paraId="4E93300D" w14:textId="77777777" w:rsidTr="00FC79C1">
        <w:trPr>
          <w:trHeight w:val="105"/>
          <w:tblCellSpacing w:w="0" w:type="dxa"/>
        </w:trPr>
        <w:tc>
          <w:tcPr>
            <w:tcW w:w="3795" w:type="dxa"/>
            <w:tcBorders>
              <w:top w:val="outset" w:sz="6" w:space="0" w:color="auto"/>
              <w:left w:val="outset" w:sz="6" w:space="0" w:color="auto"/>
              <w:bottom w:val="outset" w:sz="6" w:space="0" w:color="auto"/>
              <w:right w:val="outset" w:sz="6" w:space="0" w:color="auto"/>
            </w:tcBorders>
            <w:vAlign w:val="center"/>
            <w:hideMark/>
          </w:tcPr>
          <w:p w14:paraId="49605A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Mi Casa Ya  </w:t>
            </w:r>
          </w:p>
        </w:tc>
        <w:tc>
          <w:tcPr>
            <w:tcW w:w="5100" w:type="dxa"/>
            <w:tcBorders>
              <w:top w:val="outset" w:sz="6" w:space="0" w:color="auto"/>
              <w:left w:val="outset" w:sz="6" w:space="0" w:color="auto"/>
              <w:bottom w:val="outset" w:sz="6" w:space="0" w:color="auto"/>
              <w:right w:val="outset" w:sz="6" w:space="0" w:color="auto"/>
            </w:tcBorders>
            <w:vAlign w:val="center"/>
            <w:hideMark/>
          </w:tcPr>
          <w:p w14:paraId="1070B3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30 salarios mínimos legales mensuales vigentes  </w:t>
            </w:r>
          </w:p>
        </w:tc>
      </w:tr>
    </w:tbl>
    <w:p w14:paraId="7FA753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3ACA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Cuando se apliquen complementariamente los subsidios de los programas “Se</w:t>
      </w:r>
      <w:r w:rsidRPr="009342F9">
        <w:rPr>
          <w:rFonts w:ascii="Arial" w:eastAsia="Times New Roman" w:hAnsi="Arial" w:cs="Arial"/>
          <w:color w:val="000000"/>
          <w:lang w:eastAsia="es-CO"/>
        </w:rPr>
        <w:softHyphen/>
        <w:t>millero de Propietarios - Ahorradores” y “Mi Casa Ya” con concurrencia con el subsidio otorgado por Cajas de Compensación Familiar:  </w:t>
      </w:r>
    </w:p>
    <w:p w14:paraId="5773FC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0" w:type="auto"/>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405"/>
        <w:gridCol w:w="5490"/>
      </w:tblGrid>
      <w:tr w:rsidR="00FC79C1" w:rsidRPr="009342F9" w14:paraId="1FC4BFB1" w14:textId="77777777" w:rsidTr="00FC79C1">
        <w:trPr>
          <w:trHeight w:val="105"/>
          <w:tblCellSpacing w:w="0" w:type="dxa"/>
        </w:trPr>
        <w:tc>
          <w:tcPr>
            <w:tcW w:w="3405" w:type="dxa"/>
            <w:tcBorders>
              <w:top w:val="outset" w:sz="6" w:space="0" w:color="auto"/>
              <w:left w:val="outset" w:sz="6" w:space="0" w:color="auto"/>
              <w:bottom w:val="outset" w:sz="6" w:space="0" w:color="auto"/>
              <w:right w:val="outset" w:sz="6" w:space="0" w:color="auto"/>
            </w:tcBorders>
            <w:vAlign w:val="center"/>
            <w:hideMark/>
          </w:tcPr>
          <w:p w14:paraId="17A9C8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Programa  </w:t>
            </w:r>
          </w:p>
        </w:tc>
        <w:tc>
          <w:tcPr>
            <w:tcW w:w="5490" w:type="dxa"/>
            <w:tcBorders>
              <w:top w:val="outset" w:sz="6" w:space="0" w:color="auto"/>
              <w:left w:val="outset" w:sz="6" w:space="0" w:color="auto"/>
              <w:bottom w:val="outset" w:sz="6" w:space="0" w:color="auto"/>
              <w:right w:val="outset" w:sz="6" w:space="0" w:color="auto"/>
            </w:tcBorders>
            <w:vAlign w:val="center"/>
            <w:hideMark/>
          </w:tcPr>
          <w:p w14:paraId="677C1F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Monto del subsidio  </w:t>
            </w:r>
          </w:p>
        </w:tc>
      </w:tr>
      <w:tr w:rsidR="00FC79C1" w:rsidRPr="009342F9" w14:paraId="6E6C091F" w14:textId="77777777" w:rsidTr="00FC79C1">
        <w:trPr>
          <w:trHeight w:val="105"/>
          <w:tblCellSpacing w:w="0" w:type="dxa"/>
        </w:trPr>
        <w:tc>
          <w:tcPr>
            <w:tcW w:w="3405" w:type="dxa"/>
            <w:tcBorders>
              <w:top w:val="outset" w:sz="6" w:space="0" w:color="auto"/>
              <w:left w:val="outset" w:sz="6" w:space="0" w:color="auto"/>
              <w:bottom w:val="outset" w:sz="6" w:space="0" w:color="auto"/>
              <w:right w:val="outset" w:sz="6" w:space="0" w:color="auto"/>
            </w:tcBorders>
            <w:vAlign w:val="center"/>
            <w:hideMark/>
          </w:tcPr>
          <w:p w14:paraId="59FAA1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Semillero de Propietarios - Ahorradores  </w:t>
            </w:r>
          </w:p>
        </w:tc>
        <w:tc>
          <w:tcPr>
            <w:tcW w:w="5490" w:type="dxa"/>
            <w:tcBorders>
              <w:top w:val="outset" w:sz="6" w:space="0" w:color="auto"/>
              <w:left w:val="outset" w:sz="6" w:space="0" w:color="auto"/>
              <w:bottom w:val="outset" w:sz="6" w:space="0" w:color="auto"/>
              <w:right w:val="outset" w:sz="6" w:space="0" w:color="auto"/>
            </w:tcBorders>
            <w:vAlign w:val="center"/>
            <w:hideMark/>
          </w:tcPr>
          <w:p w14:paraId="7F1547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6 salarios mínimos legales mensuales vigentes  </w:t>
            </w:r>
          </w:p>
        </w:tc>
      </w:tr>
      <w:tr w:rsidR="00FC79C1" w:rsidRPr="009342F9" w14:paraId="539D4102" w14:textId="77777777" w:rsidTr="00FC79C1">
        <w:trPr>
          <w:trHeight w:val="105"/>
          <w:tblCellSpacing w:w="0" w:type="dxa"/>
        </w:trPr>
        <w:tc>
          <w:tcPr>
            <w:tcW w:w="3405" w:type="dxa"/>
            <w:tcBorders>
              <w:top w:val="outset" w:sz="6" w:space="0" w:color="auto"/>
              <w:left w:val="outset" w:sz="6" w:space="0" w:color="auto"/>
              <w:bottom w:val="outset" w:sz="6" w:space="0" w:color="auto"/>
              <w:right w:val="outset" w:sz="6" w:space="0" w:color="auto"/>
            </w:tcBorders>
            <w:vAlign w:val="center"/>
            <w:hideMark/>
          </w:tcPr>
          <w:p w14:paraId="41A6D0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Mi Casa Ya  </w:t>
            </w:r>
          </w:p>
        </w:tc>
        <w:tc>
          <w:tcPr>
            <w:tcW w:w="5490" w:type="dxa"/>
            <w:tcBorders>
              <w:top w:val="outset" w:sz="6" w:space="0" w:color="auto"/>
              <w:left w:val="outset" w:sz="6" w:space="0" w:color="auto"/>
              <w:bottom w:val="outset" w:sz="6" w:space="0" w:color="auto"/>
              <w:right w:val="outset" w:sz="6" w:space="0" w:color="auto"/>
            </w:tcBorders>
            <w:vAlign w:val="center"/>
            <w:hideMark/>
          </w:tcPr>
          <w:p w14:paraId="379B15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20 salarios mínimos legales mensuales vigentes  </w:t>
            </w:r>
          </w:p>
        </w:tc>
      </w:tr>
      <w:tr w:rsidR="00FC79C1" w:rsidRPr="009342F9" w14:paraId="795ED2E9" w14:textId="77777777" w:rsidTr="00FC79C1">
        <w:trPr>
          <w:trHeight w:val="105"/>
          <w:tblCellSpacing w:w="0" w:type="dxa"/>
        </w:trPr>
        <w:tc>
          <w:tcPr>
            <w:tcW w:w="3405" w:type="dxa"/>
            <w:tcBorders>
              <w:top w:val="outset" w:sz="6" w:space="0" w:color="auto"/>
              <w:left w:val="outset" w:sz="6" w:space="0" w:color="auto"/>
              <w:bottom w:val="outset" w:sz="6" w:space="0" w:color="auto"/>
              <w:right w:val="outset" w:sz="6" w:space="0" w:color="auto"/>
            </w:tcBorders>
            <w:vAlign w:val="center"/>
            <w:hideMark/>
          </w:tcPr>
          <w:p w14:paraId="52D3CB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Caja de Compensación Familiar  </w:t>
            </w:r>
          </w:p>
        </w:tc>
        <w:tc>
          <w:tcPr>
            <w:tcW w:w="5490" w:type="dxa"/>
            <w:tcBorders>
              <w:top w:val="outset" w:sz="6" w:space="0" w:color="auto"/>
              <w:left w:val="outset" w:sz="6" w:space="0" w:color="auto"/>
              <w:bottom w:val="outset" w:sz="6" w:space="0" w:color="auto"/>
              <w:right w:val="outset" w:sz="6" w:space="0" w:color="auto"/>
            </w:tcBorders>
            <w:vAlign w:val="center"/>
            <w:hideMark/>
          </w:tcPr>
          <w:p w14:paraId="2238D5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30 salarios mínimos legales mensuales vigentes  </w:t>
            </w:r>
          </w:p>
        </w:tc>
      </w:tr>
    </w:tbl>
    <w:p w14:paraId="647D0216" w14:textId="0414737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72" w:name="ver_30205792"/>
      <w:bookmarkEnd w:id="672"/>
    </w:p>
    <w:p w14:paraId="2AC5EA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2.1.1.9.</w:t>
      </w:r>
      <w:proofErr w:type="gramStart"/>
      <w:r w:rsidRPr="009342F9">
        <w:rPr>
          <w:rFonts w:ascii="Arial" w:eastAsia="Times New Roman" w:hAnsi="Arial" w:cs="Arial"/>
          <w:color w:val="000000"/>
          <w:lang w:eastAsia="es-CO"/>
        </w:rPr>
        <w:t>14.Ajuste</w:t>
      </w:r>
      <w:proofErr w:type="gramEnd"/>
      <w:r w:rsidRPr="009342F9">
        <w:rPr>
          <w:rFonts w:ascii="Arial" w:eastAsia="Times New Roman" w:hAnsi="Arial" w:cs="Arial"/>
          <w:color w:val="000000"/>
          <w:lang w:eastAsia="es-CO"/>
        </w:rPr>
        <w:t xml:space="preserve"> al Marco Fiscal. Los recursos del Presupuesto General de la Nación que se destinen para atender el subsidio familiar de vivienda de interés social de que trata este capítulo, así como los demás costos en que incurra Fonvivienda asociados a la ejecución de los subsidios estarán sujetos a la disponibilidad de recursos del Marco Fiscal de Mediano Plazo y el Marco de Gasto de Mediano Plazo del sector vivienda”.  </w:t>
      </w:r>
    </w:p>
    <w:p w14:paraId="05D50C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AC1892"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73" w:name="ver_30072247"/>
      <w:bookmarkEnd w:id="673"/>
      <w:r w:rsidRPr="009342F9">
        <w:rPr>
          <w:rFonts w:ascii="Arial" w:eastAsia="Times New Roman" w:hAnsi="Arial" w:cs="Arial"/>
          <w:b/>
          <w:bCs/>
          <w:color w:val="000000"/>
          <w:lang w:eastAsia="es-CO"/>
        </w:rPr>
        <w:t>TÍTULO 2</w:t>
      </w:r>
    </w:p>
    <w:p w14:paraId="22378A42" w14:textId="77777777" w:rsidR="00FC79C1"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TRANSFERENCIA DE BIENES FISCALES</w:t>
      </w:r>
    </w:p>
    <w:p w14:paraId="510812B0" w14:textId="77777777" w:rsidR="00C2229B" w:rsidRPr="009342F9" w:rsidRDefault="00C2229B" w:rsidP="00683694">
      <w:pPr>
        <w:spacing w:after="0" w:line="240" w:lineRule="auto"/>
        <w:jc w:val="center"/>
        <w:rPr>
          <w:rFonts w:ascii="Arial" w:eastAsia="Times New Roman" w:hAnsi="Arial" w:cs="Arial"/>
          <w:b/>
          <w:bCs/>
          <w:color w:val="000000"/>
          <w:lang w:eastAsia="es-CO"/>
        </w:rPr>
      </w:pPr>
    </w:p>
    <w:p w14:paraId="47BFCB0F"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23DDEA6C"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TRANSFERENCIA DE BIENES FISCALES PARA VIVIENDA DE INTERÉS SOCIAL DE LA LEY 708 DE 2002 Y LEY 1151 DE 2007</w:t>
      </w:r>
    </w:p>
    <w:p w14:paraId="13770143"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74" w:name="ver_30072249"/>
      <w:bookmarkEnd w:id="674"/>
    </w:p>
    <w:p w14:paraId="57781A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2.1.2.1.1. Transferencia de bienes fiscales del inmueble denominado “La </w:t>
      </w:r>
      <w:proofErr w:type="spellStart"/>
      <w:r w:rsidRPr="009342F9">
        <w:rPr>
          <w:rFonts w:ascii="Arial" w:eastAsia="Times New Roman" w:hAnsi="Arial" w:cs="Arial"/>
          <w:color w:val="000000"/>
          <w:lang w:eastAsia="es-CO"/>
        </w:rPr>
        <w:t>Chiguaza</w:t>
      </w:r>
      <w:proofErr w:type="spellEnd"/>
      <w:r w:rsidRPr="009342F9">
        <w:rPr>
          <w:rFonts w:ascii="Arial" w:eastAsia="Times New Roman" w:hAnsi="Arial" w:cs="Arial"/>
          <w:color w:val="000000"/>
          <w:lang w:eastAsia="es-CO"/>
        </w:rPr>
        <w:t xml:space="preserve">”. El Ministerio de Vivienda, Ciudad y Territorio adelantará, en nombre de la Nación, las gestiones necesarias para dar cumplimiento a lo dispuesto en los artículos 90 de la Ley 1151 de 2007 y 8° de la Ley 708 de 2001, en relación con el inmueble denominado “La </w:t>
      </w:r>
      <w:proofErr w:type="spellStart"/>
      <w:r w:rsidRPr="009342F9">
        <w:rPr>
          <w:rFonts w:ascii="Arial" w:eastAsia="Times New Roman" w:hAnsi="Arial" w:cs="Arial"/>
          <w:color w:val="000000"/>
          <w:lang w:eastAsia="es-CO"/>
        </w:rPr>
        <w:t>Chiguaza</w:t>
      </w:r>
      <w:proofErr w:type="spellEnd"/>
      <w:r w:rsidRPr="009342F9">
        <w:rPr>
          <w:rFonts w:ascii="Arial" w:eastAsia="Times New Roman" w:hAnsi="Arial" w:cs="Arial"/>
          <w:color w:val="000000"/>
          <w:lang w:eastAsia="es-CO"/>
        </w:rPr>
        <w:t xml:space="preserve">”; ubicado entre las localidades de Usme y Rafael Uribe </w:t>
      </w:r>
      <w:proofErr w:type="spellStart"/>
      <w:r w:rsidRPr="009342F9">
        <w:rPr>
          <w:rFonts w:ascii="Arial" w:eastAsia="Times New Roman" w:hAnsi="Arial" w:cs="Arial"/>
          <w:color w:val="000000"/>
          <w:lang w:eastAsia="es-CO"/>
        </w:rPr>
        <w:t>Uribe</w:t>
      </w:r>
      <w:proofErr w:type="spellEnd"/>
      <w:r w:rsidRPr="009342F9">
        <w:rPr>
          <w:rFonts w:ascii="Arial" w:eastAsia="Times New Roman" w:hAnsi="Arial" w:cs="Arial"/>
          <w:color w:val="000000"/>
          <w:lang w:eastAsia="es-CO"/>
        </w:rPr>
        <w:t xml:space="preserve"> e identificado con el Folio de Matrícula Inmobiliaria número 50S-374420. </w:t>
      </w:r>
    </w:p>
    <w:p w14:paraId="3F6397C4" w14:textId="1ED42FEB"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675" w:name="ver_30072251"/>
      <w:bookmarkEnd w:id="675"/>
    </w:p>
    <w:p w14:paraId="398AC8DF" w14:textId="1F9F5A9A"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1C48ECD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TRANSFERENCIA DE BIENES INMUEBLES FISCALES ENTRE ENTIDADES, CESIÓN A TÍTULO GRATUITO O ENAJENACIÓN DE BIENES FISCALES</w:t>
      </w:r>
    </w:p>
    <w:p w14:paraId="34B338DE"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OCUPADOS ILEGALMENTE</w:t>
      </w:r>
    </w:p>
    <w:p w14:paraId="7AAC57D2"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4C522BDC"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076962AE"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TITULACIÓN</w:t>
      </w:r>
    </w:p>
    <w:p w14:paraId="70FB52D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76" w:name="ver_30210336"/>
      <w:bookmarkStart w:id="677" w:name="ver_30072260"/>
      <w:bookmarkEnd w:id="676"/>
    </w:p>
    <w:p w14:paraId="74A549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2.1.2.2.1.1. Ámbito de aplicación. El presente capítulo se aplica en su primera sección a los artículos 276 y 277 de la Ley 1955 de 2019. La segunda sección se refiere a la cesión a título gratuito o enajenación de bienes fiscales ocupados ilegalmente, en aplicación del artículo 277 de la Ley 1955 de 2019. La tercera sección se ocupa de la transferencia de dominio de bienes fiscales entre entidades, en aplicación del artículo 276 de la Ley 1955 de 2019; y la cuarta sección a asuntos relacionados con la licencia de subdivisión, zonas de cesión obligatoria y levantamiento de hipotecas.  </w:t>
      </w:r>
    </w:p>
    <w:p w14:paraId="064CC46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78" w:name="ver_30210337"/>
      <w:bookmarkStart w:id="679" w:name="ver_30072264"/>
      <w:bookmarkEnd w:id="677"/>
      <w:bookmarkEnd w:id="678"/>
    </w:p>
    <w:p w14:paraId="4A188F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2.1.2.2.1.2. Definiciones. Para efectos de lo aquí dispuesto se adoptan las siguientes definiciones:  </w:t>
      </w:r>
    </w:p>
    <w:p w14:paraId="2B4005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22B3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Entidad cedente o enajenadora. La definición de entidad cedente o enajenadora tendrá en cuenta los siguientes criterios:  </w:t>
      </w:r>
    </w:p>
    <w:p w14:paraId="185643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6C8B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Cuando se trate de la transferencia entre entidades de que trata el artículo 276 de la Ley 1955 de 2019, se entenderá por entidad cedente a aquella que ostente la titula</w:t>
      </w:r>
      <w:r w:rsidRPr="009342F9">
        <w:rPr>
          <w:rFonts w:ascii="Arial" w:eastAsia="Times New Roman" w:hAnsi="Arial" w:cs="Arial"/>
          <w:color w:val="000000"/>
          <w:lang w:eastAsia="es-CO"/>
        </w:rPr>
        <w:softHyphen/>
        <w:t>ridad de la propiedad de los bienes objeto del presente capítulo.  </w:t>
      </w:r>
    </w:p>
    <w:p w14:paraId="1F2B6A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AF98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Cuando se trate de la cesión a título gratuito de que trata el artículo 277 de la Ley 1955 de 2019, se entenderá por entidad cedente o enajenadora a aquella facultada para adelantar el proceso de saneamiento y titulación de los bienes objeto del pre</w:t>
      </w:r>
      <w:r w:rsidRPr="009342F9">
        <w:rPr>
          <w:rFonts w:ascii="Arial" w:eastAsia="Times New Roman" w:hAnsi="Arial" w:cs="Arial"/>
          <w:color w:val="000000"/>
          <w:lang w:eastAsia="es-CO"/>
        </w:rPr>
        <w:softHyphen/>
        <w:t>sente capítulo.  </w:t>
      </w:r>
    </w:p>
    <w:p w14:paraId="6E81BA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DDD3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Receptor o cesionario.  </w:t>
      </w:r>
    </w:p>
    <w:p w14:paraId="360371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1401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Cuando se trate de la transferencia de que trata el artículo 276 de la Ley 1955 de 2019, se entenderá por receptor o cesionario la entidad a la cual se le transfiere mediante cesión a título gratuito el derecho real de dominio de los bienes inmuebles fiscales para atender necesidades en materia de infraestructura y vivienda.  </w:t>
      </w:r>
    </w:p>
    <w:p w14:paraId="4380A7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A0FC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Cuando se trate de la cesión a título gratuito de que trata el artículo 277 de la Ley 1955 de 2019, se entenderá por cesionario al (a los) integrante(s) del hogar corres</w:t>
      </w:r>
      <w:r w:rsidRPr="009342F9">
        <w:rPr>
          <w:rFonts w:ascii="Arial" w:eastAsia="Times New Roman" w:hAnsi="Arial" w:cs="Arial"/>
          <w:color w:val="000000"/>
          <w:lang w:eastAsia="es-CO"/>
        </w:rPr>
        <w:softHyphen/>
        <w:t>pondiente.  </w:t>
      </w:r>
    </w:p>
    <w:p w14:paraId="70127E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8A41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Bien fiscal titulable. Corresponde a aquel de propiedad de entidades a las que se refieren los artículos 276 y 277 de la Ley 1955 de 2019, susceptible de cesión o enajenación de conformidad con las disposiciones mencionadas.  </w:t>
      </w:r>
    </w:p>
    <w:p w14:paraId="22F4DE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1365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Ocupación. Corresponde a la situación de hecho en virtud de la cual un hogar se encuentra asentado en un bien inmueble fiscal.  </w:t>
      </w:r>
    </w:p>
    <w:p w14:paraId="2E2B32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3E45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Hogar. Se entiende por hogar el conformado por una o más personas que integren el mismo núcleo familiar, los cónyuges, las uniones maritales de hecho, incluyen</w:t>
      </w:r>
      <w:r w:rsidRPr="009342F9">
        <w:rPr>
          <w:rFonts w:ascii="Arial" w:eastAsia="Times New Roman" w:hAnsi="Arial" w:cs="Arial"/>
          <w:color w:val="000000"/>
          <w:lang w:eastAsia="es-CO"/>
        </w:rPr>
        <w:softHyphen/>
        <w:t>do las parejas del mismo sexo, y/o el grupo de personas unidas por vínculos de parentesco hasta tercer grado de consanguinidad, segundo de afinidad y primero civil que compartan un mismo espacio habitacional. Así mismo, se entiende por hogar el que se encuentre conformado por menores de edad cuando ambos padres hayan fallecido, estén desaparecidos, privados de la libertad o hayan sido priva</w:t>
      </w:r>
      <w:r w:rsidRPr="009342F9">
        <w:rPr>
          <w:rFonts w:ascii="Arial" w:eastAsia="Times New Roman" w:hAnsi="Arial" w:cs="Arial"/>
          <w:color w:val="000000"/>
          <w:lang w:eastAsia="es-CO"/>
        </w:rPr>
        <w:softHyphen/>
        <w:t>dos de la patria potestad; en estos últimos eventos, el trámite se realizará a través del tutor y/o curador en acompañamiento del defensor de familia, cuando sea del caso.  </w:t>
      </w:r>
    </w:p>
    <w:p w14:paraId="51F38A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1FEF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Medios de prueba. Son medios de prueba, entre otros, la declaración de parte, la confesión, el juramento, el testimonio de terceros, el dictamen pericial, la inspec</w:t>
      </w:r>
      <w:r w:rsidRPr="009342F9">
        <w:rPr>
          <w:rFonts w:ascii="Arial" w:eastAsia="Times New Roman" w:hAnsi="Arial" w:cs="Arial"/>
          <w:color w:val="000000"/>
          <w:lang w:eastAsia="es-CO"/>
        </w:rPr>
        <w:softHyphen/>
        <w:t>ción judicial, los documentos, los indicios, los informes y/o los demás permitidos en el Código General del Proceso.  </w:t>
      </w:r>
    </w:p>
    <w:p w14:paraId="6F21A7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1A15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Destinación económica de los inmuebles. Es la clasificación que otorga la au</w:t>
      </w:r>
      <w:r w:rsidRPr="009342F9">
        <w:rPr>
          <w:rFonts w:ascii="Arial" w:eastAsia="Times New Roman" w:hAnsi="Arial" w:cs="Arial"/>
          <w:color w:val="000000"/>
          <w:lang w:eastAsia="es-CO"/>
        </w:rPr>
        <w:softHyphen/>
        <w:t>toridad encargada de la gestión catastral, para fines estadísticos a cada inmueble en su conjunto-terreno, construcciones o edificaciones, en el momento de la iden</w:t>
      </w:r>
      <w:r w:rsidRPr="009342F9">
        <w:rPr>
          <w:rFonts w:ascii="Arial" w:eastAsia="Times New Roman" w:hAnsi="Arial" w:cs="Arial"/>
          <w:color w:val="000000"/>
          <w:lang w:eastAsia="es-CO"/>
        </w:rPr>
        <w:softHyphen/>
        <w:t>tificación predial, de conformidad con la actividad predominante que en él se desarrolle.  </w:t>
      </w:r>
    </w:p>
    <w:p w14:paraId="78BA5B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4C99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Destinación económica habitacional. Es la clasificación que se da al inmueble cuyo destino corresponda a vivienda, en la cual se incluyen parqueaderos, garajes y depósitos ligados a la vivienda, cuente o no con reglamento de propiedad horizon</w:t>
      </w:r>
      <w:r w:rsidRPr="009342F9">
        <w:rPr>
          <w:rFonts w:ascii="Arial" w:eastAsia="Times New Roman" w:hAnsi="Arial" w:cs="Arial"/>
          <w:color w:val="000000"/>
          <w:lang w:eastAsia="es-CO"/>
        </w:rPr>
        <w:softHyphen/>
        <w:t>tal.  </w:t>
      </w:r>
    </w:p>
    <w:p w14:paraId="35AA5E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F297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Enajenación directa. Corresponde al trámite preferente en favor del ocupante, en las condiciones establecidas en el parágrafo primero del artículo 277 de la Ley 1955 de 2019.  </w:t>
      </w:r>
    </w:p>
    <w:p w14:paraId="6C9CD7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0550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Mejora. Edificación efectuada por una persona natural sobre un predio fiscal.  </w:t>
      </w:r>
    </w:p>
    <w:p w14:paraId="5EF2EA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11C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Construcción. Edificación realizada por la entidad pública sobre el predio fiscal ocupado. </w:t>
      </w:r>
    </w:p>
    <w:p w14:paraId="70E613D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80" w:name="ver_30210338"/>
      <w:bookmarkStart w:id="681" w:name="ver_30072265"/>
      <w:bookmarkEnd w:id="679"/>
      <w:bookmarkEnd w:id="680"/>
    </w:p>
    <w:p w14:paraId="459413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2.1.2.2.1.3. Atribuciones y facultades. De acuerdo con lo dispuesto en el presente capítulo los representantes legales de las entidades públicas del orden territorial deberán estar facultados para la transferencia de bienes inmuebles fiscales entre entidades, cesión a título gratuito o enajenación de bienes fiscales ocupados ilegalmente. </w:t>
      </w:r>
    </w:p>
    <w:p w14:paraId="4CC6B14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82" w:name="ver_30210340"/>
      <w:bookmarkStart w:id="683" w:name="ver_30072266"/>
      <w:bookmarkEnd w:id="681"/>
      <w:bookmarkEnd w:id="682"/>
    </w:p>
    <w:p w14:paraId="7D8AAF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2.1.2.2.1.4. Modificado por el artículo 1 del Decreto 149 de 2020. </w:t>
      </w:r>
    </w:p>
    <w:p w14:paraId="63BA7AE3" w14:textId="77777777" w:rsidR="00FC79C1" w:rsidRPr="009342F9" w:rsidRDefault="00FC79C1" w:rsidP="00683694">
      <w:pPr>
        <w:spacing w:after="0" w:line="240" w:lineRule="auto"/>
        <w:jc w:val="center"/>
        <w:rPr>
          <w:rFonts w:ascii="Arial" w:eastAsia="Times New Roman" w:hAnsi="Arial" w:cs="Arial"/>
          <w:b/>
          <w:bCs/>
          <w:color w:val="000000"/>
          <w:lang w:eastAsia="es-CO"/>
        </w:rPr>
      </w:pPr>
    </w:p>
    <w:p w14:paraId="04093973"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684" w:name="ver_30072267"/>
      <w:bookmarkEnd w:id="683"/>
      <w:bookmarkEnd w:id="684"/>
      <w:r w:rsidRPr="009342F9">
        <w:rPr>
          <w:rFonts w:ascii="Arial" w:eastAsia="Times New Roman" w:hAnsi="Arial" w:cs="Arial"/>
          <w:b/>
          <w:bCs/>
          <w:color w:val="000000"/>
          <w:lang w:eastAsia="es-CO"/>
        </w:rPr>
        <w:t>SECCIÓN 2</w:t>
      </w:r>
    </w:p>
    <w:p w14:paraId="70EDA23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TRÁMITE DE CESIÓN GRATUITA Y ENAJENACIÓN DE BIENES FISCALES</w:t>
      </w:r>
    </w:p>
    <w:p w14:paraId="34A86093" w14:textId="77777777" w:rsidR="00D25E1B" w:rsidRDefault="00D25E1B" w:rsidP="00FC79C1">
      <w:pPr>
        <w:spacing w:after="0" w:line="240" w:lineRule="auto"/>
        <w:jc w:val="both"/>
        <w:rPr>
          <w:rFonts w:ascii="Arial" w:eastAsia="Times New Roman" w:hAnsi="Arial" w:cs="Arial"/>
          <w:color w:val="000000"/>
          <w:lang w:eastAsia="es-CO"/>
        </w:rPr>
      </w:pPr>
      <w:bookmarkStart w:id="685" w:name="ver_30072269"/>
    </w:p>
    <w:p w14:paraId="47ADA344" w14:textId="0703B7A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2.1.2.2.2.1. Identificación jurídica y técnica del inmueble. El trámite de cesión gratuita de bienes fiscales se adelantará de oficio o solicitud de parte.  </w:t>
      </w:r>
    </w:p>
    <w:p w14:paraId="6B5D41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AE02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marco del proceso de transferencia la entidad cedente deberá verificar que la titularidad de pleno dominio del inmueble esté a su nombre y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además, se encuentre libre de gravámenes, limitaciones de dominio y/o afectaciones que impidan su cesión o enajenación.  </w:t>
      </w:r>
    </w:p>
    <w:p w14:paraId="75B275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DBB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Así mismo, se deberán realizar las acciones técnicas necesarias para establecer la identificación física del inmueble verificando que:  </w:t>
      </w:r>
    </w:p>
    <w:p w14:paraId="58FA4C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6386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Cuente con mejoras y/o construcciones de destinación económica habitacional.  </w:t>
      </w:r>
    </w:p>
    <w:p w14:paraId="262299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5CF4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Se ubique dentro del perímetro urbano del municipio o distrito.  </w:t>
      </w:r>
    </w:p>
    <w:p w14:paraId="41122A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FD79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No se encuentre ubicado en bienes de uso público, bienes destinados a fines institu</w:t>
      </w:r>
      <w:r w:rsidRPr="009342F9">
        <w:rPr>
          <w:rFonts w:ascii="Arial" w:eastAsia="Times New Roman" w:hAnsi="Arial" w:cs="Arial"/>
          <w:color w:val="000000"/>
          <w:lang w:eastAsia="es-CO"/>
        </w:rPr>
        <w:softHyphen/>
        <w:t>cionales de salud o educación, en áreas insalubres de riesgo, en zonas de conserva</w:t>
      </w:r>
      <w:r w:rsidRPr="009342F9">
        <w:rPr>
          <w:rFonts w:ascii="Arial" w:eastAsia="Times New Roman" w:hAnsi="Arial" w:cs="Arial"/>
          <w:color w:val="000000"/>
          <w:lang w:eastAsia="es-CO"/>
        </w:rPr>
        <w:softHyphen/>
        <w:t>ción o protección ambiental y las demás áreas previstas en los artículos 35 y 37 de la Ley 388 de 1997, en concordancia con el Plan de Ordenamiento Territorial o los instrumentos que lo desarrollen o complementen.  </w:t>
      </w:r>
    </w:p>
    <w:p w14:paraId="472D3C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87A2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identificación de las mejoras o construcciones estará basada en la información que suministren la entidad cedente o la autoridad encargada de la gestión catastral, de conformidad con las disposiciones que regulen la materia. </w:t>
      </w:r>
    </w:p>
    <w:p w14:paraId="2C23DB4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86" w:name="ver_30210347"/>
      <w:bookmarkStart w:id="687" w:name="ver_30072270"/>
      <w:bookmarkEnd w:id="685"/>
      <w:bookmarkEnd w:id="686"/>
    </w:p>
    <w:p w14:paraId="769F79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2.1.2.2.2.2. Documentación técnica del inmueble. Una vez identificado el inmueble objeto de titulación, se solicitarán los siguientes documentos, siempre y cuando estos no reposen en la entidad cedente:  </w:t>
      </w:r>
    </w:p>
    <w:p w14:paraId="5F1251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DBC2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Documento técnico del inmueble expedido por la entidad territorial competente, que establezca que el predio a titular se encuentra en zona apta para la localización de asentamientos humanos en concordancia con lo dispuesto en el numeral 3 del artículo 2.1.2.2.2.1.  </w:t>
      </w:r>
    </w:p>
    <w:p w14:paraId="75BB2D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CA22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Documento que determine el destino económico del inmueble, expedido por la en</w:t>
      </w:r>
      <w:r w:rsidRPr="009342F9">
        <w:rPr>
          <w:rFonts w:ascii="Arial" w:eastAsia="Times New Roman" w:hAnsi="Arial" w:cs="Arial"/>
          <w:color w:val="000000"/>
          <w:lang w:eastAsia="es-CO"/>
        </w:rPr>
        <w:softHyphen/>
        <w:t>tidad cedente o la autoridad encargada de la gestión catastral.  </w:t>
      </w:r>
    </w:p>
    <w:p w14:paraId="6DACF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BB2C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cesión a título gratuito estará basada en la información que suministre la entidad cesionaria o la autoridad encargada de la gestión catastral y no se exigirá ni será tenido en cuenta para ningún efecto el avalúo comercial o catastral del inmueble objeto del trámite. </w:t>
      </w:r>
    </w:p>
    <w:p w14:paraId="348D2464" w14:textId="77777777" w:rsidR="00683694" w:rsidRPr="009342F9" w:rsidRDefault="00683694" w:rsidP="00FC79C1">
      <w:pPr>
        <w:spacing w:after="0" w:line="240" w:lineRule="auto"/>
        <w:jc w:val="both"/>
        <w:rPr>
          <w:rFonts w:ascii="Arial" w:eastAsia="Times New Roman" w:hAnsi="Arial" w:cs="Arial"/>
          <w:color w:val="000000"/>
          <w:lang w:eastAsia="es-CO"/>
        </w:rPr>
      </w:pPr>
      <w:bookmarkStart w:id="688" w:name="ver_30210348"/>
      <w:bookmarkStart w:id="689" w:name="ver_30072271"/>
      <w:bookmarkEnd w:id="687"/>
      <w:bookmarkEnd w:id="688"/>
    </w:p>
    <w:p w14:paraId="67315586" w14:textId="6AC2218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2.1.2.2.2.3. Acreditación de la ocupación ininterrumpida. La acreditación de la ocupación ininterrumpida podrá ser demostrada por el hogar utilizando cualquiera de los siguientes medios:  </w:t>
      </w:r>
    </w:p>
    <w:p w14:paraId="6AAADD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FE9A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Certificación de residencia emitida por la alcaldía y/o la Junta de Acción Comunal.  </w:t>
      </w:r>
    </w:p>
    <w:p w14:paraId="3D8A9C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B476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 factura o certificación de servicios públicos domiciliarios, en la que figure cualquiera de los miembros del hogar como suscriptor.  </w:t>
      </w:r>
    </w:p>
    <w:p w14:paraId="6B42B7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965B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Constancia de pago de impuestos prediales a su cargo durante la ocupación, o del acuerdo de pago celebrado con la entidad territorial.  </w:t>
      </w:r>
    </w:p>
    <w:p w14:paraId="1849F8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E0E2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Ficha catastral de la mejora registrada por cualquiera de los miembros del hogar, o  </w:t>
      </w:r>
    </w:p>
    <w:p w14:paraId="164E55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2C9A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Cualquier otro medio de prueba señalado en el Artículo 165 del Código General del Proceso.  </w:t>
      </w:r>
    </w:p>
    <w:p w14:paraId="0840A2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AFCC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hogar deberá acreditar que la construcción o mejora se encuentra a paz y salvo por concepto de impuesto predial a su cargo, y le corresponderá a la entidad territorial determinar si la obligación se ha extinguido. </w:t>
      </w:r>
    </w:p>
    <w:p w14:paraId="474F415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90" w:name="ver_30210349"/>
      <w:bookmarkStart w:id="691" w:name="ver_30072272"/>
      <w:bookmarkEnd w:id="689"/>
      <w:bookmarkEnd w:id="690"/>
    </w:p>
    <w:p w14:paraId="468B34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2.1.2.2.2.4. Requisitos del hogar. En desarrollo del artículo 277 de la Ley 1955 de 2019 la cesión a título gratuito solo procederá para aquel hogar que reúna las siguientes condiciones:  </w:t>
      </w:r>
    </w:p>
    <w:p w14:paraId="655B87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7BEE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No ser propietario de una vivienda en el territorio nacional.  </w:t>
      </w:r>
    </w:p>
    <w:p w14:paraId="447910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7A9E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 haber sido beneficiario de un subsidio familiar de vivienda, que haya sido efecti</w:t>
      </w:r>
      <w:r w:rsidRPr="009342F9">
        <w:rPr>
          <w:rFonts w:ascii="Arial" w:eastAsia="Times New Roman" w:hAnsi="Arial" w:cs="Arial"/>
          <w:color w:val="000000"/>
          <w:lang w:eastAsia="es-CO"/>
        </w:rPr>
        <w:softHyphen/>
        <w:t>vamente aplicado, salvo quien haya perdido la vivienda por imposibilidad de pago, de acuerdo con lo establecido en el artículo 33 de la Ley 546 de 1999, o esta haya resultado afectada o destruida por causas no imputables al hogar beneficiario, o cuando la vivienda en la cual se haya aplicado el subsidio haya resultado totalmente destruida o quedado inhabitable como consecuencia de desastres naturales, calami</w:t>
      </w:r>
      <w:r w:rsidRPr="009342F9">
        <w:rPr>
          <w:rFonts w:ascii="Arial" w:eastAsia="Times New Roman" w:hAnsi="Arial" w:cs="Arial"/>
          <w:color w:val="000000"/>
          <w:lang w:eastAsia="es-CO"/>
        </w:rPr>
        <w:softHyphen/>
        <w:t>dades públicas, emergencias, o atentados terroristas, o que haya sido abandonada o despojada en el marco del conflicto armado interno.  </w:t>
      </w:r>
    </w:p>
    <w:p w14:paraId="422D96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F262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No haber sido beneficiario a cualquier título, de las coberturas de tasa de interés, salvo quien haya perdido la vivienda por imposibilidad de pago, de acuerdo con lo establecido en el artículo 33 de la Ley 546 de 1999, o esta haya resultado afectada o destruida por incumplimientos imputables a oferentes, constructores, gestores y/o ejecutores, o cuando la vivienda en la cual se haya aplicado la cobertura haya resul</w:t>
      </w:r>
      <w:r w:rsidRPr="009342F9">
        <w:rPr>
          <w:rFonts w:ascii="Arial" w:eastAsia="Times New Roman" w:hAnsi="Arial" w:cs="Arial"/>
          <w:color w:val="000000"/>
          <w:lang w:eastAsia="es-CO"/>
        </w:rPr>
        <w:softHyphen/>
        <w:t>tado totalmente destruida o quedado inhabitable como consecuencia de desastres naturales, calamidades públicas, emergencias, o atentados terroristas, o que haya sido abandonada o despojada en el marco del conflicto armado interno.  </w:t>
      </w:r>
    </w:p>
    <w:p w14:paraId="12AB01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6B14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Acreditación de la ocupación ininterrumpida en el inmueble con mínimo diez (10) años de anterioridad al inicio del procedimiento administrativo. </w:t>
      </w:r>
    </w:p>
    <w:p w14:paraId="4910AB7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92" w:name="ver_30210359"/>
      <w:bookmarkStart w:id="693" w:name="ver_30072273"/>
      <w:bookmarkEnd w:id="691"/>
      <w:bookmarkEnd w:id="692"/>
    </w:p>
    <w:p w14:paraId="1F8DD5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2.1.2.2.2.5. Asistencia técnica en el proceso de saneamiento y titulación. El Ministerio de Vivienda, Ciudad y Territorio o la entidad encargada de cumplir la política de vivienda en la entidad territorial podrán prestar apoyo jurídico y técnico para el saneamiento y titulación en los términos del presente capítulo. </w:t>
      </w:r>
    </w:p>
    <w:p w14:paraId="49874DF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94" w:name="ver_30210374"/>
      <w:bookmarkStart w:id="695" w:name="ver_30072274"/>
      <w:bookmarkEnd w:id="693"/>
      <w:bookmarkEnd w:id="694"/>
    </w:p>
    <w:p w14:paraId="66C7A7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2.1.2.2.2.6. Cruce de información y validación. Para efectos de garantizar el cumplimiento de lo establecido en el numeral 1, 2 y 3 del artículo 2.1.2.2.2.4 del presente capítulo, la entidad cedente remitirá a Fonvivienda o quien haga sus veces el listado de los integrantes del hogar con sus respectivos documentos de identidad y la individualización catastral de los predios solicitados.  </w:t>
      </w:r>
    </w:p>
    <w:p w14:paraId="147C07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3DAE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resultados del cruce serán entregados por Fonvivienda a la entidad cedente en medio digital, físico o a través de página web, indicando los integrantes del hogar, así como la descripción de las razones de exclusión si es del caso. El Ministerio de Vivienda, Ciudad y Territorio fijará el plazo para la entrega de resultados.  </w:t>
      </w:r>
    </w:p>
    <w:p w14:paraId="5A5232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6B18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cedente podrá verificar la información que reposa en la Ventanilla Única de Registro (VUR) con el fin de determinar si existen otros inmuebles a nombre de cualquiera de los miembros del hogar solicitante.  </w:t>
      </w:r>
    </w:p>
    <w:p w14:paraId="0D8984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BE4B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actuación administrativa iniciará cuando se cuente con la información técnica y jurídica necesaria para adelantar el procedimiento de titulación.  </w:t>
      </w:r>
    </w:p>
    <w:p w14:paraId="726CC6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0F21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contenido de la solicitud y de los documentos objeto de revisión corresponderá a los ocupantes y sus afirmaciones se entenderán hechas bajo la gravedad del juramento y del principio de presunción de buena fe. </w:t>
      </w:r>
    </w:p>
    <w:p w14:paraId="6D87DB1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96" w:name="ver_30210375"/>
      <w:bookmarkStart w:id="697" w:name="ver_30072278"/>
      <w:bookmarkEnd w:id="695"/>
      <w:bookmarkEnd w:id="696"/>
    </w:p>
    <w:p w14:paraId="0FECD1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2.1.2.2.2.7. Comunicación de la actuación administrativa a terceros. Una vez recibida la información resultante de los cruces de información por parte de Fonvivienda, la entidad cedente contará con un término no superior a quince (15) días hábiles para </w:t>
      </w:r>
      <w:proofErr w:type="gramStart"/>
      <w:r w:rsidRPr="009342F9">
        <w:rPr>
          <w:rFonts w:ascii="Arial" w:eastAsia="Times New Roman" w:hAnsi="Arial" w:cs="Arial"/>
          <w:color w:val="000000"/>
          <w:lang w:eastAsia="es-CO"/>
        </w:rPr>
        <w:t>dar inicio a</w:t>
      </w:r>
      <w:proofErr w:type="gramEnd"/>
      <w:r w:rsidRPr="009342F9">
        <w:rPr>
          <w:rFonts w:ascii="Arial" w:eastAsia="Times New Roman" w:hAnsi="Arial" w:cs="Arial"/>
          <w:color w:val="000000"/>
          <w:lang w:eastAsia="es-CO"/>
        </w:rPr>
        <w:t xml:space="preserve"> los trámites de comunicación con el objeto de darle publicidad a la actuación y de ser el caso tramitar la oposición de terceros.  </w:t>
      </w:r>
    </w:p>
    <w:p w14:paraId="0B2390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5F4D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cedente deberá publicar el resultado de la actuación administrativa en un periódico de amplia circulación nacional o local, según sea el caso, indicando lo siguiente:  </w:t>
      </w:r>
    </w:p>
    <w:p w14:paraId="5929BC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2D1C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fundamento legal de la actuación administrativa.  </w:t>
      </w:r>
    </w:p>
    <w:p w14:paraId="2ABB66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522B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La identificación </w:t>
      </w:r>
      <w:proofErr w:type="gramStart"/>
      <w:r w:rsidRPr="009342F9">
        <w:rPr>
          <w:rFonts w:ascii="Arial" w:eastAsia="Times New Roman" w:hAnsi="Arial" w:cs="Arial"/>
          <w:color w:val="000000"/>
          <w:lang w:eastAsia="es-CO"/>
        </w:rPr>
        <w:t>técnico jurídica</w:t>
      </w:r>
      <w:proofErr w:type="gramEnd"/>
      <w:r w:rsidRPr="009342F9">
        <w:rPr>
          <w:rFonts w:ascii="Arial" w:eastAsia="Times New Roman" w:hAnsi="Arial" w:cs="Arial"/>
          <w:color w:val="000000"/>
          <w:lang w:eastAsia="es-CO"/>
        </w:rPr>
        <w:t xml:space="preserve"> del inmueble objeto de cesión a título gratuito.  </w:t>
      </w:r>
    </w:p>
    <w:p w14:paraId="555390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D19D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hogares y la identificación de sus integrantes.  </w:t>
      </w:r>
    </w:p>
    <w:p w14:paraId="61859F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3597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hogar excluido del trámite y la causal o causales de exclusión.  </w:t>
      </w:r>
    </w:p>
    <w:p w14:paraId="48FEAE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81DA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término para hacerse parte dentro de la actuación administrativa.  </w:t>
      </w:r>
    </w:p>
    <w:p w14:paraId="29AE24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C077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comunicación deberá publicarse en un periódico de amplia circulación nacional y deberá fijarse en lugar visible al público de las oficinas de la entidad cedente por un término no inferior a cinco (5) días hábiles. Cumplido dicho término, los interesados contarán con cinco (5) días hábiles siguientes para hacerse parte dentro del proceso, acreditando las razones de su petición y la entidad cedente dispondrá de treinta (30) días hábiles para dar respuesta a la misma.  </w:t>
      </w:r>
    </w:p>
    <w:p w14:paraId="2ABC08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9963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anterior, la publicación en el periódico de amplia circulación nacional o local de que trata el presente artículo podrá suplirse con la publicación del aviso en una emisora radial con cubrimiento en el lugar de ubicación del predio, entre las cinco (5:00) a. m. y las diez (10:00) p. m. o a falta de la misma, haciendo uso de la lectura por bando o cualquier otro medio masivo de comunicación disponible, que garantice la difusión de la Información. </w:t>
      </w:r>
    </w:p>
    <w:p w14:paraId="0435002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698" w:name="ver_30210376"/>
      <w:bookmarkStart w:id="699" w:name="ver_30072279"/>
      <w:bookmarkEnd w:id="697"/>
      <w:bookmarkEnd w:id="698"/>
    </w:p>
    <w:p w14:paraId="0054BF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2.1.2.2.2.8. Requisitos para la expedición del acto administrativo. Cumplido lo anterior y resuelta la situación de los terceros interesados de ser el caso, la entidad emitirá la resolución que corresponda dentro de los treinta (30) días hábiles siguientes.  </w:t>
      </w:r>
    </w:p>
    <w:p w14:paraId="4E35F7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729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que se expida por la correspondiente entidad incluirá la información que de acuerdo con las normas vigentes se requiera para su registro y en especial la siguiente:  </w:t>
      </w:r>
    </w:p>
    <w:p w14:paraId="514CAC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7D3C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Consideraciones y fundamentos jurídicos de la transferencia del bien fiscal.  </w:t>
      </w:r>
    </w:p>
    <w:p w14:paraId="30976B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Identificación del (de los) integrante(s) del hogar a nombre del (de los) cual(es) se realizará la titulación.  </w:t>
      </w:r>
    </w:p>
    <w:p w14:paraId="3C0F5C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5040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Dirección e identificación catastral de inmueble, si aplica.  </w:t>
      </w:r>
    </w:p>
    <w:p w14:paraId="05BBEF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E098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Identificación jurídica del predio de mayor extensión del cual se va a segregar la nueva unidad registral o el número de matrícula individual si ya fue asignado, según sea el caso.  </w:t>
      </w:r>
    </w:p>
    <w:p w14:paraId="6459C2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98E8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Descripción del área y los linderos del predio, sustituible por el certificado o plano predial catastral, o por el plano topográfico elaborado por un agrimensor, topógrafo o ingeniero con matrícula profesional vigente, asociado a la Red Geodésica Nacio</w:t>
      </w:r>
      <w:r w:rsidRPr="009342F9">
        <w:rPr>
          <w:rFonts w:ascii="Arial" w:eastAsia="Times New Roman" w:hAnsi="Arial" w:cs="Arial"/>
          <w:color w:val="000000"/>
          <w:lang w:eastAsia="es-CO"/>
        </w:rPr>
        <w:softHyphen/>
        <w:t>nal, correspondiente al Datum Magna Sirgas. El documento se adjuntará como so</w:t>
      </w:r>
      <w:r w:rsidRPr="009342F9">
        <w:rPr>
          <w:rFonts w:ascii="Arial" w:eastAsia="Times New Roman" w:hAnsi="Arial" w:cs="Arial"/>
          <w:color w:val="000000"/>
          <w:lang w:eastAsia="es-CO"/>
        </w:rPr>
        <w:softHyphen/>
        <w:t>porte al acto administrativo al momento de su radicación ante la Oficina de Registro de Instrumentos Públicos.  </w:t>
      </w:r>
    </w:p>
    <w:p w14:paraId="1F1A6D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E7AC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Descripción de la mejora, su área y linderos junto con el plano Magna Sirgas corres</w:t>
      </w:r>
      <w:r w:rsidRPr="009342F9">
        <w:rPr>
          <w:rFonts w:ascii="Arial" w:eastAsia="Times New Roman" w:hAnsi="Arial" w:cs="Arial"/>
          <w:color w:val="000000"/>
          <w:lang w:eastAsia="es-CO"/>
        </w:rPr>
        <w:softHyphen/>
        <w:t>pondiente.  </w:t>
      </w:r>
    </w:p>
    <w:p w14:paraId="79D764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40EA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Entidad pública que transfiere y sus atribuciones normativas.  </w:t>
      </w:r>
    </w:p>
    <w:p w14:paraId="7077A8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9810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La procedencia de recursos y los términos para interponerlos.  </w:t>
      </w:r>
    </w:p>
    <w:p w14:paraId="19BBAD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FE90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Adicionalmente se dejará expresa constancia en la parte resolutiva del acto adminis</w:t>
      </w:r>
      <w:r w:rsidRPr="009342F9">
        <w:rPr>
          <w:rFonts w:ascii="Arial" w:eastAsia="Times New Roman" w:hAnsi="Arial" w:cs="Arial"/>
          <w:color w:val="000000"/>
          <w:lang w:eastAsia="es-CO"/>
        </w:rPr>
        <w:softHyphen/>
        <w:t>trativo de lo señalado a continuación:  </w:t>
      </w:r>
    </w:p>
    <w:p w14:paraId="740615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7BD0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9.1. La constitución del patrimonio de familia.  </w:t>
      </w:r>
    </w:p>
    <w:p w14:paraId="30E80E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8812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9.2. La afectación del inmueble a vivienda familiar, cuando sea procedente, de conformi</w:t>
      </w:r>
      <w:r w:rsidRPr="009342F9">
        <w:rPr>
          <w:rFonts w:ascii="Arial" w:eastAsia="Times New Roman" w:hAnsi="Arial" w:cs="Arial"/>
          <w:color w:val="000000"/>
          <w:lang w:eastAsia="es-CO"/>
        </w:rPr>
        <w:softHyphen/>
        <w:t>dad con lo previsto en los artículos 1° y 12 de la Ley 258 de 1996, modificada por la Ley 854 de 2003. Cuando la situación del hogar no permita la inclusión de la afecta</w:t>
      </w:r>
      <w:r w:rsidRPr="009342F9">
        <w:rPr>
          <w:rFonts w:ascii="Arial" w:eastAsia="Times New Roman" w:hAnsi="Arial" w:cs="Arial"/>
          <w:color w:val="000000"/>
          <w:lang w:eastAsia="es-CO"/>
        </w:rPr>
        <w:softHyphen/>
        <w:t>ción, la entidad pública deberá expresarlo en el contenido del acto administrativo.  </w:t>
      </w:r>
    </w:p>
    <w:p w14:paraId="6C3161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6882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9.3. La solicitud a la Oficina de Registro de Instrumentos Públicos respectiva de la ins</w:t>
      </w:r>
      <w:r w:rsidRPr="009342F9">
        <w:rPr>
          <w:rFonts w:ascii="Arial" w:eastAsia="Times New Roman" w:hAnsi="Arial" w:cs="Arial"/>
          <w:color w:val="000000"/>
          <w:lang w:eastAsia="es-CO"/>
        </w:rPr>
        <w:softHyphen/>
        <w:t>cripción de la resolución en el folio de matrícula inmobiliaria ya asignado o la soli</w:t>
      </w:r>
      <w:r w:rsidRPr="009342F9">
        <w:rPr>
          <w:rFonts w:ascii="Arial" w:eastAsia="Times New Roman" w:hAnsi="Arial" w:cs="Arial"/>
          <w:color w:val="000000"/>
          <w:lang w:eastAsia="es-CO"/>
        </w:rPr>
        <w:softHyphen/>
        <w:t>citud de inscripción en la matrícula a segregar del folio de mayor extensión, cuando corresponda. </w:t>
      </w:r>
    </w:p>
    <w:p w14:paraId="66599C50" w14:textId="77777777" w:rsidR="00683694" w:rsidRPr="009342F9" w:rsidRDefault="00683694" w:rsidP="00FC79C1">
      <w:pPr>
        <w:spacing w:after="0" w:line="240" w:lineRule="auto"/>
        <w:jc w:val="both"/>
        <w:rPr>
          <w:rFonts w:ascii="Arial" w:eastAsia="Times New Roman" w:hAnsi="Arial" w:cs="Arial"/>
          <w:color w:val="000000"/>
          <w:lang w:eastAsia="es-CO"/>
        </w:rPr>
      </w:pPr>
      <w:bookmarkStart w:id="700" w:name="ver_30210377"/>
      <w:bookmarkStart w:id="701" w:name="ver_30072280"/>
      <w:bookmarkEnd w:id="699"/>
      <w:bookmarkEnd w:id="700"/>
    </w:p>
    <w:p w14:paraId="71EF80F6" w14:textId="25B9DCD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2.1.2.2.2.9. Notificación del acto administrativo. Se procederá a notificar los actos administrativos de conformidad con lo establecido en el artículo 66 y siguientes del Código de Procedimiento Administrativo y de lo Contencioso Administrativo.  </w:t>
      </w:r>
    </w:p>
    <w:p w14:paraId="6EA627BC" w14:textId="015E092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02" w:name="ver_30210378"/>
      <w:bookmarkStart w:id="703" w:name="ver_30072281"/>
      <w:bookmarkEnd w:id="701"/>
      <w:bookmarkEnd w:id="702"/>
    </w:p>
    <w:p w14:paraId="13C41547" w14:textId="41273A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2.1.2.2.2.10. Registro del acto administrativo. Una vez ejecutoriado el acto administrativo de que trata el artículo 2.1.2.2.2.8 del presente capítulo se procederá a su registro en el folio de matrícula inmobiliaria, el cual constituirá plena prueba del derecho de propiedad del cesionario tanto del inmueble titulado, como de la mejora o construcción que en él exista. </w:t>
      </w:r>
    </w:p>
    <w:p w14:paraId="6470FE5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04" w:name="ver_30210379"/>
      <w:bookmarkStart w:id="705" w:name="ver_30072282"/>
      <w:bookmarkEnd w:id="703"/>
      <w:bookmarkEnd w:id="704"/>
    </w:p>
    <w:p w14:paraId="5DDA16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2.1.2.2.2.11. Causales de terminación de la actuación administrativa. La actuación administrativa terminará cuando:  </w:t>
      </w:r>
    </w:p>
    <w:p w14:paraId="1294E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5C5D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inmueble se encuentre ubicado en bienes de uso público, bienes destinados a fines institucionales de salud o educación, en zonas de conservación o protección ambiental, en áreas insalubres de riesgo y las demás áreas previstas en los artículos 35 y 37 de la Ley 388 de 1997, en concordancia con el Instrumento de Ordenamien</w:t>
      </w:r>
      <w:r w:rsidRPr="009342F9">
        <w:rPr>
          <w:rFonts w:ascii="Arial" w:eastAsia="Times New Roman" w:hAnsi="Arial" w:cs="Arial"/>
          <w:color w:val="000000"/>
          <w:lang w:eastAsia="es-CO"/>
        </w:rPr>
        <w:softHyphen/>
        <w:t>to Territorial.  </w:t>
      </w:r>
    </w:p>
    <w:p w14:paraId="5076E6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85A4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hogar no cumpla los requisitos para la cesión del inmueble.  </w:t>
      </w:r>
    </w:p>
    <w:p w14:paraId="2DFD23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478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Se acredite objetivamente la descripción típica del delito de falsedad, en cualquier documento suministrado o suscrito por el hogar. En este caso la entidad cedente adelantará de oficio las actuaciones administrativas y judiciales correspondientes.  </w:t>
      </w:r>
    </w:p>
    <w:p w14:paraId="4AF895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800C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construcción o mejora no cuente con destinación económica habitacional. </w:t>
      </w:r>
    </w:p>
    <w:p w14:paraId="227F361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06" w:name="ver_30210380"/>
      <w:bookmarkStart w:id="707" w:name="ver_30072283"/>
      <w:bookmarkEnd w:id="705"/>
      <w:bookmarkEnd w:id="706"/>
    </w:p>
    <w:p w14:paraId="054B9A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2.1.2.2.2.12. Enajenación directa de bienes fiscales. Para bienes inmuebles fiscales ocupados ilegalmente con mejoras que no cuenten con destinación económica habitacional, procederá la enajenación directa del predio fiscal a favor del ocupante por su valor catastral vigente a la fecha de la oferta.  </w:t>
      </w:r>
    </w:p>
    <w:p w14:paraId="406782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F4F9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entidades públicas del orden nacional a las que se refiere el artículo 277 de la Ley 1955 de 2019 realizarán el trámite de la enajenación directa dispuesto en el presente artículo por medio del mecanismo previsto en el artículo 163 de la Ley 1753 de 2015, para que sea la Central de Inversiones (CISA) quien haga la venta. </w:t>
      </w:r>
    </w:p>
    <w:p w14:paraId="413365D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08" w:name="ver_30210381"/>
      <w:bookmarkStart w:id="709" w:name="ver_30072284"/>
      <w:bookmarkEnd w:id="707"/>
      <w:bookmarkEnd w:id="708"/>
    </w:p>
    <w:p w14:paraId="6BD61A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2.1.2.2.2.13. Enajenación directa por parte de entes territoriales. La enajenación directa que efectúen las entidades territoriales deberá surtir las siguientes etapas:  </w:t>
      </w:r>
    </w:p>
    <w:p w14:paraId="0FCF31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B614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Ofrecimiento al ocupante. Por una sola vez y mediante comunicación escrita, la entidad enajenadora ofrecerá el inmueble en venta, informando al ocupante el tér</w:t>
      </w:r>
      <w:r w:rsidRPr="009342F9">
        <w:rPr>
          <w:rFonts w:ascii="Arial" w:eastAsia="Times New Roman" w:hAnsi="Arial" w:cs="Arial"/>
          <w:color w:val="000000"/>
          <w:lang w:eastAsia="es-CO"/>
        </w:rPr>
        <w:softHyphen/>
        <w:t>mino para aceptación, el precio fijado, el plazo y las condiciones de pago.  </w:t>
      </w:r>
    </w:p>
    <w:p w14:paraId="5638D3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05D0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Valor de la oferta. El valor de la oferta del inmueble será determinado por la enti</w:t>
      </w:r>
      <w:r w:rsidRPr="009342F9">
        <w:rPr>
          <w:rFonts w:ascii="Arial" w:eastAsia="Times New Roman" w:hAnsi="Arial" w:cs="Arial"/>
          <w:color w:val="000000"/>
          <w:lang w:eastAsia="es-CO"/>
        </w:rPr>
        <w:softHyphen/>
        <w:t>dad enajenadora de la siguiente forma:  </w:t>
      </w:r>
    </w:p>
    <w:p w14:paraId="430A4D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4806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Si la mejora fue construida por el ocupante, el valor de la oferta será aquel que se determine en el avalúo catastral respecto del área de terreno de propiedad de la entidad pública.  </w:t>
      </w:r>
    </w:p>
    <w:p w14:paraId="4F1B97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94BC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Si tanto el lote como la construcción son de propiedad de la entidad pública, el valor de la oferta será aquel que se determine en el avalúo catastral.  </w:t>
      </w:r>
    </w:p>
    <w:p w14:paraId="1519F3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A363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Término de aceptación de la oferta. El término para la aceptación de la oferta será de un (1) mes contado a partir del día siguiente a la fecha de recibo del documento del ofrecimiento al ocupante y deberá hacerse por escrito.  </w:t>
      </w:r>
    </w:p>
    <w:p w14:paraId="5A3A03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A427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Pago del valor de la oferta. El ocupante tendrá seis (6) meses para consignar a favor de la dirección del Tesoro distrital o municipal según corresponda el valor de la oferta, o ante la autoridad competente que fije el Gobierno distrital o municipal.  </w:t>
      </w:r>
    </w:p>
    <w:p w14:paraId="7A7A0A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FF99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Transferencia. La entidad enajenadora procederá a expedir el acto administrativo por medio del cual realiza la transferencia previa verificación del pago. </w:t>
      </w:r>
    </w:p>
    <w:p w14:paraId="00499814"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225BE4C0"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710" w:name="ver_30072285"/>
      <w:bookmarkEnd w:id="709"/>
      <w:bookmarkEnd w:id="710"/>
      <w:r w:rsidRPr="009342F9">
        <w:rPr>
          <w:rFonts w:ascii="Arial" w:eastAsia="Times New Roman" w:hAnsi="Arial" w:cs="Arial"/>
          <w:b/>
          <w:bCs/>
          <w:color w:val="000000"/>
          <w:lang w:eastAsia="es-CO"/>
        </w:rPr>
        <w:t>SECCIÓN 3</w:t>
      </w:r>
    </w:p>
    <w:p w14:paraId="3A63570B"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TRANSFERENCIA DE DOMINIO DE BIENES FISCALES ENTRE ENTIDADES EN APLICACIÓN DEL ARTÍCULO 276 DE LA LEY 1955 DE 2019</w:t>
      </w:r>
    </w:p>
    <w:p w14:paraId="66CAD2BD" w14:textId="77777777" w:rsidR="00D25E1B" w:rsidRDefault="00D25E1B" w:rsidP="00FC79C1">
      <w:pPr>
        <w:spacing w:after="0" w:line="240" w:lineRule="auto"/>
        <w:jc w:val="both"/>
        <w:rPr>
          <w:rFonts w:ascii="Arial" w:eastAsia="Times New Roman" w:hAnsi="Arial" w:cs="Arial"/>
          <w:color w:val="000000"/>
          <w:lang w:eastAsia="es-CO"/>
        </w:rPr>
      </w:pPr>
      <w:bookmarkStart w:id="711" w:name="ver_30072286"/>
    </w:p>
    <w:p w14:paraId="521D834D" w14:textId="0FEBDEB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2.1.2.2.3.1. Transferencia de inmuebles entre entidades. La transferencia de los bienes inmuebles fiscales se hará mediante acto administrativo, que una vez en firme será inscrito en la Oficina de Registro de Instrumentos Públicos correspondiente. </w:t>
      </w:r>
    </w:p>
    <w:p w14:paraId="121C8EA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12" w:name="ver_30210383"/>
      <w:bookmarkStart w:id="713" w:name="ver_30072287"/>
      <w:bookmarkEnd w:id="711"/>
      <w:bookmarkEnd w:id="712"/>
    </w:p>
    <w:p w14:paraId="6C9975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2.1.2.2.3.2. Condiciones para la transferencia de bien inmueble fiscal entre entidades. Para adelantar la transferencia de los bienes inmuebles fiscales a las entidades públicas, estos deberán cumplir las condiciones que a continuación se señalan:  </w:t>
      </w:r>
    </w:p>
    <w:p w14:paraId="563BEC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F4C8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Debe tratarse de un bien inmueble fiscal.  </w:t>
      </w:r>
    </w:p>
    <w:p w14:paraId="70BBB9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C095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transferencia del inmueble debe atender necesidades en materia de vivienda e infraestructura.  </w:t>
      </w:r>
    </w:p>
    <w:p w14:paraId="333A7A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8398B9" w14:textId="749BA0A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entidad cedente no debe requerir el bien para el desarrollo de sus funciones.  </w:t>
      </w:r>
    </w:p>
    <w:p w14:paraId="0486D8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3C251B"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No debe encontrarse dentro de los planes de enajenación onerosa de la entidad ce</w:t>
      </w:r>
      <w:r w:rsidRPr="009342F9">
        <w:rPr>
          <w:rFonts w:ascii="Arial" w:eastAsia="Times New Roman" w:hAnsi="Arial" w:cs="Arial"/>
          <w:color w:val="000000"/>
          <w:lang w:eastAsia="es-CO"/>
        </w:rPr>
        <w:softHyphen/>
        <w:t>dente. </w:t>
      </w:r>
    </w:p>
    <w:p w14:paraId="4ECB6B6D" w14:textId="77777777" w:rsidR="006E2607" w:rsidRDefault="006E2607" w:rsidP="00FC79C1">
      <w:pPr>
        <w:spacing w:after="0" w:line="240" w:lineRule="auto"/>
        <w:jc w:val="both"/>
        <w:rPr>
          <w:rFonts w:ascii="Arial" w:eastAsia="Times New Roman" w:hAnsi="Arial" w:cs="Arial"/>
          <w:color w:val="000000"/>
          <w:lang w:eastAsia="es-CO"/>
        </w:rPr>
      </w:pPr>
    </w:p>
    <w:p w14:paraId="45981498" w14:textId="752EBA94" w:rsidR="006E2607" w:rsidRPr="006E2607" w:rsidRDefault="006E2607" w:rsidP="00FC2FED">
      <w:pPr>
        <w:shd w:val="clear" w:color="auto" w:fill="FFFFFF"/>
        <w:spacing w:after="150" w:line="240" w:lineRule="auto"/>
        <w:jc w:val="both"/>
        <w:rPr>
          <w:rFonts w:ascii="Arial" w:eastAsia="Times New Roman" w:hAnsi="Arial" w:cs="Arial"/>
          <w:color w:val="000000"/>
          <w:lang w:eastAsia="es-CO"/>
        </w:rPr>
      </w:pPr>
      <w:r w:rsidRPr="006E2607">
        <w:rPr>
          <w:rFonts w:ascii="Arial" w:eastAsia="Times New Roman" w:hAnsi="Arial" w:cs="Arial"/>
          <w:color w:val="000000"/>
          <w:lang w:eastAsia="es-CO"/>
        </w:rPr>
        <w:t>A</w:t>
      </w:r>
      <w:r w:rsidR="00AB531D" w:rsidRPr="006E2607">
        <w:rPr>
          <w:rFonts w:ascii="Arial" w:eastAsia="Times New Roman" w:hAnsi="Arial" w:cs="Arial"/>
          <w:color w:val="000000"/>
          <w:lang w:eastAsia="es-CO"/>
        </w:rPr>
        <w:t>rtículo</w:t>
      </w:r>
      <w:bookmarkStart w:id="714" w:name="2.1.2.2.3.3"/>
      <w:r w:rsidRPr="006E2607">
        <w:rPr>
          <w:rFonts w:ascii="Arial" w:eastAsia="Times New Roman" w:hAnsi="Arial" w:cs="Arial"/>
          <w:color w:val="000000"/>
          <w:lang w:eastAsia="es-CO"/>
        </w:rPr>
        <w:t> </w:t>
      </w:r>
      <w:bookmarkEnd w:id="714"/>
      <w:r w:rsidRPr="006E2607">
        <w:rPr>
          <w:rFonts w:ascii="Arial" w:eastAsia="Times New Roman" w:hAnsi="Arial" w:cs="Arial"/>
          <w:color w:val="000000"/>
          <w:lang w:eastAsia="es-CO"/>
        </w:rPr>
        <w:t>2.1.2.2.3.3. Etapas para la transferencia entre entidades públicas. </w:t>
      </w:r>
    </w:p>
    <w:p w14:paraId="19E9ACEA" w14:textId="54B5580F" w:rsidR="006E2607" w:rsidRPr="006E2607" w:rsidRDefault="006E2607" w:rsidP="00FC2FED">
      <w:pPr>
        <w:shd w:val="clear" w:color="auto" w:fill="FFFFFF"/>
        <w:spacing w:after="150" w:line="240" w:lineRule="auto"/>
        <w:jc w:val="both"/>
        <w:rPr>
          <w:rFonts w:ascii="Arial" w:eastAsia="Times New Roman" w:hAnsi="Arial" w:cs="Arial"/>
          <w:color w:val="000000"/>
          <w:lang w:eastAsia="es-CO"/>
        </w:rPr>
      </w:pPr>
      <w:r w:rsidRPr="006E2607">
        <w:rPr>
          <w:rFonts w:ascii="Arial" w:eastAsia="Times New Roman" w:hAnsi="Arial" w:cs="Arial"/>
          <w:color w:val="000000"/>
          <w:lang w:eastAsia="es-CO"/>
        </w:rPr>
        <w:t>1. Estudio de títulos. Es el análisis jurídico de la tradición del inmueble que permite determinar la titularidad del dominio, identificando las limitaciones, afectaciones o gravámenes que incidan en la titularidad del derecho de dominio. </w:t>
      </w:r>
    </w:p>
    <w:p w14:paraId="452D8DE3" w14:textId="7C45B4AA" w:rsidR="006E2607" w:rsidRPr="006E2607" w:rsidRDefault="006E2607" w:rsidP="00FC2FED">
      <w:pPr>
        <w:shd w:val="clear" w:color="auto" w:fill="FFFFFF"/>
        <w:spacing w:after="150" w:line="240" w:lineRule="auto"/>
        <w:jc w:val="both"/>
        <w:rPr>
          <w:rFonts w:ascii="Arial" w:eastAsia="Times New Roman" w:hAnsi="Arial" w:cs="Arial"/>
          <w:color w:val="000000"/>
          <w:lang w:eastAsia="es-CO"/>
        </w:rPr>
      </w:pPr>
      <w:r w:rsidRPr="006E2607">
        <w:rPr>
          <w:rFonts w:ascii="Arial" w:eastAsia="Times New Roman" w:hAnsi="Arial" w:cs="Arial"/>
          <w:color w:val="000000"/>
          <w:lang w:eastAsia="es-CO"/>
        </w:rPr>
        <w:t>2. Estudio técnico. Es el análisis técnico, para identificar la ubicación y destinación del inmueble en concordancia con lo dispuesto en el Plan de Ordenamiento Territorial o de los instrumentos que lo desarrollen o complementen, la Ley 2 de 1959 y los articules 35 y 37 de la Ley 388 de 1997.</w:t>
      </w:r>
    </w:p>
    <w:p w14:paraId="170684F5" w14:textId="6F6C3496" w:rsidR="006E2607" w:rsidRPr="006E2607" w:rsidRDefault="006E2607" w:rsidP="00FC2FED">
      <w:pPr>
        <w:shd w:val="clear" w:color="auto" w:fill="FFFFFF"/>
        <w:spacing w:after="150" w:line="240" w:lineRule="auto"/>
        <w:jc w:val="both"/>
        <w:rPr>
          <w:rFonts w:ascii="Arial" w:eastAsia="Times New Roman" w:hAnsi="Arial" w:cs="Arial"/>
          <w:color w:val="000000"/>
          <w:lang w:eastAsia="es-CO"/>
        </w:rPr>
      </w:pPr>
      <w:r w:rsidRPr="006E2607">
        <w:rPr>
          <w:rFonts w:ascii="Arial" w:eastAsia="Times New Roman" w:hAnsi="Arial" w:cs="Arial"/>
          <w:color w:val="000000"/>
          <w:lang w:eastAsia="es-CO"/>
        </w:rPr>
        <w:t>3. Diagnóstico Catastral. Es el análisis de la información catastral del inmueble que permita determinar el área y los linderos, en relación con la información jurídica.</w:t>
      </w:r>
    </w:p>
    <w:p w14:paraId="213178FF" w14:textId="36986D53" w:rsidR="00FC79C1" w:rsidRPr="009342F9" w:rsidRDefault="006E2607" w:rsidP="00AB531D">
      <w:pPr>
        <w:shd w:val="clear" w:color="auto" w:fill="FFFFFF"/>
        <w:spacing w:after="150" w:line="240" w:lineRule="auto"/>
        <w:jc w:val="both"/>
        <w:rPr>
          <w:rFonts w:ascii="Arial" w:eastAsia="Times New Roman" w:hAnsi="Arial" w:cs="Arial"/>
          <w:color w:val="000000"/>
          <w:lang w:eastAsia="es-CO"/>
        </w:rPr>
      </w:pPr>
      <w:proofErr w:type="gramStart"/>
      <w:r w:rsidRPr="006E2607">
        <w:rPr>
          <w:rFonts w:ascii="Arial" w:eastAsia="Times New Roman" w:hAnsi="Arial" w:cs="Arial"/>
          <w:color w:val="000000"/>
          <w:lang w:eastAsia="es-CO"/>
        </w:rPr>
        <w:t>P</w:t>
      </w:r>
      <w:r w:rsidR="00AB531D" w:rsidRPr="006E2607">
        <w:rPr>
          <w:rFonts w:ascii="Arial" w:eastAsia="Times New Roman" w:hAnsi="Arial" w:cs="Arial"/>
          <w:color w:val="000000"/>
          <w:lang w:eastAsia="es-CO"/>
        </w:rPr>
        <w:t>arágrafo </w:t>
      </w:r>
      <w:r w:rsidRPr="006E2607">
        <w:rPr>
          <w:rFonts w:ascii="Arial" w:eastAsia="Times New Roman" w:hAnsi="Arial" w:cs="Arial"/>
          <w:color w:val="000000"/>
          <w:lang w:eastAsia="es-CO"/>
        </w:rPr>
        <w:t>.</w:t>
      </w:r>
      <w:proofErr w:type="gramEnd"/>
      <w:r w:rsidRPr="006E2607">
        <w:rPr>
          <w:rFonts w:ascii="Arial" w:eastAsia="Times New Roman" w:hAnsi="Arial" w:cs="Arial"/>
          <w:color w:val="000000"/>
          <w:lang w:eastAsia="es-CO"/>
        </w:rPr>
        <w:t> Las entidades públicas podrán transferir entre sí, aquellos bienes inmuebles fiscales ubicados en zonas declaradas de alto riesgo, identificadas así en el respectivo Plan de Ordenamiento Territorial o de los instrumentos que lo desarrollen o complementen.</w:t>
      </w:r>
      <w:bookmarkStart w:id="715" w:name="ver_30210385"/>
      <w:bookmarkEnd w:id="713"/>
      <w:bookmarkEnd w:id="715"/>
    </w:p>
    <w:p w14:paraId="01FB80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2.1.2.2.3.4. Documentos requeridos para la transferencia entre entidades públicas. Para la transferencia de bienes inmuebles entre entidades se requieren los siguientes documentos:  </w:t>
      </w:r>
    </w:p>
    <w:p w14:paraId="287667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6631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Levantamiento topográfico, planos o cartografía existente en coordenadas Magna Sirgas.  </w:t>
      </w:r>
    </w:p>
    <w:p w14:paraId="287D00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817A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Certificado de libertad y tradición expedido por la Oficina de Registro de Instru</w:t>
      </w:r>
      <w:r w:rsidRPr="009342F9">
        <w:rPr>
          <w:rFonts w:ascii="Arial" w:eastAsia="Times New Roman" w:hAnsi="Arial" w:cs="Arial"/>
          <w:color w:val="000000"/>
          <w:lang w:eastAsia="es-CO"/>
        </w:rPr>
        <w:softHyphen/>
        <w:t>mentos Públicos o consulta de la Ventanilla Única de Registro (VUR) del folio de matrícula inmobiliaria individual o de mayor extensión  </w:t>
      </w:r>
    </w:p>
    <w:p w14:paraId="28516C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BD779E"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Documento expedido por la entidad receptora o cesionaria que certifique que la transferencia del bien inmueble fiscal atiende necesidades en materia de vivienda o infraestructura.  </w:t>
      </w:r>
    </w:p>
    <w:p w14:paraId="695FA9FC" w14:textId="77777777" w:rsidR="003C72F3" w:rsidRPr="009342F9" w:rsidRDefault="003C72F3" w:rsidP="00FC79C1">
      <w:pPr>
        <w:spacing w:after="0" w:line="240" w:lineRule="auto"/>
        <w:jc w:val="both"/>
        <w:rPr>
          <w:rFonts w:ascii="Arial" w:eastAsia="Times New Roman" w:hAnsi="Arial" w:cs="Arial"/>
          <w:color w:val="000000"/>
          <w:lang w:eastAsia="es-CO"/>
        </w:rPr>
      </w:pPr>
    </w:p>
    <w:p w14:paraId="3DA2DC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Paz y salvo por concepto de impuestos, tasas y contribuciones expedido por la enti</w:t>
      </w:r>
      <w:r w:rsidRPr="009342F9">
        <w:rPr>
          <w:rFonts w:ascii="Arial" w:eastAsia="Times New Roman" w:hAnsi="Arial" w:cs="Arial"/>
          <w:color w:val="000000"/>
          <w:lang w:eastAsia="es-CO"/>
        </w:rPr>
        <w:softHyphen/>
        <w:t>dad territorial.  </w:t>
      </w:r>
    </w:p>
    <w:p w14:paraId="2C01C1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458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No se requerirá la presentación de proyectos de vivienda para la realización de la transferencia mencionada en la presente sección. </w:t>
      </w:r>
    </w:p>
    <w:p w14:paraId="24599E2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16" w:name="ver_30210386"/>
      <w:bookmarkEnd w:id="716"/>
    </w:p>
    <w:p w14:paraId="1D15C7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2.1.2.2.3.5. Trámite para la transferencia entre entidades. La transferencia de bienes inmuebles fiscales se efectuará mediante resolución administrativa inscrita en la Oficina de Registro de Instrumentos Públicos correspondiente, previa identificación de su descripción, área y linderos, e identificación catastral por parte de la entidad interesada en su adquisición.  </w:t>
      </w:r>
    </w:p>
    <w:p w14:paraId="678768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AEF4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anterior, atendiendo la incorporación adelantada por la autoridad encargada de la gestión catastral, de conformidad con las disposiciones que regulen la materia, y la identificación jurídica a través de un estudio de títulos de los predios a transferir. </w:t>
      </w:r>
    </w:p>
    <w:p w14:paraId="50CFB21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17" w:name="ver_30210387"/>
      <w:bookmarkEnd w:id="717"/>
    </w:p>
    <w:p w14:paraId="4AF0E9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2.1.2.2.3.6. Saneamiento y titulación de bienes fiscales ocupados ilegalmente. Transferido el inmueble a la entidad receptora o cesionaria, ésta realizará el saneamiento y titulación de los bienes inmuebles fiscales ocupados conforme a lo previsto en el Título 2 “Transferencia de Bienes Fiscales” del presente decreto y en desarrollo del artículo 277 de la Ley 1955 de 2019.  </w:t>
      </w:r>
    </w:p>
    <w:p w14:paraId="173D09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AD41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entidades receptoras serán responsables de honrar la destinación que se haya definido para el inmueble en el acto administrativo correspondiente. </w:t>
      </w:r>
    </w:p>
    <w:p w14:paraId="0FBC796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18" w:name="ver_30210388"/>
      <w:bookmarkEnd w:id="718"/>
    </w:p>
    <w:p w14:paraId="4C8AA8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2.1.2.2.3.7. Régimen de transición. Las actuaciones administrativas relacionadas con cesiones a título gratuito que hayan sido emplazadas antes de la entrada en vigencia del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continuarán rigiéndose por las disposiciones vigentes al inicio de la actuación administrativa. </w:t>
      </w:r>
    </w:p>
    <w:p w14:paraId="349FC591" w14:textId="77777777" w:rsidR="00683694" w:rsidRPr="009342F9" w:rsidRDefault="00683694" w:rsidP="00FC79C1">
      <w:pPr>
        <w:spacing w:after="0" w:line="240" w:lineRule="auto"/>
        <w:jc w:val="both"/>
        <w:rPr>
          <w:rFonts w:ascii="Arial" w:eastAsia="Times New Roman" w:hAnsi="Arial" w:cs="Arial"/>
          <w:color w:val="000000"/>
          <w:lang w:eastAsia="es-CO"/>
        </w:rPr>
      </w:pPr>
      <w:bookmarkStart w:id="719" w:name="ver_30072288"/>
      <w:bookmarkEnd w:id="719"/>
    </w:p>
    <w:p w14:paraId="4E407FCE" w14:textId="190D7720"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1B73ED4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ASUNTOS RELACIONADOS CON LA LICENCIA DE SUBDIVISIÓN, ZONAS DE CESIÓN OBLIGATORIA Y LEVANTAMIENTO DE HIPOTECAS</w:t>
      </w:r>
    </w:p>
    <w:p w14:paraId="39BCF7CE" w14:textId="77777777" w:rsidR="00D25E1B" w:rsidRDefault="00D25E1B" w:rsidP="00FC79C1">
      <w:pPr>
        <w:spacing w:after="0" w:line="240" w:lineRule="auto"/>
        <w:jc w:val="both"/>
        <w:rPr>
          <w:rFonts w:ascii="Arial" w:eastAsia="Times New Roman" w:hAnsi="Arial" w:cs="Arial"/>
          <w:color w:val="000000"/>
          <w:lang w:eastAsia="es-CO"/>
        </w:rPr>
      </w:pPr>
      <w:bookmarkStart w:id="720" w:name="ver_30072289"/>
    </w:p>
    <w:p w14:paraId="15B44DA2" w14:textId="6E43CA8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2.1.2.2.4.1. Licencia de subdivisión. Conforme a lo establecido en el parágrafo del artículo 2.2.6.5.2. del presente decreto no se requerirá licencia de subdivisión para la transferencia de predios realizada mediante resolución administrativa en aplicación de los artículos 276 y 277 de Ley 1955 de 2019, referidos respectivamente a la transferencia de dominio de bienes inmuebles fiscales entre entidades y la cesión a título gratuito o enajenación de bienes fiscales.  </w:t>
      </w:r>
    </w:p>
    <w:p w14:paraId="4112F5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7946C7" w14:textId="3EFA5BE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Tampoco se requerirá licencia de subdivisión para la transferencia a cualquier título que por acto administrativo o escritura pública se deriven de la subrogación de derechos y obligaciones del extinto Instituto de Crédito Territorial (ICT) y/o Instituto Nacional de Vivienda de Interés Social (</w:t>
      </w:r>
      <w:proofErr w:type="spellStart"/>
      <w:r w:rsidRPr="009342F9">
        <w:rPr>
          <w:rFonts w:ascii="Arial" w:eastAsia="Times New Roman" w:hAnsi="Arial" w:cs="Arial"/>
          <w:color w:val="000000"/>
          <w:lang w:eastAsia="es-CO"/>
        </w:rPr>
        <w:t>Inurbe</w:t>
      </w:r>
      <w:proofErr w:type="spellEnd"/>
      <w:r w:rsidRPr="009342F9">
        <w:rPr>
          <w:rFonts w:ascii="Arial" w:eastAsia="Times New Roman" w:hAnsi="Arial" w:cs="Arial"/>
          <w:color w:val="000000"/>
          <w:lang w:eastAsia="es-CO"/>
        </w:rPr>
        <w:t>) a la Nación - Ministerio de Vivienda, Ciudad y Territorio. </w:t>
      </w:r>
    </w:p>
    <w:p w14:paraId="299D106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21" w:name="ver_30210390"/>
      <w:bookmarkStart w:id="722" w:name="ver_30072290"/>
      <w:bookmarkEnd w:id="720"/>
      <w:bookmarkEnd w:id="721"/>
    </w:p>
    <w:p w14:paraId="098AAC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2.1.2.2.4.2. Zonas de cesión obligatoria. En los casos de zonas de cesión obligatoria o con vocación de uso público que se transfieran mediante resolución administrativa en aplicación del artículo 6° de la Ley 1001 de 2005 y en los cuales no existan planos urbanísticos, la descripción del área y los linderos de los predios, será reemplazada por el certificado o plano predial catastral, o por el plano topográfico elaborado por un agrimensor, topógrafo o ingeniero con matrícula profesional vigente, asociado a la Red Geodésica Nacional, correspondiente al Datum Magna Sirgas, de conformidad con lo dispuesto en el artículo 2.1.2.2.2.8 numeral 5 del presente capítulo. </w:t>
      </w:r>
    </w:p>
    <w:p w14:paraId="0C86A17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23" w:name="ver_30210391"/>
      <w:bookmarkStart w:id="724" w:name="ver_30072291"/>
      <w:bookmarkEnd w:id="722"/>
      <w:bookmarkEnd w:id="723"/>
    </w:p>
    <w:p w14:paraId="23EE00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2.1.2.2.4.3. Levantamiento de hipotecas. En desarrollo de lo establecido en el artículo 7° de la Ley 1001 de 2005, la liberación de hipotecas en mayor extensión que afecten a los predios objeto de </w:t>
      </w:r>
      <w:proofErr w:type="gramStart"/>
      <w:r w:rsidRPr="009342F9">
        <w:rPr>
          <w:rFonts w:ascii="Arial" w:eastAsia="Times New Roman" w:hAnsi="Arial" w:cs="Arial"/>
          <w:color w:val="000000"/>
          <w:lang w:eastAsia="es-CO"/>
        </w:rPr>
        <w:t>transferencia,</w:t>
      </w:r>
      <w:proofErr w:type="gramEnd"/>
      <w:r w:rsidRPr="009342F9">
        <w:rPr>
          <w:rFonts w:ascii="Arial" w:eastAsia="Times New Roman" w:hAnsi="Arial" w:cs="Arial"/>
          <w:color w:val="000000"/>
          <w:lang w:eastAsia="es-CO"/>
        </w:rPr>
        <w:t xml:space="preserve"> se realizará mediante resolución administrativa. Para tal efecto el Ministerio de Vivienda, Ciudad y Territorio expedirá un acto administrativo de carácter general, en virtud del cual cancelará el gravamen de mayor extensión constituido a favor del desaparecido Instituto de Crédito Territorial (ICT).  </w:t>
      </w:r>
    </w:p>
    <w:p w14:paraId="7C8A32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B071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A solicitud de parte interesada, se expedirá una comunicación dirigida a las Oficinas de Registro de Instrumentos Públicos correspondientes, solicitando que se inscriba en el folio de matrícula individual el acto administrativo general de que trata el presente artículo. La expedición y gastos de registro o cualquier otro que se genere por tal solicitud, se entenderá a costa del solicitante.” </w:t>
      </w:r>
    </w:p>
    <w:p w14:paraId="39A3AB03" w14:textId="77777777" w:rsidR="00FC79C1" w:rsidRPr="009342F9" w:rsidRDefault="00FC79C1" w:rsidP="00683694">
      <w:pPr>
        <w:spacing w:after="0" w:line="240" w:lineRule="auto"/>
        <w:jc w:val="center"/>
        <w:rPr>
          <w:rFonts w:ascii="Arial" w:eastAsia="Times New Roman" w:hAnsi="Arial" w:cs="Arial"/>
          <w:b/>
          <w:bCs/>
          <w:color w:val="000000"/>
          <w:lang w:eastAsia="es-CO"/>
        </w:rPr>
      </w:pPr>
    </w:p>
    <w:p w14:paraId="56E4761E"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725" w:name="ver_30072292"/>
      <w:bookmarkEnd w:id="724"/>
      <w:bookmarkEnd w:id="725"/>
      <w:r w:rsidRPr="009342F9">
        <w:rPr>
          <w:rFonts w:ascii="Arial" w:eastAsia="Times New Roman" w:hAnsi="Arial" w:cs="Arial"/>
          <w:b/>
          <w:bCs/>
          <w:color w:val="000000"/>
          <w:lang w:eastAsia="es-CO"/>
        </w:rPr>
        <w:t>CAPÍTULO 3</w:t>
      </w:r>
    </w:p>
    <w:p w14:paraId="1594498C"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TRANSFERENCIA DE BIENES FISCALES PARA VIVIENDA DE INTERÉS SOCIAL</w:t>
      </w:r>
    </w:p>
    <w:p w14:paraId="0C0FAA2D"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74D641DE"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5AA9E2D3"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IDENTIFICACIÓN Y OFRECIMIENTO DE INMUEBLES</w:t>
      </w:r>
    </w:p>
    <w:p w14:paraId="426F983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26" w:name="ver_30072294"/>
      <w:bookmarkEnd w:id="726"/>
    </w:p>
    <w:p w14:paraId="4E2E33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2.1.2.3.1.1. Bienes susceptibles de ser transferidos para proyectos de VIS. Las entidades públicas del orden nacional y territorial que hagan parte de cualquiera de las Ramas del Poder Público, los bancos inmobiliarios, así como los órganos autónomos e independientes, podrán transferir a título gratuito al Fondo Nacional de Vivienda FONVIVIENDA, a los patrimonios autónomos que este y/o Findeter constituyan, a los patrimonios autónomos que constituyan las entidades que determine FONVIVIENDA, o a las entidades públicas que desarrollen programas de vivienda de interés social de carácter territorial, departamental, municipal o Distrital, los bienes inmuebles fiscales urbanos de su propiedad, o la porción de ellos, que puedan ser destinados para la construcción o el desarrollo de proyectos de vivienda de interés social, de acuerdo a lo establecido en los Planes de Ordenamiento Territorial y los instrumentos que lo complementen o desarrollen. </w:t>
      </w:r>
    </w:p>
    <w:p w14:paraId="5D7F07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3AF8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2.1.2.3.1.2. Identificación y determinación de los bienes susceptibles de ser transferidos para proyectos VIS. Las entidades públicas del orden nacional que hagan parte de la Rama Ejecutiva del Poder </w:t>
      </w:r>
      <w:proofErr w:type="gramStart"/>
      <w:r w:rsidRPr="009342F9">
        <w:rPr>
          <w:rFonts w:ascii="Arial" w:eastAsia="Times New Roman" w:hAnsi="Arial" w:cs="Arial"/>
          <w:color w:val="000000"/>
          <w:lang w:eastAsia="es-CO"/>
        </w:rPr>
        <w:t>Público,</w:t>
      </w:r>
      <w:proofErr w:type="gramEnd"/>
      <w:r w:rsidRPr="009342F9">
        <w:rPr>
          <w:rFonts w:ascii="Arial" w:eastAsia="Times New Roman" w:hAnsi="Arial" w:cs="Arial"/>
          <w:color w:val="000000"/>
          <w:lang w:eastAsia="es-CO"/>
        </w:rPr>
        <w:t xml:space="preserve"> deberán realizar el inventario de los bienes inmuebles de su propiedad e identificar los que tienen la posibilidad de ser destinados para la construcción o el desarrollo de proyectos de vivienda de interés social, para determinar tal posibilidad, deberán obtener: </w:t>
      </w:r>
    </w:p>
    <w:p w14:paraId="5D60A2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39D3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Certificado expedido por la entidad competente de que el inmueble se encuentra ubicado dentro del perímetro urbano del respectivo municipio de conformidad con el respectivo Plan de Ordenamiento Territorial, los instrumentos que los desarrollen o complementen, o localizado en suelo de expansión urbana que cuente con plan parcial adoptado, o que haga parte de Macroproyectos de Interés Social Nacional adoptados. </w:t>
      </w:r>
    </w:p>
    <w:p w14:paraId="487EBE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5F37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Certificado de uso del suelo, expedido por la entidad competente, en el que conste que el predio(s) es apto para construcción de vivienda conforme con el Plan de Ordenamiento Territorial. </w:t>
      </w:r>
    </w:p>
    <w:p w14:paraId="7CE8A9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CA5D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2.3 Certificación expedida por la autoridad competente en donde conste que el predio no se encuentra en: i) zonas de reserva de obra pública o de infraestructuras básicas del nivel nacional, regional o municipal; ii) áreas no aptas para la localización de vivienda; iii) zonas de alto riesgo no mitigable;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zonas de protección de los recursos naturales, conforme con el Plan de Ordenamiento Territorial. </w:t>
      </w:r>
    </w:p>
    <w:p w14:paraId="627E6B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E748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Cada entidad pública será responsable de la realización de los estudios de títulos que le permitan determinar cuáles son los bienes inmuebles de su propiedad, para la elaboración del inventario al que hace referencia el presente artículo. </w:t>
      </w:r>
    </w:p>
    <w:p w14:paraId="0716E878" w14:textId="3402973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27" w:name="ver_30072297"/>
      <w:bookmarkEnd w:id="727"/>
    </w:p>
    <w:p w14:paraId="14E0F4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2.1.2.3.1.3. Información remitida por parte de entidades que tengan a su cargo la administración de programas de activos públicos del Estado. En cumplimiento de lo establecido en el parágrafo 2° del artículo 41 de la Ley 1537 de 2012, la Dirección Nacional de Estupefacientes (en Supresión) o la entidad que haga sus veces, la Central de Inversiones S.A., (CISA S.A.) y todas las demás entidades que tengan a su cargo la administración de programas de activos públicos del Estado suministrarán, cada seis meses, al Ministerio de Vivienda, Ciudad y Territorio un listado completo de los inmuebles ubicados en el perímetro urbano, susceptibles de ser vinculados de manera inmediata a la ejecución de proyectos de construcción de vivienda de interés social, para lo cual adjuntará los documentos relacionados en los numerales 2.1 a 2.3 del artículo 2.1.2.3.1.2 del presente capítulo. </w:t>
      </w:r>
    </w:p>
    <w:p w14:paraId="151183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F2C3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remitido el listado al Ministerio de Vivienda, Ciudad y Territorio, este entregará la información a FONVIVIENDA, para que dé cumplimiento a lo establecido en el artículo 2.1.2.3.1.4 de este capítulo. </w:t>
      </w:r>
    </w:p>
    <w:p w14:paraId="49B905D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28" w:name="ver_30072298"/>
      <w:bookmarkEnd w:id="728"/>
    </w:p>
    <w:p w14:paraId="5A2243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2.1.2.3.1.4. Ofrecimiento de inmuebles de entidades públicas de la Rama Ejecutiva en el orden nacional, a las entidades que desarrollen proyectos de VIS. Las entidades públicas de la Rama Ejecutiva orden nacional deberán remitir la información a la que hace referencia el artículo 2.1.2.3.1.2 de este capítulo a FONVIVIENDA para que este determine si pueden ser transferidos a los patrimonios autónomos que haya constituido para el desarrollo de proyectos de vivienda de interés prioritario. La decisión deberá ser adoptada por el ente u órgano competente para el efecto, en el patrimonio autónomo correspondiente, de acuerdo con lo establecido en el contrato de fiducia mercantil. </w:t>
      </w:r>
    </w:p>
    <w:p w14:paraId="6F8E08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E8D1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caso en que FONVIVIENDA se pronuncie indicando que el inmueble no será recibido por parte de los patrimonios autónomos antes mencionados, deberá indicar a la entidad propietaria del inmueble si se han constituido patrimonios autónomos por parte de Findeter u otras entidades señaladas por el Gobierno Nacional, para el desarrollo de proyectos de vivienda de interés social, caso en el cual el propietario del predio deberá </w:t>
      </w:r>
      <w:proofErr w:type="gramStart"/>
      <w:r w:rsidRPr="009342F9">
        <w:rPr>
          <w:rFonts w:ascii="Arial" w:eastAsia="Times New Roman" w:hAnsi="Arial" w:cs="Arial"/>
          <w:color w:val="000000"/>
          <w:lang w:eastAsia="es-CO"/>
        </w:rPr>
        <w:t>proceder a ofrecerlo</w:t>
      </w:r>
      <w:proofErr w:type="gramEnd"/>
      <w:r w:rsidRPr="009342F9">
        <w:rPr>
          <w:rFonts w:ascii="Arial" w:eastAsia="Times New Roman" w:hAnsi="Arial" w:cs="Arial"/>
          <w:color w:val="000000"/>
          <w:lang w:eastAsia="es-CO"/>
        </w:rPr>
        <w:t xml:space="preserve"> a los mencionados patrimonios autónomos. </w:t>
      </w:r>
    </w:p>
    <w:p w14:paraId="1CBE80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4FC4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las entidades y patrimonios autónomos antes mencionados manifiesten, estos últimos a través de los entes u órganos competentes, que no tienen interés en la adquisición del inmueble, el mismo deberá ser ofrecido al alcalde del municipio y al gobernador del departamento en el cual se encuentre ubicado, para que este se pronuncie acerca de su intención de recibirlo, en las condiciones señaladas en el presente capítulo. </w:t>
      </w:r>
    </w:p>
    <w:p w14:paraId="3640DC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46E9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FONVIVIENDA, o las otras entidades o patrimonios autónomos a los que hace referencia este artículo, tengan conocimiento de la existencia de un inmueble de propiedad de una entidad pública del orden nacional, que cumpla las condiciones para el desarrollo de un proyecto de VIS, podrá solicitar su transferencia a la entidad propietaria, aun cuando esta no haya realizado el respectivo inventario. </w:t>
      </w:r>
    </w:p>
    <w:p w14:paraId="1BB36B1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29" w:name="ver_30072299"/>
      <w:bookmarkEnd w:id="729"/>
    </w:p>
    <w:p w14:paraId="4D2060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2.1.2.3.1.5. Condiciones para el recibo de bienes inmuebles por parte de las entidades y patrimonios autónomos autorizados por la Ley 1537 de 2012. Cuando FONVIVIENDA manifieste interés en adquirir para sí, o para alguno de los patrimonios autónomos que haya constituido, los inmuebles a los que hace referencia la presente sección, la transferencia se sujetará al reglamento que expida esa entidad, o a las condiciones que se hayan definido para la adquisición y recibo de bienes inmuebles por parte de los patrimonios autónomos respectivos. </w:t>
      </w:r>
    </w:p>
    <w:p w14:paraId="6E3012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388A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hayan constituido patrimonios autónomos por parte de Findeter u otras entidades señaladas por el Gobierno Nacional, para el desarrollo de proyectos de vivienda de interés social, la transferencia se sujetará al reglamento que expida la entidad que haya constituido el patrimonio autónomo, o a las condiciones que se hayan definido para la adquisición y recibo de bienes inmuebles por parte de los patrimonios autónomos respectivos. </w:t>
      </w:r>
    </w:p>
    <w:p w14:paraId="253374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5F9EE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30" w:name="ver_30072300"/>
      <w:bookmarkEnd w:id="730"/>
      <w:r w:rsidRPr="009342F9">
        <w:rPr>
          <w:rFonts w:ascii="Arial" w:eastAsia="Times New Roman" w:hAnsi="Arial" w:cs="Arial"/>
          <w:color w:val="000000"/>
          <w:lang w:eastAsia="es-CO"/>
        </w:rPr>
        <w:t>Artículo 2.1.2.3.1.6. Ofrecimiento de inmuebles de otras entidades públicas, a las entidades que desarrollen proyectos de VIS. Las entidades territoriales, las entidades de la Rama Legislativa y Judicial del Poder Público, los bancos inmobiliarios, así como los órganos autónomos e independientes, podrán ofrecer a FONVIVIENDA, a los patrimonios autónomos que este y/o Findeter constituyan, o a los patrimonios autónomos que constituyan las entidades que determine FONVIVIENDA, los bienes fiscales de su propiedad, o la porción de ellos, que puedan ser destinados para la construcción o el desarrollo de proyectos de vivienda de interés social, de acuerdo a lo establecido en los Planes de Ordenamiento Territorial y los instrumentos que lo complementen o desarrollen. </w:t>
      </w:r>
    </w:p>
    <w:p w14:paraId="2C60A2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5319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realice un ofrecimiento de acuerdo con lo establecido en el presente artículo, la entidad propietaria del inmueble deberá anexar al ofrecimiento, los documentos relacionados en los numerales 2.1 a 2.3 del artículo 2.1.2.3.1.2 del presente capítulo. </w:t>
      </w:r>
    </w:p>
    <w:p w14:paraId="18F3C0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3215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FONVIVIENDA, los patrimonios autónomos que este y/o Findeter constituyan, o los patrimonios autónomos que constituyan las entidades que determine FONVIVIENDA, estos últimos a través de los órganos contractuales competentes, manifiesten su interés en adquirir el inmueble, la transferencia se realizará en las condiciones señaladas en el artículo 2.1.2.3.1.5 del presente capítulo. </w:t>
      </w:r>
    </w:p>
    <w:p w14:paraId="4E75FC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6615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FONVIVIENDA, o las otras entidades o patrimonios autónomos a los que hace referencia este artículo, tengan conocimiento de la existencia de un inmueble de propiedad de entidades territoriales, entidades de la Rama Legislativa y Judicial del Poder Público, o bancos inmobiliarios, que cumpla las condiciones para el desarrollo de un proyecto de VIS, podrá solicitar su transferencia a la entidad propietaria, y si esta última manifiesta su interés en transferirlo, se surtirá el proceso señalado en el presente artículo. </w:t>
      </w:r>
    </w:p>
    <w:p w14:paraId="571E268F" w14:textId="67816D97" w:rsidR="00683694" w:rsidRPr="009342F9" w:rsidRDefault="00FC79C1" w:rsidP="00D25E1B">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731" w:name="ver_30072301"/>
      <w:bookmarkEnd w:id="731"/>
    </w:p>
    <w:p w14:paraId="1A43BBB9" w14:textId="706B1554"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338576BC"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SOLICITUD DE INMUEBLES A LAS ENTIDADES PÚBLICAS DEL ORDEN NACIONAL Y CONDICIONES PARA SU TRANSFERENCIA</w:t>
      </w:r>
    </w:p>
    <w:p w14:paraId="2228CB9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32" w:name="ver_30072302"/>
      <w:bookmarkEnd w:id="732"/>
    </w:p>
    <w:p w14:paraId="12160E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2.1.2.3.2.1. Solicitud de inmuebles a la entidad propietaria, para el desarrollo de proyectos de VIS. Las entidades públicas del orden departamental, municipal o distrital podrán solicitar a la entidad pública de la Rama Ejecutiva del orden nacional, propietaria de un inmueble, que el mismo les sea transferido para el desarrollo de un proyecto de vivienda de interés social, caso en el cual deberán remitir con su solicitud los documentos a los cuales hace referencia los numerales 2.1 a 2.3 del artículo 2.1.2.3.1.2 del presente capítulo, y, en todo caso, la entidad propietaria deberá surtir previamente el proceso de ofrecimiento del inmueble a FONVIVIENDA para que este manifieste si tiene interés en que sean transferidos a los patrimonios autónomos que haya constituido para el desarrollo de proyectos de vivienda de interés prioritario. </w:t>
      </w:r>
    </w:p>
    <w:p w14:paraId="7342D7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4745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caso en que FONVIVIENDA se pronuncie indicando que el inmueble no será recibido por parte de los patrimonios autónomos antes mencionados, deberá indicar a la entidad propietaria del inmueble si se han constituido patrimonios autónomos por parte de Findeter u otras entidades señaladas por el Gobierno Nacional, para el desarrollo de proyectos de vivienda de interés social, caso en el cual el propietario del predio deberá </w:t>
      </w:r>
      <w:proofErr w:type="gramStart"/>
      <w:r w:rsidRPr="009342F9">
        <w:rPr>
          <w:rFonts w:ascii="Arial" w:eastAsia="Times New Roman" w:hAnsi="Arial" w:cs="Arial"/>
          <w:color w:val="000000"/>
          <w:lang w:eastAsia="es-CO"/>
        </w:rPr>
        <w:t>proceder a ofrecerlo</w:t>
      </w:r>
      <w:proofErr w:type="gramEnd"/>
      <w:r w:rsidRPr="009342F9">
        <w:rPr>
          <w:rFonts w:ascii="Arial" w:eastAsia="Times New Roman" w:hAnsi="Arial" w:cs="Arial"/>
          <w:color w:val="000000"/>
          <w:lang w:eastAsia="es-CO"/>
        </w:rPr>
        <w:t xml:space="preserve"> a los mencionados patrimonios autónomos. </w:t>
      </w:r>
    </w:p>
    <w:p w14:paraId="574CB3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8524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las entidades y patrimonios autónomos antes mencionados manifiesten, estos últimos a través de los entes u órganos competentes, que no tienen interés en la adquisición del inmueble, la entidad pública de la Rama Ejecutiva del orden nacional, propietaria del inmueble podrá transferirlo a las entidades públicas del orden departamental, municipal o distrital que lo hayan solicitado, cumpliendo las condiciones a que se refiere el artículo 2.1.2.3.2.2 del presente capítulo. </w:t>
      </w:r>
    </w:p>
    <w:p w14:paraId="406458C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33" w:name="ver_30072303"/>
      <w:bookmarkEnd w:id="733"/>
    </w:p>
    <w:p w14:paraId="64AD85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2.1.2.3.2.2. Condiciones para la transferencia de bienes inmuebles a entidades públicas del orden departamental, distrital o municipal. En el caso en que FONVIVIENDA o a las entidades o patrimonios autónomos a los que hace referencia el artículo 2.1.2.3.1.2 de este capítulo, cuando sea el caso, manifiesten que no tienen interés en la adquisición de los inmuebles ofrecidos y el municipio o departamento respectivo manifieste interés en adquirirlos, la entidad pública propietaria deberá suscribir un convenio con la entidad que recibirá el inmueble, en el cual esta última se deberá comprometer como mínimo a: </w:t>
      </w:r>
    </w:p>
    <w:p w14:paraId="6FF40C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8405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Obtener la(s) licencia(s) urbanísticas del proyecto de vivienda de interés social a desarrollar en el inmueble, y los demás permisos y documentos que se requieran para el desarrollo del proyecto, de acuerdo con las normas vigentes. </w:t>
      </w:r>
    </w:p>
    <w:p w14:paraId="63CDE9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836F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Emitir a favor de la entidad que transfiere, </w:t>
      </w:r>
      <w:proofErr w:type="gramStart"/>
      <w:r w:rsidRPr="009342F9">
        <w:rPr>
          <w:rFonts w:ascii="Arial" w:eastAsia="Times New Roman" w:hAnsi="Arial" w:cs="Arial"/>
          <w:color w:val="000000"/>
          <w:lang w:eastAsia="es-CO"/>
        </w:rPr>
        <w:t>un paz</w:t>
      </w:r>
      <w:proofErr w:type="gramEnd"/>
      <w:r w:rsidRPr="009342F9">
        <w:rPr>
          <w:rFonts w:ascii="Arial" w:eastAsia="Times New Roman" w:hAnsi="Arial" w:cs="Arial"/>
          <w:color w:val="000000"/>
          <w:lang w:eastAsia="es-CO"/>
        </w:rPr>
        <w:t xml:space="preserve"> y salvo por concepto de obligaciones fiscales del inmueble a transferir, o el documento que acredite que la entidad propietaria no tiene deudas por concepto de obligaciones tributarias que recaigan sobre el inmueble. </w:t>
      </w:r>
    </w:p>
    <w:p w14:paraId="665A4A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E66D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Asumir todos los costos o gastos que genere la transferencia y el recibo material del inmueble respectivo. </w:t>
      </w:r>
    </w:p>
    <w:p w14:paraId="130D28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C587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Suscribir el acta de entrega material del inmueble y asumir a partir de ese momento la custodia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06DD0C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3911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Una vez recibido el inmueble, adelantar, bajo su exclusiva responsabilidad técnica, administrativa y financiera, un proyecto de vivienda de interés social en el mismo, de acuerdo con las respectivas licencias urbanísticas. </w:t>
      </w:r>
    </w:p>
    <w:p w14:paraId="4D6A56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827A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Si es del caso, iniciar los procesos de titulación, restitución y/o procesos reivindicatorios frente a eventuales ocupantes que existan a la fecha de la transferencia, o que se ubiquen en el inmueble con posterioridad. </w:t>
      </w:r>
    </w:p>
    <w:p w14:paraId="3FA15C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7422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Comprobar que cuenta con los recursos necesarios para ejecutar un proyecto de vivienda en el inmueble que se solicita, dentro del término pactado para la ejecución del convenio. </w:t>
      </w:r>
    </w:p>
    <w:p w14:paraId="7E6762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2A19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8. Emplear la totalidad del inmueble transferido únicamente para el desarrollo de un proyecto de vivienda de interés social, so pena de restituirlo total o parcialmente a la entidad </w:t>
      </w:r>
      <w:proofErr w:type="spellStart"/>
      <w:r w:rsidRPr="009342F9">
        <w:rPr>
          <w:rFonts w:ascii="Arial" w:eastAsia="Times New Roman" w:hAnsi="Arial" w:cs="Arial"/>
          <w:color w:val="000000"/>
          <w:lang w:eastAsia="es-CO"/>
        </w:rPr>
        <w:t>tradente</w:t>
      </w:r>
      <w:proofErr w:type="spellEnd"/>
      <w:r w:rsidRPr="009342F9">
        <w:rPr>
          <w:rFonts w:ascii="Arial" w:eastAsia="Times New Roman" w:hAnsi="Arial" w:cs="Arial"/>
          <w:color w:val="000000"/>
          <w:lang w:eastAsia="es-CO"/>
        </w:rPr>
        <w:t>, a su costa, en las condiciones en que le fuera entregado y dentro del término que se establezca en la condición resolutoria que se deberá incluir en el acto administrativo de transferencia. </w:t>
      </w:r>
    </w:p>
    <w:p w14:paraId="6D1AFF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C832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9. Asumir el costo de los documentos necesarios para la actualización de cabida y linderos del predio a adquirir, así como para obtener las licencias de subdivisión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cuando sea el caso. </w:t>
      </w:r>
    </w:p>
    <w:p w14:paraId="7E56AA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C898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10. Presentar informes de avance en la ejecución del proyecto cuando lo solicite la entidad </w:t>
      </w:r>
      <w:proofErr w:type="spellStart"/>
      <w:r w:rsidRPr="009342F9">
        <w:rPr>
          <w:rFonts w:ascii="Arial" w:eastAsia="Times New Roman" w:hAnsi="Arial" w:cs="Arial"/>
          <w:color w:val="000000"/>
          <w:lang w:eastAsia="es-CO"/>
        </w:rPr>
        <w:t>tradente</w:t>
      </w:r>
      <w:proofErr w:type="spellEnd"/>
      <w:r w:rsidRPr="009342F9">
        <w:rPr>
          <w:rFonts w:ascii="Arial" w:eastAsia="Times New Roman" w:hAnsi="Arial" w:cs="Arial"/>
          <w:color w:val="000000"/>
          <w:lang w:eastAsia="es-CO"/>
        </w:rPr>
        <w:t>. </w:t>
      </w:r>
    </w:p>
    <w:p w14:paraId="739E16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D5FF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suscripción del convenio al que hace referencia el presente artículo en ningún caso implicará, por sí mismo, la obligación de destinar recursos del subsidio familiar de vivienda por parte del Gobierno Nacional, para la ejecución del proyecto de vivienda respectivo en el inmueble transferido. </w:t>
      </w:r>
    </w:p>
    <w:p w14:paraId="11022B20" w14:textId="77777777" w:rsidR="00683694" w:rsidRPr="009342F9" w:rsidRDefault="00683694" w:rsidP="00683694">
      <w:pPr>
        <w:spacing w:after="0" w:line="240" w:lineRule="auto"/>
        <w:jc w:val="center"/>
        <w:rPr>
          <w:rFonts w:ascii="Arial" w:eastAsia="Times New Roman" w:hAnsi="Arial" w:cs="Arial"/>
          <w:b/>
          <w:bCs/>
          <w:color w:val="000000"/>
          <w:lang w:eastAsia="es-CO"/>
        </w:rPr>
      </w:pPr>
      <w:bookmarkStart w:id="734" w:name="ver_30072304"/>
      <w:bookmarkEnd w:id="734"/>
    </w:p>
    <w:p w14:paraId="572E17A2" w14:textId="3ABA1D48"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1E4D8F40"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DISPOSICIONES</w:t>
      </w:r>
    </w:p>
    <w:p w14:paraId="207D453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35" w:name="ver_30072305"/>
      <w:bookmarkEnd w:id="735"/>
    </w:p>
    <w:p w14:paraId="00D54D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2.1.2.3.3.1. Condiciones de otras entidades para la transferencia de bienes inmuebles. Las entidades territoriales, las entidades de la Rama Legislativa y Judicial del Poder Público, los bancos inmobiliarios, así como los órganos autónomos e independientes, definirán los procedimientos y condiciones para la transferencia de bienes inmuebles a entidades públicas del orden departamental, distrital o municipal, con el fin de dar cumplimiento a lo establecido en el artículo 41 de la Ley 1537 de 2012. </w:t>
      </w:r>
    </w:p>
    <w:p w14:paraId="257DB5F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36" w:name="ver_30072308"/>
      <w:bookmarkEnd w:id="736"/>
    </w:p>
    <w:p w14:paraId="62BA10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2.1.2.3.3.2. Autorización para transferir inmuebles para VIS. En el evento en que se cumplan los requisitos establecidos en el presente capítulo para proceder a la transferencia del inmueble, el representante legal de la entidad pública propietaria o su delegado, o el funcionario que se encuentre autorizado por parte de los respectivos estatutos de la entidad cuando sea el caso, podrá suscribir el acto administrativo de transferencia, así como el acta de entrega material y recibo de los inmuebles, de acuerdo con lo establecido en el artículo 43 de la Ley 1537 de 2012. </w:t>
      </w:r>
    </w:p>
    <w:p w14:paraId="172ABD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A447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más tardar dentro de los cinco (5) días siguientes a la ejecutoria del acto administrativo de transferencia del inmueble, se deberá suscribir el acta de recibo material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la cual deberá detallar el estado en que se encuentra. El acto administrativo de transferencia y el acta de entrega material del inmueble deberán someterse a registro en forma simultánea, como requisito para su inscripción. </w:t>
      </w:r>
    </w:p>
    <w:p w14:paraId="0249DD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BA1B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en el folio de matrícula inmobiliaria del bien inmueble susceptible de ser transferido figure como propietaria la Nación o el Gobierno Nacional, sin que se identifique como titular del derecho real de dominio a un Ministerio o Departamento Administrativo, el acto de transferencia del inmueble se suscribirá de acuerdo con las siguientes reglas: </w:t>
      </w:r>
    </w:p>
    <w:p w14:paraId="0CAF4E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6563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Por parte del representante legal del Ministerio o Departamento Administrativo que tenga a su cargo la administración o custodia del inmueble, o que lo tenga incorporado en sus estados financieros. </w:t>
      </w:r>
    </w:p>
    <w:p w14:paraId="18A104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46EF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Cuando ningún Ministerio o Departamento Administrativo tenga a su cargo la administración o custodia del inmueble, ni lo tenga incorporado en sus estados financieros, el acto de transferencia lo suscribirá el representante legal del Ministerio o Departamento Administrativo que tenga dentro de sus funciones alguna relacionada con la destinación que se pretendía dar al inmueble cuando fue adquirido, de acuerdo con lo indicado en la Escritura Pública o acto de adquisición. </w:t>
      </w:r>
    </w:p>
    <w:p w14:paraId="6068C2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F632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Cuando la Escritura Pública o acto de adquisición no especifiquen cuál era la destinación que se pretendía dar al inmueble cuando fue adquirido, o cuando haya más de una entidad que tenga dentro de sus funciones alguna relacionada con la destinación que se pretendía dar al inmueble, el acto de transferencia lo suscribirá el Ministerio o Departamento Administrativo que tenga dentro de sus funciones alguna relacionada con la destinación que se pretenda dar al inmueble cuando sea transferido. </w:t>
      </w:r>
    </w:p>
    <w:p w14:paraId="590785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43462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37" w:name="ver_30072309"/>
      <w:bookmarkEnd w:id="737"/>
      <w:r w:rsidRPr="009342F9">
        <w:rPr>
          <w:rFonts w:ascii="Arial" w:eastAsia="Times New Roman" w:hAnsi="Arial" w:cs="Arial"/>
          <w:color w:val="000000"/>
          <w:lang w:eastAsia="es-CO"/>
        </w:rPr>
        <w:t>Artículo 2.1.2.3.3.3. Transferencia de inmuebles para el desarrollo de programas de titulación de predios ocupados con VIS. Cuando una entidad pública que desarrolle programas de vivienda de interés social de carácter nacional, territorial, departamental, municipal o Distrital manifieste interés en adquirir un inmueble de propiedad de una entidad del orden nacional, para el desarrollo de un programa de titulación de bienes fiscales ocupados con vivienda de interés social, la entidad propietaria establecerá en el acto administrativo de transferencia la condición de que la adquirente suscriba con el Ministerio de Vivienda, Ciudad y Territorio, un convenio en el cual se someta a las condiciones del Programa Nacional de Titulación ejecutado por este último, el cual se regirá por las disposiciones establecidas en la Ley 1001 de 2005 y el capítulo 2.1.2.2 del presente decreto, o las normas que lo modifiquen, adicionen o sustituyan. </w:t>
      </w:r>
    </w:p>
    <w:p w14:paraId="0B711DA7" w14:textId="77777777" w:rsidR="00D25E1B" w:rsidRDefault="00D25E1B" w:rsidP="00683694">
      <w:pPr>
        <w:spacing w:after="0" w:line="240" w:lineRule="auto"/>
        <w:jc w:val="center"/>
        <w:rPr>
          <w:rFonts w:ascii="Arial" w:eastAsia="Times New Roman" w:hAnsi="Arial" w:cs="Arial"/>
          <w:b/>
          <w:bCs/>
          <w:color w:val="000000"/>
          <w:lang w:eastAsia="es-CO"/>
        </w:rPr>
      </w:pPr>
    </w:p>
    <w:p w14:paraId="2A613C14" w14:textId="66815A46"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3</w:t>
      </w:r>
    </w:p>
    <w:p w14:paraId="6F4A96B7" w14:textId="77777777" w:rsidR="00FC79C1"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PROGRAMA DE COBERTURA CONDICIONADA PARA CRÉDITOS DE VIVIENDA</w:t>
      </w:r>
    </w:p>
    <w:p w14:paraId="34DC9260" w14:textId="77777777" w:rsidR="001A4E5B" w:rsidRPr="009342F9" w:rsidRDefault="001A4E5B" w:rsidP="00683694">
      <w:pPr>
        <w:spacing w:after="0" w:line="240" w:lineRule="auto"/>
        <w:jc w:val="center"/>
        <w:rPr>
          <w:rFonts w:ascii="Arial" w:eastAsia="Times New Roman" w:hAnsi="Arial" w:cs="Arial"/>
          <w:b/>
          <w:bCs/>
          <w:color w:val="000000"/>
          <w:lang w:eastAsia="es-CO"/>
        </w:rPr>
      </w:pPr>
    </w:p>
    <w:p w14:paraId="1B84E750"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738" w:name="ver_30200385"/>
      <w:bookmarkEnd w:id="738"/>
      <w:r w:rsidRPr="009342F9">
        <w:rPr>
          <w:rFonts w:ascii="Arial" w:eastAsia="Times New Roman" w:hAnsi="Arial" w:cs="Arial"/>
          <w:b/>
          <w:bCs/>
          <w:color w:val="000000"/>
          <w:lang w:eastAsia="es-CO"/>
        </w:rPr>
        <w:t>CAPÍTULO 1</w:t>
      </w:r>
    </w:p>
    <w:p w14:paraId="54AAB33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PROGRAMA DE COBERTURA CONDICIONADA PARA CRÉDITOS DE VIVIENDA</w:t>
      </w:r>
    </w:p>
    <w:p w14:paraId="33AA25F0"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SEGUNDA GENERACIÓN</w:t>
      </w:r>
    </w:p>
    <w:p w14:paraId="03F7156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39" w:name="ver_30200386"/>
      <w:bookmarkStart w:id="740" w:name="ver_30072312"/>
      <w:bookmarkEnd w:id="739"/>
    </w:p>
    <w:p w14:paraId="38FBA8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2.1.3.1.1. Cobertura de tasa de interés para la financiación de vivienda de interés social nueva para áreas urbanas. El Gobierno nacional, a través del Fondo de Reserva para la Estabilización de la Cartera Hipotecaria (FRECH), administrado por el Banco de la República, ofrecerá coberturas de tasa de interés que faciliten la financiación de vivienda de interés social nueva para áreas urbanas, a través de créditos para la compra de vivienda otorgados por los establecimientos de crédito y las cajas de compensación familiar y contratos de leasing habitacional celebrados por establecimientos de crédito, de acuerdo con las condiciones y términos establecidos en el presente capítulo, y la reglamentación que para el efecto expida el Ministerio de Vivienda, Ciudad y Territorio.  </w:t>
      </w:r>
    </w:p>
    <w:p w14:paraId="298DE2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2B89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Banco de la República, como administrador del FRECH, creará una subcuenta para el manejo de los recursos requeridos para la cobertura a la que se refiere el presente capítulo, separada y diferenciada presupuestal y contablemente de los demás recursos del FRECH, la cual se denominará FRECH - Ley 1450 de 2011.  </w:t>
      </w:r>
    </w:p>
    <w:p w14:paraId="7847F9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38AE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cobertura consistirá en una permuta financiera calculada sobre la tasa de interés pactada en créditos nuevos otorgados por los establecimientos de crédito y las cajas de compensación familiar o en contratos de leasing habitacional nuevos celebrados por los establecimientos de crédito a deudores o locatarios, según corresponda, que cumplan las condiciones que se establecen en el presente capítulo y en la normativa aplicable. La cobertura solo será aplicable durante los primeros siete (7) años de vigencia contados a partir del desembolso del crédito o de la fecha de inicio del contrato de leasing habitacional.  </w:t>
      </w:r>
    </w:p>
    <w:p w14:paraId="25849D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95D2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permuta financiera consiste en un intercambio de flujos que se presenta cuando el establecimiento de crédito o la caja de compensación familiar, según sea el caso, entrega al FRECH - Ley 1450 de 2011 el equivalente mensual de la tasa de interés pactada en el crédito o contrato de leasing habitacional, descontando lo correspondiente a la cobertura y el FRECH - Ley 1450 de 2011, a su vez entrega, según corresponda, al establecimiento de crédito o a la caja de compensación familiar el equivalente mensual de la tasa de interés pactada en el crédito o contrato de leasing habitacional. Cuando se trate de operaciones en UVR, el equivalente mensual de la tasa de interés pactada en el crédito o contrato de leasing habitacional se convertirá a su equivalente en pesos.  </w:t>
      </w:r>
    </w:p>
    <w:p w14:paraId="6DB296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3D65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pago producto de la permuta financiera por parte del FRECH - Ley 1450 de 2011, a los establecimientos de crédito o a las cajas de compensación familiar se realizará por el monto neto de las obligaciones generadas mes a mes, derivadas del intercambio de flujos.  </w:t>
      </w:r>
    </w:p>
    <w:p w14:paraId="095BD7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FF9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Fondo Nacional de Vivienda (Fonvivienda), señalará al Banco de la República, a los establecimientos de crédito y a las cajas de compensación familiar, entre otras cosas, los términos y condiciones para realizar el intercambio de flujos derivados de la cobertura y precisará el alcance y contenido de los contratos marco de cobertura a que se refiere el artículo 2.1.3.1.10 de este capítulo, así mismo señalará a los Establecimientos de Crédito y a las Cajas de Compensación Familiar todos los aspectos derivados de la aplicación del presente capítulo.  </w:t>
      </w:r>
    </w:p>
    <w:p w14:paraId="19C651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3802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disposiciones previstas en este capítulo, para el caso de las coberturas de tasas de interés ofrecidas a los potenciales deudores de créditos para la compra de vivienda otorgados por las cajas de compensación familiar aplicarán a partir del primero (1°) de abril de 2020, en todo caso, el Ministerio de Vivienda, Ciudad y Territorio reglamentará las condiciones que deben cumplir las cajas de compensación familiar para la aplicación de lo dispuesto en el presente capítulo.  </w:t>
      </w:r>
    </w:p>
    <w:p w14:paraId="16C40A7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41" w:name="ver_30210175"/>
      <w:bookmarkStart w:id="742" w:name="ver_30072313"/>
      <w:bookmarkStart w:id="743" w:name="ver_30200387"/>
      <w:bookmarkEnd w:id="740"/>
      <w:bookmarkEnd w:id="741"/>
    </w:p>
    <w:p w14:paraId="79D275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2.1.3.1.2. Graduación de la cobertura. La cobertura prevista en el presente capítulo se graduará de acuerdo con el valor de la vivienda financiada por los deudores del crédito o locatarios del leasing habitacional que la soliciten, según los siguientes segmentos:  </w:t>
      </w:r>
    </w:p>
    <w:p w14:paraId="44E09BA8"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9E39302" w14:textId="16187F8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los créditos desembolsados o contratos de leasing habitacional iniciados hasta el 31 de diciembre de 2019:  </w:t>
      </w:r>
    </w:p>
    <w:p w14:paraId="290CD94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A8B737D" w14:textId="77C058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Para viviendas cuyo valor, de acuerdo con el avalúo comercial del establecimiento de crédito o la caja de compensación familiar, sea de hasta setenta (70) salarios mínimos mensuales legales vigentes, se otorgará una cobertura equivalente a cinco (5) puntos porcentuales, liquidados sobre el saldo remanente del crédito o del contrato de leasing habitacional.  </w:t>
      </w:r>
    </w:p>
    <w:p w14:paraId="1AF4C7D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2DA725A" w14:textId="6CF8AC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Para viviendas cuyo valor, de acuerdo con el avalúo comercial del establecimiento de crédito o la caja de compensación familiar, sea mayor a setenta (70) salarios mínimos mensuales legales vigentes y hasta ciento treinta y cinco (135) salarios mínimos mensuales legales vigentes, se otorgará el equivalente a cuatro (4) puntos porcentuales, liquidados sobre el saldo remanente del crédito o del contrato de leasing habitacional.  </w:t>
      </w:r>
    </w:p>
    <w:p w14:paraId="7161CE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4640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los créditos desembolsados o contratos de leasing habitacional iniciados a partir del 01 de enero de 2020:  </w:t>
      </w:r>
    </w:p>
    <w:p w14:paraId="13A7DB04"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23374AB" w14:textId="3BA3BD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Para viviendas cuyo valor, de acuerdo con el avalúo comercial del establecimiento de crédito o la caja de compensación familiar, sea de hasta noventa (90) salarios mínimos legales mensuales vigentes, se otorgará una cobertura equivalente a cinco (5) puntos porcentuales, liquidados sobre el saldo remanente del crédito o del contrato de leasing habitacional.  </w:t>
      </w:r>
    </w:p>
    <w:p w14:paraId="2C64A17E"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B0F8CCC" w14:textId="2989F4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Para viviendas cuyo valor, de acuerdo con el avalúo comercial del establecimiento de crédito o la caja de compensación familiar, sea mayor a noventa (90) salarios mínimos legales mensuales vigentes y hasta ciento treinta y cinco (135) salarios mínimos mensuales legales vigentes, se otorgará el equivalente a cuatro (4) puntos porcentuales, liquidados sobre el saldo remanente del crédito o del contrato de leasing habitacional.  </w:t>
      </w:r>
    </w:p>
    <w:p w14:paraId="6CD7588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E9975A8" w14:textId="2B9421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Para viviendas ubicadas en los municipios y distritos establecidos en el título 9 de la parte 1 del libro 2 del presente decreto, cuyo valor, de acuerdo con el avalúo comercial del establecimiento de crédito o la caja de compensación familiar, sea mayor a noventa (90) salarios mínimos legales mensuales vigentes y hasta ciento cincuenta (150) salarios mínimos mensuales legales vigentes, se otorgará una cobertura equivalente a cuatro (4) puntos porcentuales, liquidados sobre el saldo remanente del crédito o del contrato de leasing habitacional.  </w:t>
      </w:r>
    </w:p>
    <w:p w14:paraId="09E3804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0437824" w14:textId="1C6C82D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deudor del crédito o locatario del leasing habitacional beneficiarios de la cobertura, durante la vigencia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pagará mensualmente a los establecimientos de crédito o a las cajas de compensación familiar, según sea el caso, el equivalente mensual de la tasa de interés pactada para el respectivo período, descontando lo correspondiente a la cobertura, de acuerdo con la graduación establecida en los numerales 1 y 2 del presente artículo. Cuando se trate de operaciones en UVR, el equivalente mensual de la tasa de interés pactada en el crédito o contrato de leasing habitacional se convertirá a pesos.  </w:t>
      </w:r>
    </w:p>
    <w:p w14:paraId="3A1B950F"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764A2D8" w14:textId="77BD741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que por cualquier circunstancia el establecimiento de crédito o la caja de compensación familiar cobre al deudor una tasa de interés diferente a la pactada, la tasa de interés efectivamente cobrada será la utilizada para el cálculo del intercambio de flujos derivado de la cobertura. En ningún caso la cobertura resultante podrá ser superior a la tasa pactada del crédito o a la efectivamente cobrada al deudor según sea el caso.  </w:t>
      </w:r>
    </w:p>
    <w:p w14:paraId="55D8F035"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AC800ED" w14:textId="4F32404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Fondo Nacional de Vivienda (Fonvivienda) con el apoyo del Viceministerio Técnico del Ministerio de Hacienda y Crédito Público definirá el número de coberturas disponibles para los créditos y contratos de leasing en cada uno de los segmentos de vivienda anteriormente señalados que serán objeto del beneficio aquí previsto, de acuerdo con las políticas fijadas por el Ministerio de Vivienda, Ciudad y Territorio. En todo caso, de acuerdo con las condiciones del mercado en general y de las particulares, en las que los establecimientos de crédito y las cajas de compensación familiar otorguen los créditos o contratos objeto de la cobertura, Fonvivienda podrá optar por ampliar, restringir, modificar o suspender el número de coberturas elegibles.  </w:t>
      </w:r>
    </w:p>
    <w:p w14:paraId="212EEC09" w14:textId="6E4CF8A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44" w:name="ver_30200388"/>
      <w:bookmarkStart w:id="745" w:name="ver_30072314"/>
      <w:bookmarkEnd w:id="742"/>
      <w:bookmarkEnd w:id="743"/>
      <w:bookmarkEnd w:id="744"/>
    </w:p>
    <w:p w14:paraId="2021E0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2.1.3.1.3. Condiciones para el acceso a la cobertura. Los deudores del crédito o locatarios del contrato de leasing habitacional, para acceder a la cobertura deberán cumplir las siguientes condiciones, además de las previstas en este capítulo y en la reglamentación que se expida para el efecto:  </w:t>
      </w:r>
    </w:p>
    <w:p w14:paraId="4EA5B0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6F0F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Tener ingresos totales no superiores a ocho salarios mínimos mensuales legales vigentes (8 SMLMV). Tratándose de dos (2) o más deudores o locatarios, este requisito debe cumplirse en forma conjunta.  </w:t>
      </w:r>
    </w:p>
    <w:p w14:paraId="50B2BF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5635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 ser propietario de vivienda en el territorio nacional. Tratándose de dos (2) o más deudores o locatarios, este requisito debe verificarse para cada uno de ellos.  </w:t>
      </w:r>
    </w:p>
    <w:p w14:paraId="2A4F22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E983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No haber sido beneficiario a cualquier título de la cobertura establecida en el presente capítulo o de aquella otorgada en desarrollo de lo dispuesto en el Decreto Único del Sector de Hacienda y Crédito Público y las normas que lo reglamenten, modifiquen, adicionen, complementen o sustituyan.  </w:t>
      </w:r>
    </w:p>
    <w:p w14:paraId="7162AF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0409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acceder a la cobertura de que trata el presente capítulo, los potenciales beneficiarios deberán manifestar por escrito al establecimiento de crédito o a la caja de compensación familiar, su intención de recibirla, antes del desembolso del crédito o de la suscripción del respectivo contrato de leasing habitacional, según sea el caso, señalando expresamente que conoce y acepta los términos y condiciones para el acceso, vigencia y terminación anticipada de la cobertura, en particular que el beneficio de la cobertura estará sujeto a la disponibilidad de coberturas para los créditos y contratos de leasing habitacional al momento del desembolso del crédito o del inicio del contrato de leasing habitacional.  </w:t>
      </w:r>
    </w:p>
    <w:p w14:paraId="1FDC8F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71FA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definirá cuando sea del caso, el alcance de las condiciones para acceder a la cobertura de que trata el presente capítulo.  </w:t>
      </w:r>
    </w:p>
    <w:p w14:paraId="0E929B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5E31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Fondo Nacional de Vivienda (Fonvivienda) podrá verificar la consistencia de la información suministrada por los beneficiarios para acceder a la cobertura. Adicionalmente, los establecimientos de crédito y las cajas de compensación familiar verificarán y controlarán lo relativo a lo dispuesto en el numeral 3 de este artículo, de conformidad con lo previsto en el artículo 2.1.3.1.11 del presente capítulo.  </w:t>
      </w:r>
    </w:p>
    <w:p w14:paraId="1D9F92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C95B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fin de que los establecimientos de crédito y las cajas de compensación familiar puedan verificar el cumplimiento de la condición de acceso a la cobertura prevista en el numeral 2 del presente artículo, Fonvivienda pondrá a disposición de cada entidad la consulta de sus bases de datos.  </w:t>
      </w:r>
    </w:p>
    <w:p w14:paraId="00CF85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D43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presentarse inconsistencias entre la información presentada por los potenciales beneficiarios de la cobertura y las consultas que realicen los establecimientos de crédito y las cajas de compensación familiar para verificar las condiciones previstas en el numeral 2 del presente artículo, corresponderá a los potenciales beneficiarios acreditar el cumplimiento de dichas condiciones.  </w:t>
      </w:r>
    </w:p>
    <w:p w14:paraId="52E29899" w14:textId="4CF795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46" w:name="ver_30210176"/>
      <w:bookmarkStart w:id="747" w:name="ver_30072315"/>
      <w:bookmarkStart w:id="748" w:name="ver_30200389"/>
      <w:bookmarkEnd w:id="745"/>
      <w:bookmarkEnd w:id="746"/>
    </w:p>
    <w:p w14:paraId="5A04F7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2.1.3.1.4. Créditos o Contratos de Leasing Habitacional elegibles. La cobertura se aplicará a los créditos o contratos de leasing habitacional que cumplan, como mínimo, con las condiciones que a continuación se relacionan y, las demás que se prevean en las normas que reglamenten, modifiquen, adicionen, sustituyan o complementen el presente capítulo.  </w:t>
      </w:r>
    </w:p>
    <w:p w14:paraId="1A3D00FE"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B889244" w14:textId="511E80B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Financiación objeto de la cobertura: Créditos nuevos que otorguen los establecimientos de crédito y las cajas de compensación familiar o Contratos de Leasing Habitacional nuevos que celebren los establecimientos de crédito para financiar el acceso a una vivienda de interés social nueva.  </w:t>
      </w:r>
    </w:p>
    <w:p w14:paraId="1A3D89C6"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15FEACF" w14:textId="2211A6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Por vivienda de interés social nueva se entenderá la vivienda urbana cuyo valor no supere el máximo establecido para este tipo de viviendas, en las normas que regulan la materia, en concordancia con lo establecido en el artículo 2.1.3.1.2 del presente decreto, que se encuentre en proyecto, en etapa de preventa, en construcción y la que estando terminada no haya sido habitada.  </w:t>
      </w:r>
    </w:p>
    <w:p w14:paraId="71F6BF3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7BFD234" w14:textId="57C66AA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cualquier caso, no se considerarán elegibles para efectos de la cobertura los siguientes créditos o contratos de Leasing Habitacional:  </w:t>
      </w:r>
    </w:p>
    <w:p w14:paraId="68EFEF9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4EFE7EA" w14:textId="384C79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Los otorgados para la reparación, construcción, subdivisión o ampliación del inmueble;  </w:t>
      </w:r>
    </w:p>
    <w:p w14:paraId="2882ADA6"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2A0B961" w14:textId="315BC433"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Los originados en las reestructuraciones o refinanciaciones.  </w:t>
      </w:r>
    </w:p>
    <w:p w14:paraId="1EE3D7C9" w14:textId="77777777" w:rsidR="00317D10" w:rsidRPr="009342F9" w:rsidRDefault="00317D10" w:rsidP="00FC79C1">
      <w:pPr>
        <w:spacing w:after="0" w:line="240" w:lineRule="auto"/>
        <w:jc w:val="both"/>
        <w:rPr>
          <w:rFonts w:ascii="Arial" w:eastAsia="Times New Roman" w:hAnsi="Arial" w:cs="Arial"/>
          <w:color w:val="000000"/>
          <w:lang w:eastAsia="es-CO"/>
        </w:rPr>
      </w:pPr>
    </w:p>
    <w:p w14:paraId="6AF468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Fecha de desembolso: Créditos que se desembolsen o contratos de leasing habitacional que inicien a partir del 3 de julio de 2012 y hasta el 31 de julio de 2014 o hasta el agotamiento del número de coberturas establecidas por el Fondo Nacional de Vivienda - Fonvivienda.  </w:t>
      </w:r>
    </w:p>
    <w:p w14:paraId="02D41E2C"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D5F7ACE" w14:textId="6D2C59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w:t>
      </w:r>
      <w:r w:rsidR="00317D10">
        <w:rPr>
          <w:rFonts w:ascii="Arial" w:eastAsia="Times New Roman" w:hAnsi="Arial" w:cs="Arial"/>
          <w:color w:val="000000"/>
          <w:lang w:eastAsia="es-CO"/>
        </w:rPr>
        <w:t>A</w:t>
      </w:r>
      <w:r w:rsidRPr="009342F9">
        <w:rPr>
          <w:rFonts w:ascii="Arial" w:eastAsia="Times New Roman" w:hAnsi="Arial" w:cs="Arial"/>
          <w:color w:val="000000"/>
          <w:lang w:eastAsia="es-CO"/>
        </w:rPr>
        <w:t>. Fechas de desembolso de la nueva fase del programa: Créditos que se desembolsen o contratos de leasing habitacional que se inicien a partir del 14 de agosto de 2014 y hasta el agotamiento del número de coberturas o las fechas que establezca el Fondo Nacional de Vivienda (Fonvivienda).  </w:t>
      </w:r>
    </w:p>
    <w:p w14:paraId="045B9D6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2F6FACB" w14:textId="1E963A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caso de los créditos que otorguen las cajas de compensación familiar la cobertura aplicará a los créditos que se desembolsen a partir del primero (1°) de abril de 2020 y hasta el agotamiento del número de coberturas o las fechas que establezca el Fondo Nacional de Vivienda (Fonvivienda).  </w:t>
      </w:r>
    </w:p>
    <w:p w14:paraId="31B8048C"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7FFFBF0" w14:textId="49B14BD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Unicidad: La cobertura se otorgará por una sola vez y se aplicará a todos los deudores del crédito o locatarios del respectivo contrato de leasing, a cualquier título.  </w:t>
      </w:r>
    </w:p>
    <w:p w14:paraId="07043CE7" w14:textId="4FD5117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49" w:name="ver_30219297"/>
      <w:bookmarkStart w:id="750" w:name="ver_30072316"/>
      <w:bookmarkStart w:id="751" w:name="ver_30200390"/>
      <w:bookmarkEnd w:id="747"/>
      <w:bookmarkEnd w:id="748"/>
      <w:bookmarkEnd w:id="749"/>
    </w:p>
    <w:p w14:paraId="48A126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2.1.3.1.5. Terminación anticipada de la cobertura. La cobertura se terminará en forma anticipada en los siguientes eventos: </w:t>
      </w:r>
    </w:p>
    <w:p w14:paraId="693EEE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4B2D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Por pago anticipado del crédito o hacer uso de la opción de compra tratándose de contratos de leasing habitacional. </w:t>
      </w:r>
    </w:p>
    <w:p w14:paraId="151D0E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B287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Por mora en el pago de tres cuotas consecutivas a cargo de los deudores o locatarios del leasing habitacional. En este caso, la cobertura se perderá a partir del día siguiente al vencimiento de la última cuota incumplida. </w:t>
      </w:r>
    </w:p>
    <w:p w14:paraId="5A16A8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5109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Por petición de los deudores o locatarios. </w:t>
      </w:r>
    </w:p>
    <w:p w14:paraId="69D41C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6099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Por cesión del crédito por parte del deudor. </w:t>
      </w:r>
    </w:p>
    <w:p w14:paraId="59ED4E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DB8C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Por cesión del contrato de leasing habitacional, por parte del locatario. </w:t>
      </w:r>
    </w:p>
    <w:p w14:paraId="24BC1A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5B1F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Por reestructuración del crédito o del contrato de leasing habitacional que implique el incremento de los montos o saldos de las obligaciones o ampliación del plazo de los créditos o los contratos. </w:t>
      </w:r>
    </w:p>
    <w:p w14:paraId="45E686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CA42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Por aceleración del plazo conforme a los términos contractuales. </w:t>
      </w:r>
    </w:p>
    <w:p w14:paraId="6563B2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C2F2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8. Las demás que establezca Fonvivienda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 naturaleza y finalidad de la cobertura. </w:t>
      </w:r>
    </w:p>
    <w:p w14:paraId="1DEA4F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058DA6"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cobertura se mantendrá vigente en los casos de cesión, venta o enajenación de la cartera con cobertura, entre establecimientos de crédito, y en los procesos derivados de titularización de cartera con cobertura. </w:t>
      </w:r>
    </w:p>
    <w:p w14:paraId="39A72112" w14:textId="77777777" w:rsidR="00317D10" w:rsidRPr="009342F9" w:rsidRDefault="00317D10" w:rsidP="00FC79C1">
      <w:pPr>
        <w:spacing w:after="0" w:line="240" w:lineRule="auto"/>
        <w:jc w:val="both"/>
        <w:rPr>
          <w:rFonts w:ascii="Arial" w:eastAsia="Times New Roman" w:hAnsi="Arial" w:cs="Arial"/>
          <w:color w:val="000000"/>
          <w:lang w:eastAsia="es-CO"/>
        </w:rPr>
      </w:pPr>
    </w:p>
    <w:p w14:paraId="0D17E908" w14:textId="5622224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El otorgamiento de periodos de gracia en capital e intereses en los créditos para adquisición de vivienda o contratos de leasing habitacional que cuenten con el beneficio de cobertura de tasa de interés, que se pacten entre los beneficiarios y la respectiva entidad en el marco de las instrucciones impartidas por la Superintendencia Financiera mediante circular externa 007 de 2020, no se entenderá como causal de terminación anticipada de la cobertura.</w:t>
      </w:r>
      <w:r w:rsidRPr="009342F9">
        <w:rPr>
          <w:rFonts w:ascii="Arial" w:eastAsia="Times New Roman" w:hAnsi="Arial" w:cs="Arial"/>
          <w:color w:val="000000"/>
          <w:lang w:eastAsia="es-CO"/>
        </w:rPr>
        <w:br/>
      </w:r>
      <w:r w:rsidRPr="009342F9">
        <w:rPr>
          <w:rFonts w:ascii="Arial" w:eastAsia="Times New Roman" w:hAnsi="Arial" w:cs="Arial"/>
          <w:color w:val="000000"/>
          <w:lang w:eastAsia="es-CO"/>
        </w:rPr>
        <w:br/>
        <w:t>Las entidades que otorguen periodos de gracia en capital e intereses a los beneficiarios de las coberturas de tasa de interés deberán informar dicha circunstancia al Banco de la República como administrador del Fondo de Reserva para la Estabilización de la Cartera Hipotecaria - FRECH. </w:t>
      </w:r>
    </w:p>
    <w:p w14:paraId="64042017" w14:textId="230B497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52" w:name="ver_30200391"/>
      <w:bookmarkStart w:id="753" w:name="ver_30072317"/>
      <w:bookmarkEnd w:id="750"/>
      <w:bookmarkEnd w:id="751"/>
      <w:bookmarkEnd w:id="752"/>
    </w:p>
    <w:p w14:paraId="0D4FF1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2.1.3.1.6. Recursos para la cobertura. Los recursos requeridos para el otorgamiento y pago de las coberturas previstas en este capítulo, así como los gastos de gestión en que incurra el Banco de la República en la realización de la permuta financiera serán apropiados en el Presupuesto General de la Nación a través del Fondo Nacional de Vivienda (Fonvivienda) o quien haga sus veces, y serán comprometidos con cargo a su presupuesto de inversión a favor del FRECH, Ley 1450 de 2011, dando cumplimiento a las disposiciones en materia presupuestal.  </w:t>
      </w:r>
    </w:p>
    <w:p w14:paraId="4EFF82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2B59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apropiación de estos recursos deberá guardar concordancia con la disponibilidad fiscal establecida tanto en el Marco de Gasto de Mediano Plazo del sector, así como en el Marco Fiscal de Mediano Plazo.  </w:t>
      </w:r>
    </w:p>
    <w:p w14:paraId="0921B7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9C31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otorgamiento de coberturas a deudores de créditos de vivienda otorgados por los establecimientos de crédito y cajas de compensación familiar y a locatarios en los contratos de leasing habitacional celebrados por los establecimientos de crédito, estará sujeto a la disponibilidad de recursos.  </w:t>
      </w:r>
    </w:p>
    <w:p w14:paraId="5D8C4881" w14:textId="318B9A3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54" w:name="ver_30200392"/>
      <w:bookmarkStart w:id="755" w:name="ver_30072318"/>
      <w:bookmarkEnd w:id="753"/>
      <w:bookmarkEnd w:id="754"/>
    </w:p>
    <w:p w14:paraId="69C661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2.1.3.1.7. Giro de los recursos. Los recursos asignados para financiar la cobertura de que trata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formarán parte del FRECH - Ley 1450 de 2011 y serán girados de conformidad con los compromisos anuales que se deriven del otorgamiento, ejecución y vencimiento de dichas coberturas.  </w:t>
      </w:r>
    </w:p>
    <w:p w14:paraId="7AA83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1F8F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Viceministerio Técnico del Ministerio de Hacienda y Crédito Público definirá el procedimiento, oportunidad, plazo y cuantías requeridas para el traslado al FRECH - Ley 1450 de 2011 de los recursos líquidos necesarios para el cubrimiento y pago de las coberturas de que trata el presente capítulo.  </w:t>
      </w:r>
    </w:p>
    <w:p w14:paraId="2FDC8B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E494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girará al Banco de la República, como administrador del FRECH, los recursos líquidos necesarios para el cubrimiento y pago de estas coberturas, previa solicitud que en tal sentido le presente el Banco de la República al Fondo Nacional de Vivienda (Fonvivienda) de conformidad con las obligaciones generadas mes a mes derivadas de la permuta financiera.  </w:t>
      </w:r>
    </w:p>
    <w:p w14:paraId="6E3007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9CA7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Así mismo, Fonvivienda pagará al Banco de la República los gastos en que este incurra en la realización de la permuta financiera prevista en este capítulo.  </w:t>
      </w:r>
    </w:p>
    <w:p w14:paraId="6BC700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5814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Banco de la República, como administrador del FRECH, no será responsable por el cubrimiento y pago de las coberturas de que trata este capítulo cuando Fonvivienda no haya realizado las apropiaciones presupuestales necesarias para el pago de estas coberturas y cuando Fonvivienda no haya hecho la entrega y giro de los recursos correspondientes al FRECH - Ley 1450 de 2011.  </w:t>
      </w:r>
    </w:p>
    <w:p w14:paraId="6A0C1A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554A3F" w14:textId="3F94891A"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trámites de apropiación, ejecución, registro y desembolso presupuestales estarán a cargo de Fonvivienda.  </w:t>
      </w:r>
    </w:p>
    <w:p w14:paraId="405C7766" w14:textId="77777777" w:rsidR="00D25E1B" w:rsidRPr="009342F9" w:rsidRDefault="00D25E1B" w:rsidP="00FC79C1">
      <w:pPr>
        <w:spacing w:after="0" w:line="240" w:lineRule="auto"/>
        <w:jc w:val="both"/>
        <w:rPr>
          <w:rFonts w:ascii="Arial" w:eastAsia="Times New Roman" w:hAnsi="Arial" w:cs="Arial"/>
          <w:color w:val="000000"/>
          <w:lang w:eastAsia="es-CO"/>
        </w:rPr>
      </w:pPr>
    </w:p>
    <w:p w14:paraId="587076D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56" w:name="ver_30200393"/>
      <w:bookmarkStart w:id="757" w:name="ver_30072319"/>
      <w:bookmarkEnd w:id="755"/>
      <w:bookmarkEnd w:id="756"/>
      <w:r w:rsidRPr="009342F9">
        <w:rPr>
          <w:rFonts w:ascii="Arial" w:eastAsia="Times New Roman" w:hAnsi="Arial" w:cs="Arial"/>
          <w:color w:val="000000"/>
          <w:lang w:eastAsia="es-CO"/>
        </w:rPr>
        <w:t>Artículo 2.1.3.1.8. Restitución de los recursos de la cobertura. Las sumas provenientes de las restituciones de recursos que deban realizar los establecimientos de crédito y las cajas de compensación familiar al FRECH - Ley 1450 de 2011 respecto de créditos cuyos deudores o locatarios no tengan derecho a la cobertura o que se haya entregado en exceso, o por haber perdido la posibilidad de realizar el intercambio de flujos de la cobertura, o cualquier otra suma que deba restituirse, serán trasladadas a Fonvivienda y de este a la Dirección General de Crédito Público y Tesoro Nacional del Ministerio de Hacienda y Crédito Público. Fonvivienda impartirá las instrucciones para la restitución de estos recursos.  </w:t>
      </w:r>
    </w:p>
    <w:p w14:paraId="71A9C6A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58" w:name="ver_30200394"/>
      <w:bookmarkStart w:id="759" w:name="ver_30072320"/>
      <w:bookmarkEnd w:id="757"/>
      <w:bookmarkEnd w:id="758"/>
    </w:p>
    <w:p w14:paraId="193663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2.1.3.1.9. Convenio interadministrativo. Para efecto de determinar las condiciones en que debe realizarse la permuta financiera de tasa de interés pactada sobre los créditos y contratos de leasing habitacional objeto de cobertura, el Fondo Nacional de Vivienda (Fonvivienda) y el Banco de la República, como administrador del FRECH, suscribirán un convenio interadministrativo. </w:t>
      </w:r>
    </w:p>
    <w:p w14:paraId="4115BED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60" w:name="ver_30200395"/>
      <w:bookmarkStart w:id="761" w:name="ver_30072322"/>
      <w:bookmarkEnd w:id="759"/>
      <w:bookmarkEnd w:id="760"/>
    </w:p>
    <w:p w14:paraId="7A482E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2.1.3.1.10. Contratos marco de permuta financiera de tasas de interés. Los establecimientos de crédito y las cajas de compensación familiar interesados en acceder a la cobertura que ofrece el Gobierno nacional a través del FRECH - Ley 1450 de 2011, deberán celebrar con el Banco de la República, como administrador del FRECH, un contrato marco de permuta financiera de tasas de interés para realizar el intercambio de flujos derivado de la cobertura prevista en este capítulo.  </w:t>
      </w:r>
    </w:p>
    <w:p w14:paraId="3E394F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A190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Dichos contratos marco deberán tener en cuenta de conformidad con lo dispuesto en este capítulo y demás normas que lo reglamenten, modifiquen, adicionen, complementen o sustituyan, entre otras, las siguientes obligaciones:  </w:t>
      </w:r>
    </w:p>
    <w:p w14:paraId="4C41D6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BC7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los establecimientos de crédito y cajas de compensación familiar:  </w:t>
      </w:r>
    </w:p>
    <w:p w14:paraId="1E0799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A4BD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Informar al FRECH - Ley 1450 de 2011 para su registro, los créditos y contratos de leasing habitacional elegibles con derecho a la cobertura, de acuerdo con lo dispuesto en este capítulo;  </w:t>
      </w:r>
    </w:p>
    <w:p w14:paraId="5F10F6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BC0F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Presentar al FRECH - Ley 1450 de 2011 la cuenta de cobro correspondiente a los créditos desembolsados o a los contratos de leasing habitacional con derecho a la cobertura, registrados en el FRECH - Ley 1450 de 2011, por el valor neto del intercambio de flujos derivado de la permuta financiera, de acuerdo con lo dispuesto en este capítulo;  </w:t>
      </w:r>
    </w:p>
    <w:p w14:paraId="519D97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C2E3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Certificar al Banco de la República, como administrador del FRECH:  </w:t>
      </w:r>
    </w:p>
    <w:p w14:paraId="40AFE6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1F15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Que los créditos o contratos de leasing habitacional objeto de la cobertura cumplen los requisitos y condiciones establecidos para el acceso y vigencia de la cobertura de tasa de interés, señalados en el artículo 2.1.3.1.2, el numeral 3 del artículo 2.1.3.1.3 y los artículos 2.1.3.1.4, 2.1.3.1.8 y 2.1.3.1.11, de este capítulo.  </w:t>
      </w:r>
    </w:p>
    <w:p w14:paraId="3E7D74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ED77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La veracidad de toda la información enviada al FRECH - Ley 1450 de 2011, en concordancia con los requisitos y condiciones para el acceso, vigencia, terminación anticipada, de la cobertura de tasa de interés y aquella relacionada con el intercambio de flujos, establecidos en este capítulo y en la normativa aplicable.  </w:t>
      </w:r>
    </w:p>
    <w:p w14:paraId="4A18E1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8A7F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iii) Los créditos o contratos de leasing habitacional registrados en el FRECH - Ley 1450 de 2011, que no tengan el derecho a la cobertura y las terminaciones anticipadas de la misma, de acuerdo con lo dispuesto en este capítulo.  </w:t>
      </w:r>
    </w:p>
    <w:p w14:paraId="573C06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DB03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Suministrar la información que requiera el Banco de la República para la realización de la permuta financiera en la oportunidad que se establezca para el efecto;  </w:t>
      </w:r>
    </w:p>
    <w:p w14:paraId="511F88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C276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Restituir a Fonvivienda los recursos de que trata el artículo 2.1.3.1.8 del presente capítulo.  </w:t>
      </w:r>
    </w:p>
    <w:p w14:paraId="5C45F4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C11E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el Banco de la República:  </w:t>
      </w:r>
    </w:p>
    <w:p w14:paraId="45B90C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16AB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Validar que el contenido de la información remitida por los establecimientos de crédito y las cajas de compensación familiar al FRECH - Ley 1450 de 2011, para efectos del registro de los créditos desembolsados o contratos de leasing habitacional con derecho a la cobertura y para el pago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sea consistente con el presente capítulo y su reglamentación;  </w:t>
      </w:r>
    </w:p>
    <w:p w14:paraId="6BB548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A216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Registrar en el FRECH - Ley 1450 de 2011, atendiendo la fecha de recibo en el Banco de la República en orden de llegada, los créditos desembolsados o contratos de leasing habitacional con derecho a la cobertura, teniendo en cuenta el número de coberturas disponibles para los créditos y contratos de leasing establecidos por el Fondo Nacional de Vivienda (Fonvivienda) y el número de créditos y contratos de leasing habitacional con cobertura registrados en el FRECH - Ley 1450 de 2011, de acuerdo con lo informado por los establecimientos de crédito y las cajas de compensación familiar;  </w:t>
      </w:r>
    </w:p>
    <w:p w14:paraId="793861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F516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Pagar el valor neto del intercambio de flujos derivado de la permuta financiera de acuerdo con las instrucciones que para el efecto imparta el Fondo Nacional de Vivienda (Fonvivienda);  </w:t>
      </w:r>
    </w:p>
    <w:p w14:paraId="0F6B13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DC66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Excluir de la cobertura los créditos o contratos de leasing habitacional registrados en el FRECH - Ley 1450 de 2011 que no tengan derecho a esta y registrar las terminaciones anticipadas de la misma, así como los créditos o contratos respecto de los cuales no sea posible realizar el intercambio de flujos, de conformidad con la información presentada por los establecimientos de crédito y las cajas de compensación familiar;  </w:t>
      </w:r>
    </w:p>
    <w:p w14:paraId="3744B0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4485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Informar mensualmente a los establecimientos de crédito, a las cajas de compensación familiar y a Fonvivienda, el número de créditos desembolsados y los contratos de leasing habitacional con derecho a la cobertura registrados en el FRECH - Ley 1450 de 2011. Adicionalmente, a Fonvivienda se remitirá mensualmente una relación de los beneficiarios de cobertura.  </w:t>
      </w:r>
    </w:p>
    <w:p w14:paraId="1CD4E1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CD54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contratos marco se estipulará que los establecimientos de crédito y las cajas de compensación familiar perderán la posibilidad de realizar el intercambio de flujos de la cobertura en los eventos que defina Fonvivienda, cuando haya lugar a ello, de acuerdo con la naturaleza y propósito de dicho mecanismo.  </w:t>
      </w:r>
    </w:p>
    <w:p w14:paraId="393098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68C7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todo caso el registro y pago de la cobertura estará condicionada a la suscripción de los contratos marco aquí establecidos, entre los establecimientos de crédito o las cajas de compensación familiar y el Banco de la República.  </w:t>
      </w:r>
    </w:p>
    <w:p w14:paraId="06BFDA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B0F78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62" w:name="ver_30200396"/>
      <w:bookmarkStart w:id="763" w:name="ver_30072324"/>
      <w:bookmarkEnd w:id="761"/>
      <w:bookmarkEnd w:id="762"/>
      <w:r w:rsidRPr="009342F9">
        <w:rPr>
          <w:rFonts w:ascii="Arial" w:eastAsia="Times New Roman" w:hAnsi="Arial" w:cs="Arial"/>
          <w:color w:val="000000"/>
          <w:lang w:eastAsia="es-CO"/>
        </w:rPr>
        <w:t>Artículo 2.1.3.1.11. Responsabilidad de los establecimientos de crédito y las cajas de compensación familiar. Los establecimientos de crédito y las cajas de compensación familiar serán los únicos responsables de verificar el cumplimiento de los requisitos y condiciones establecidos para el acceso, vigencia, y terminación anticipada de la cobertura de tasa de interés a los créditos o contratos de leasing habitacional de que trata el presente capítulo; así como de la veracidad de la información presentada al FRECH - Ley 1450 de 2011 y del cumplimiento de las obligaciones contenidas en el contrato marco que suscriba con el Banco de la República.  </w:t>
      </w:r>
    </w:p>
    <w:p w14:paraId="6E13DE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4D23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y las cajas de compensación familiar deberán informar a los potenciales deudores de créditos de vivienda y locatarios de contratos de leasing habitacional acerca de las condiciones de acceso, vigencia, y terminación anticipada de la cobertura, en las condiciones establecidas en el presente capítulo y demás normas que lo reglamenten, complementen, adicionen, modifiquen o sustituyan, así como las demás condiciones que establezcan la Superintendencia Financiera de Colombia para los establecimientos de crédito y la Superintendencia del Subsidio Familiar para las cajas de compensación familiar.  </w:t>
      </w:r>
    </w:p>
    <w:p w14:paraId="29514D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199D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y las cajas de compensación familiar no podrán desembolsar créditos o suscribir contratos de leasing con derecho a la cobertura, sin haber recibido de parte de los potenciales deudores de los créditos y locatarios de leasing habitacional, según sea el caso, la manifestación escrita prevista en el artículo 2.1.3.1.3 de este capítulo.  </w:t>
      </w:r>
    </w:p>
    <w:p w14:paraId="04C696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8ADF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y las cajas de compensación familiar verificarán, lo dispuesto en el numeral 1 del artículo 2.1.3.1.3 únicamente con base en los documentos que para el efecto establezca Fonvivienda. Así mismo, verificarán lo dispuesto en el numeral 2 del citado artículo, únicamente mediante consulta a las bases de datos que disponga Fonvivienda. Con dichas verificaciones se acreditará el cumplimiento de las condiciones antes mencionadas y no habrá lugar a verificaciones adicionales por parte del Banco de la República, como administrador del FRECH.  </w:t>
      </w:r>
    </w:p>
    <w:p w14:paraId="57B81B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F782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los establecimientos de crédito y las cajas de compensación familiar deberán informar al deudor o locatario: a) que su cobertura se encuentra sujeta a que en el momento del desembolso o al inicio del contrato de leasing no se hayan agotado las coberturas disponibles y b) en el extracto de la obligación, el cálculo y aplicación de la cobertura, y remitir dentro de la proyección anual de los créditos individuales de vivienda lo que corresponda a la discriminación de los valores del beneficio.  </w:t>
      </w:r>
    </w:p>
    <w:p w14:paraId="4E579E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7FB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establecimientos de crédito y las cajas de compensación familiar deberán implementar un mecanismo que les permita verificar al momento de efectuar el desembolso del crédito o del inicio del contrato de leasing habitacional:  </w:t>
      </w:r>
    </w:p>
    <w:p w14:paraId="1FFE19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26EE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La existencia de créditos y contratos de leasing habitacional con cobertura disponible para cada uno de los segmentos de vivienda establecidos y, en esa medida, no podrán desembolsar créditos o dar inicio del contrato de leasing habitacional con derecho a la cobertura, en exceso del número de coberturas que establezca el Fondo Nacional de Vivienda (Fonvivienda), so pena de asumir el pago de la cobertura con sus propios recursos;  </w:t>
      </w:r>
    </w:p>
    <w:p w14:paraId="5A9B21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5914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Que la cobertura se otorgue únicamente a un crédito o contrato de leasing habitacional y que aquella se aplique a todos los deudores del crédito o locatarios del contrato de leasing habitacional, a cualquier título. Así mismo, deberán verificar que los potenciales deudores o locatarios no hayan sido beneficiarios, a cualquier título, de la cobertura establecida en el presente capítulo o de aquella otorgada en desarrollo de lo dispuesto en el Decreto Único del Sector de Hacienda y Crédito Público y las normas que lo reglamenten, modifiquen, adicionen, complementen o sustituyan.  </w:t>
      </w:r>
    </w:p>
    <w:p w14:paraId="506FE1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1D37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Corresponderá a los establecimientos de crédito y a las cajas de compensación familiar, determinar al momento del inicio del contrato leasing o del desembolso del crédito si tienen derecho a la cobertura y en este evento, deberá informarlo al Banco de la República para efectos de su registro y pago de la cobertura.  </w:t>
      </w:r>
    </w:p>
    <w:p w14:paraId="4EEF10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65EC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uso de los recursos otorgados como cobertura no podrán destinarse a propósitos diferentes a los indicados en el presente capítulo y las normas que lo reglamenten, complementen, modifiquen, adicionen o sustituyan, so pena de incurrir en la conducta descrita en el artículo 311 del Código Penal”.  </w:t>
      </w:r>
    </w:p>
    <w:p w14:paraId="7C6B6551" w14:textId="692D03ED" w:rsidR="00FC79C1" w:rsidRPr="009342F9" w:rsidRDefault="00FC79C1" w:rsidP="00683694">
      <w:pPr>
        <w:spacing w:after="0" w:line="240" w:lineRule="auto"/>
        <w:jc w:val="center"/>
        <w:rPr>
          <w:rFonts w:ascii="Arial" w:eastAsia="Times New Roman" w:hAnsi="Arial" w:cs="Arial"/>
          <w:b/>
          <w:bCs/>
          <w:color w:val="000000"/>
          <w:lang w:eastAsia="es-CO"/>
        </w:rPr>
      </w:pPr>
    </w:p>
    <w:p w14:paraId="3F1ACDE3"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764" w:name="ver_30072325"/>
      <w:bookmarkEnd w:id="763"/>
      <w:bookmarkEnd w:id="764"/>
      <w:r w:rsidRPr="009342F9">
        <w:rPr>
          <w:rFonts w:ascii="Arial" w:eastAsia="Times New Roman" w:hAnsi="Arial" w:cs="Arial"/>
          <w:b/>
          <w:bCs/>
          <w:color w:val="000000"/>
          <w:lang w:eastAsia="es-CO"/>
        </w:rPr>
        <w:t>TÍTULO 4</w:t>
      </w:r>
    </w:p>
    <w:p w14:paraId="025941E1"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ARRENDAMIENTO URBANO</w:t>
      </w:r>
    </w:p>
    <w:p w14:paraId="3124AA98"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354101FF"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19F66264"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REGLAS SOBRE SERVICIOS PÚBLICOS DOMICILIARIOS</w:t>
      </w:r>
    </w:p>
    <w:p w14:paraId="1C295D2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65" w:name="ver_30072326"/>
      <w:bookmarkEnd w:id="765"/>
    </w:p>
    <w:p w14:paraId="79E6D4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2.1.4.1.1. Ámbito de aplicación. El presente capítulo será aplicable a los contratos celebrados para el arrendamiento de vivienda urbana, de conformidad con la Ley 820 de 2003. Así mismo se aplicará a los contratos de arrendamiento de vivienda urbana celebrados en vigencia la Ley 56 de 1985, si las partes del contrato de común acuerdo se acogen a los términos de la Ley 820 de 2003. </w:t>
      </w:r>
    </w:p>
    <w:p w14:paraId="59975EF3" w14:textId="4A5AFC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66" w:name="ver_30072327"/>
      <w:bookmarkEnd w:id="766"/>
    </w:p>
    <w:p w14:paraId="1F2268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2.1.4.1.2. Pago de los servicios públicos domiciliarios. Cuando un inmueble sea entregado en arrendamiento, mediante contrato verbal o escrito, y el pago de los servicios públicos corresponda al arrendatario, el arrendador del inmueble podrá mantener la solidaridad en los términos establecidos en el artículo 130 de la Ley 142 de 1994, modificado por el artículo 18 de la Ley 689 de 2001 o atender el procedimiento señalado en el presente capítulo, caso en el cual no será responsable solidariamente en el pago de los servicios públicos domiciliarios y el inmueble no quedará afecto al pago de los mismos. </w:t>
      </w:r>
    </w:p>
    <w:p w14:paraId="71847A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67" w:name="ver_30072328"/>
      <w:bookmarkEnd w:id="767"/>
    </w:p>
    <w:p w14:paraId="024E2F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2.1.4.1.3. Clases de garantías. Para efectos de la aplicación del numeral 1 del artículo 15 de la Ley 820 de 2003, se considerarán como garantías o fianzas las siguientes: depósitos en dinero a favor de las Entidades o Empresas de Servicios Públicos Domiciliarios, garantías constituidas u otorgadas ante Instituciones Financieras o Fiduciarias, póliza de seguros, fiador, endoso de títulos y/o garantías, fiducia y encargo fiduciario, así como cualquiera otra que conforme a la ley cumpla con dicha finalidad. </w:t>
      </w:r>
    </w:p>
    <w:p w14:paraId="311FD5DE" w14:textId="77777777" w:rsidR="00176ACC" w:rsidRDefault="00176ACC" w:rsidP="00FC79C1">
      <w:pPr>
        <w:spacing w:after="0" w:line="240" w:lineRule="auto"/>
        <w:jc w:val="both"/>
        <w:rPr>
          <w:rFonts w:ascii="Arial" w:eastAsia="Times New Roman" w:hAnsi="Arial" w:cs="Arial"/>
          <w:color w:val="000000"/>
          <w:lang w:eastAsia="es-CO"/>
        </w:rPr>
      </w:pPr>
    </w:p>
    <w:p w14:paraId="322349DD" w14:textId="5208A7F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2.1.4.1.4. Depósito en dinero a favor de la entidad o empresa prestadora de servicios públicos domiciliarios. Para la constitución de depósitos en dinero a favor de la entidad o empresa de servicios públicos domiciliarios, se seguirá el siguiente procedimiento: </w:t>
      </w:r>
    </w:p>
    <w:p w14:paraId="0ED55E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937B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arrendador y/o el arrendatario depositarán ante la institución financiera señalada por la entidad o empresa de servicios públicos domiciliarios, a su favor, y a título de depósito una suma igual al valor de la garantía señalada en el artículo 2.1.4.1.6 de este capítulo. </w:t>
      </w:r>
    </w:p>
    <w:p w14:paraId="76EED3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413A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Denunciada la terminación del contrato por parte del arrendador y/o el arrendatario, la institución financiera, previa autorización escrita de la empresa prestadora de servicios públicos, devolverá al depositante dentro de los 20 días hábiles siguientes las sumas de dinero depositadas, de las cuales podrá descontar el valor de los servicios prestados hasta la fecha del denuncio de terminación. </w:t>
      </w:r>
    </w:p>
    <w:p w14:paraId="385E68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E2E3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o empresa de servicios públicos domiciliarios podrá pagarse contra el depósito constituido las facturas no canceladas. </w:t>
      </w:r>
    </w:p>
    <w:p w14:paraId="534754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8DFE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dineros entregados en depósito, junto con sus rendimientos, serán de propiedad del constituyente y en consecuencia a la terminación del contrato inicial o de cualquiera de sus prórrogas, serán reembolsados a este. </w:t>
      </w:r>
    </w:p>
    <w:p w14:paraId="7604F46C" w14:textId="77777777" w:rsidR="00176ACC" w:rsidRDefault="00176ACC" w:rsidP="00FC79C1">
      <w:pPr>
        <w:spacing w:after="0" w:line="240" w:lineRule="auto"/>
        <w:jc w:val="both"/>
        <w:rPr>
          <w:rFonts w:ascii="Arial" w:eastAsia="Times New Roman" w:hAnsi="Arial" w:cs="Arial"/>
          <w:color w:val="000000"/>
          <w:lang w:eastAsia="es-CO"/>
        </w:rPr>
      </w:pPr>
    </w:p>
    <w:p w14:paraId="2E9850A2" w14:textId="49B669C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2.1.4.1.5. Denuncio del contrato de arrendamiento. El arrendador y/o el arrendatario deberá informar a las Entidades o Empresas de Servicios Públicos domiciliarios, a través del formato previsto en el presente capítulo y con la información mínima exigida en el artículo 2.1.4.1.8, de la existencia o terminación del contrato de arrendamiento. </w:t>
      </w:r>
    </w:p>
    <w:p w14:paraId="245A2D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9D8C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Si el arrendador incumple con su obligación de denunciar la existencia o terminación del contrato de arrendamiento, el propietario o poseedor será solidario en los términos establecidos por el artículo 30 Ley 142 de 1994, modificado por el artículo 18 de la Ley 689 de 2001. </w:t>
      </w:r>
    </w:p>
    <w:p w14:paraId="49EB3FD5" w14:textId="77777777" w:rsidR="00176ACC" w:rsidRDefault="00176ACC" w:rsidP="00FC79C1">
      <w:pPr>
        <w:spacing w:after="0" w:line="240" w:lineRule="auto"/>
        <w:jc w:val="both"/>
        <w:rPr>
          <w:rFonts w:ascii="Arial" w:eastAsia="Times New Roman" w:hAnsi="Arial" w:cs="Arial"/>
          <w:color w:val="000000"/>
          <w:lang w:eastAsia="es-CO"/>
        </w:rPr>
      </w:pPr>
    </w:p>
    <w:p w14:paraId="0ABD1680" w14:textId="586586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2.1.4.1.6. Valor de la garantía o depósito. El valor de la garantía o depósito no podrá exceder dos veces el valor del cargo fijo más dos veces el valor por consumo promedio del servicio por estrato en un período de facturación. El cálculo del valor promedio de consumo por estrato en un período de facturación se realizará utilizando el consumo promedio del estrato al cual pertenece el inmueble a ser arrendado de los tres últimos períodos de facturación, aumentado en un cincuenta por ciento (50%). </w:t>
      </w:r>
    </w:p>
    <w:p w14:paraId="1314F3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CF89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entidades o empresas de servicios públicos domiciliarios suministrarán esa información y la divulgarán periódicamente. </w:t>
      </w:r>
    </w:p>
    <w:p w14:paraId="25E3EF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6CB0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1º. Si el promedio de consumo del arrendatario fuere superior al promedio del estrato, la entidad o empresa puede ajustar hasta una vez al año el valor del depósito o la garantía de acuerdo con los promedios de consumo del arrendatario, considerando los tres últimos períodos de facturación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48B853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591E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Los ajustes a las garantías o depósitos previstos en el parágrafo 1º del presente artículo son a cargo del arrendatario. El arrendatario, previa notificación por parte de la entidad o empresa de servicios públicos domiciliarios, deberá modificar la garantía o depósito. </w:t>
      </w:r>
    </w:p>
    <w:p w14:paraId="0FE1EF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BFF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3º. En el caso de las entidades o empresas prestadoras del servicio de telecomunicaciones se tendrá en cuenta el cargo por unidad de consumo, el cual se determinará incluyendo el promedio de todos los servicios telefónicos tomados de que trata la Ley 142 de 1994. </w:t>
      </w:r>
    </w:p>
    <w:p w14:paraId="2A9734F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68" w:name="ver_30072335"/>
      <w:bookmarkEnd w:id="768"/>
    </w:p>
    <w:p w14:paraId="05D84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2.1.4.1.7. De las otras garantías. Las garantías constituidas tendrán como mínimo una vigencia igual al plazo del contrato de arrendamiento. Vencido el término inicial en caso de ser renovado, el arrendatario deberá renovar también la garantía, de conformidad con lo señalado en este capítulo. </w:t>
      </w:r>
    </w:p>
    <w:p w14:paraId="555A27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9E09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Una vez recibida la documentación respectiva, las Entidades o Empresas de Servicios Públicos domiciliarios tendrán un plazo máximo de diez (10) días hábiles contados a partir de la radicación del formato en la entidad o empresa correspondiente, para aceptarla. Si la garantía presentada ha sido expedida por instituciones vigiladas por la Superintendencia Bancaria y cumplieren con los requisitos de los artículos 822 y siguientes del Código de Comercio, serán de obligatoria aceptación por parte de las Entidades o Empresas de Servicios Públicos Domiciliarios. </w:t>
      </w:r>
    </w:p>
    <w:p w14:paraId="0FEF60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43B6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de que la entidad o empresa no acepte la garantía remitida, deberá informarlo especificando las causas al arrendador y al arrendatario para que realice los ajustes necesarios. En este caso se iniciarán nuevamente los términos señalados en el inciso anterior. </w:t>
      </w:r>
    </w:p>
    <w:p w14:paraId="4B16004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69" w:name="ver_30072336"/>
      <w:bookmarkEnd w:id="769"/>
    </w:p>
    <w:p w14:paraId="26152C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2.1.4.1.8. Formatos para la denuncia del arriendo y su terminación. Las entidades o empresas de servicios públicos domiciliarios elaborarán y entregarán, a los usuarios que lo requieran, los formatos para la denuncia del contrato de arrendamiento y de su terminación. </w:t>
      </w:r>
    </w:p>
    <w:p w14:paraId="154FCD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9D95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formato de denuncia deberá contener como mínimo: </w:t>
      </w:r>
    </w:p>
    <w:p w14:paraId="058903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5A6B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Nombre, dirección e identificación del arrendador. </w:t>
      </w:r>
    </w:p>
    <w:p w14:paraId="4BD067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22C5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Identificación del inmueble con dirección, matrícula inmobiliaria y cédula catastral cuando aplique. </w:t>
      </w:r>
    </w:p>
    <w:p w14:paraId="71F8E7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CA9E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Nombre, dirección e identificación del o los arrendatarios. </w:t>
      </w:r>
    </w:p>
    <w:p w14:paraId="1C3D7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13E3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Fecha de iniciación y la de terminación del contrato de arrendamiento. </w:t>
      </w:r>
    </w:p>
    <w:p w14:paraId="220DB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E48E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Clase y tipo de garantía. </w:t>
      </w:r>
    </w:p>
    <w:p w14:paraId="15284B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F0BA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Entidad que expide la garantía. </w:t>
      </w:r>
    </w:p>
    <w:p w14:paraId="3F4239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9C29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Vigencia de la garantía. </w:t>
      </w:r>
    </w:p>
    <w:p w14:paraId="03F372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6FDB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Anexos: Comprobante del depósito u original de la garantía. </w:t>
      </w:r>
    </w:p>
    <w:p w14:paraId="373CE0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7307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Dicho formulario debe ser suscrito por el arrendador y arrendatario, bajo la gravedad de juramento, el cual se entenderá prestado con la firma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14F79701" w14:textId="2017C5BE" w:rsidR="00FC79C1" w:rsidRPr="009342F9" w:rsidRDefault="00FC79C1" w:rsidP="00176ACC">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70" w:name="ver_30072337"/>
      <w:bookmarkEnd w:id="770"/>
    </w:p>
    <w:p w14:paraId="7968AE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2.1.4.1.9. Solicitud de nuevos servicios. En el evento en que el arrendatario solicite a las entidades o empresas prestadoras de servicios públicos domiciliarios un nuevo servicio adicional a los básicos, se dará aplicación a lo establecido en el numeral sexto (6°) del artículo 15 de la Ley 820 de 2003. El arrendatario podrá en cualquier momento requerir la cancelación o suspensión del servicio adicional solicitado por él mismo, caso en el cual le será devuelta la garantía o depósito a que haya lugar, sin que necesariamente medie la terminación del contrato de arrendamiento. </w:t>
      </w:r>
    </w:p>
    <w:p w14:paraId="400598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933B40"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771" w:name="ver_30072339"/>
      <w:bookmarkEnd w:id="771"/>
      <w:r w:rsidRPr="009342F9">
        <w:rPr>
          <w:rFonts w:ascii="Arial" w:eastAsia="Times New Roman" w:hAnsi="Arial" w:cs="Arial"/>
          <w:b/>
          <w:bCs/>
          <w:color w:val="000000"/>
          <w:lang w:eastAsia="es-CO"/>
        </w:rPr>
        <w:t>CAPÍTULO 2</w:t>
      </w:r>
    </w:p>
    <w:p w14:paraId="6354B83A"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INSPECCIÓN, VIGILANCIA Y CONTROL DE LA ACTIVIDAD DE ARRENDAMIENTO</w:t>
      </w:r>
    </w:p>
    <w:p w14:paraId="3E296882"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442C68D4"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76BE6C1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MATRÍCULA DE ARRENDADOR</w:t>
      </w:r>
    </w:p>
    <w:p w14:paraId="0245E82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72" w:name="ver_30072340"/>
      <w:bookmarkEnd w:id="772"/>
    </w:p>
    <w:p w14:paraId="4EE8F2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2.1.4.2.1.1. De las autoridades competentes. Para efectos de la armónica y correcta aplicación de lo dispuesto en los artículos 28, 29, 30, 32 y 33 de la Ley 820 de 2003, la Alcaldía Mayor de Bogotá, D. C., la Gobernación del Departamento Archipiélago de San Andrés, Providencia y Santa Catalina y las alcaldías de los municipios y distritos del país, son las autoridades administrativas competentes para ejercer las funciones relativas a la matrícula de arrendadores de que trata el artículo 28 de la Ley 820 de 2003. </w:t>
      </w:r>
    </w:p>
    <w:p w14:paraId="24D58E7F" w14:textId="77777777" w:rsidR="00176ACC" w:rsidRDefault="00176ACC" w:rsidP="00FC79C1">
      <w:pPr>
        <w:spacing w:after="0" w:line="240" w:lineRule="auto"/>
        <w:jc w:val="both"/>
        <w:rPr>
          <w:rFonts w:ascii="Arial" w:eastAsia="Times New Roman" w:hAnsi="Arial" w:cs="Arial"/>
          <w:color w:val="000000"/>
          <w:lang w:eastAsia="es-CO"/>
        </w:rPr>
      </w:pPr>
    </w:p>
    <w:p w14:paraId="51E18AE1" w14:textId="1D140A2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2.1.4.2.1.2. Sistema de registro de la matrícula de arrendadores. Las autoridades señaladas en el artículo primero del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deberán llevar en forma sistematizada un registro consolidado de las personas naturales o jurídicas que en cumplimiento de lo dispuesto en el artículo 28 de la Ley 820 de 2003 estén obligadas a matricularse como arrendadores. </w:t>
      </w:r>
    </w:p>
    <w:p w14:paraId="5499A9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0418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Surtido el trámite de matrícula e incorporada la información correspondiente en los registros de las autoridades competentes, estas deberán expedir un documento en el que se indique como mínimo, la identificación de la persona autorizada para ejercer las actividades, su domicilio y dirección, y el número de matrícula asignado. Dicho documento acreditará el cumplimiento de la obligación de matricularse como arrendador, </w:t>
      </w:r>
      <w:proofErr w:type="gramStart"/>
      <w:r w:rsidRPr="009342F9">
        <w:rPr>
          <w:rFonts w:ascii="Arial" w:eastAsia="Times New Roman" w:hAnsi="Arial" w:cs="Arial"/>
          <w:color w:val="000000"/>
          <w:lang w:eastAsia="es-CO"/>
        </w:rPr>
        <w:t>y</w:t>
      </w:r>
      <w:proofErr w:type="gramEnd"/>
      <w:r w:rsidRPr="009342F9">
        <w:rPr>
          <w:rFonts w:ascii="Arial" w:eastAsia="Times New Roman" w:hAnsi="Arial" w:cs="Arial"/>
          <w:color w:val="000000"/>
          <w:lang w:eastAsia="es-CO"/>
        </w:rPr>
        <w:t xml:space="preserve"> por ende, la habilitación de la persona natural o jurídica titular del registro para ejercer las actividades de arrendamiento de bienes raíces propios o de terceros destinados a vivienda urbana, o de aquellas que ejerzan la intermediación comercial entre arrendadores o arrendatarios de tal tipo de bienes. </w:t>
      </w:r>
    </w:p>
    <w:p w14:paraId="061A8E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EAC1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trámites relativos a la solicitud de matrícula de arrendador no generarán costos o erogaciones a cargo de los solicitantes. </w:t>
      </w:r>
    </w:p>
    <w:p w14:paraId="201E0C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CC59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Cualquier modificación en la información suministrada para efectos de matricularse como arrendador ante las autoridades competentes deberá ser reportada por el titular del registro a más tardar dentro de los quince (15) días hábiles siguientes a la fecha en que se produzca la novedad correspondiente. </w:t>
      </w:r>
    </w:p>
    <w:p w14:paraId="299BBC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A2B7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Las personas naturales o jurídicas de que trata el artículo 28 de la Ley 820 de 2003 deberán matricularse en todos los municipios del país en los que desarrollen sus actividades. </w:t>
      </w:r>
    </w:p>
    <w:p w14:paraId="05DDF67B" w14:textId="77777777" w:rsidR="00176ACC" w:rsidRDefault="00176ACC" w:rsidP="00FC79C1">
      <w:pPr>
        <w:spacing w:after="0" w:line="240" w:lineRule="auto"/>
        <w:jc w:val="both"/>
        <w:rPr>
          <w:rFonts w:ascii="Arial" w:eastAsia="Times New Roman" w:hAnsi="Arial" w:cs="Arial"/>
          <w:color w:val="000000"/>
          <w:lang w:eastAsia="es-CO"/>
        </w:rPr>
      </w:pPr>
    </w:p>
    <w:p w14:paraId="05FF5099" w14:textId="71091E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2.1.4.2.1.3. Términos para la expedición de la matrícula de arrendador. Dentro de los ocho (8) días hábiles siguientes a la presentación por parte del interesado de la totalidad de la documentación señalada en el artículo 29 de la Ley 820 de 2003, las autoridades competentes deberán efectuar el registro de la matrícula de arrendador. En los eventos en que no se aporte la totalidad de los documentos requeridos para matricularse como arrendador, la autoridad competente requerirá por una sola vez al interesado para que complete o aclare la información suministrada según sea el caso. Dentro de los cinco días (5) siguientes a la entrega de la información complementaria requerida, la autoridad competente procederá a efectuar el registro correspondiente y a expedir la certificación a la que se hizo alusión en el inciso 2° del artículo 2° del presente capítulo, siempre que la información y documentación cumpla con los requisitos legales necesarios para acceder favorablemente a la solicitud. </w:t>
      </w:r>
    </w:p>
    <w:p w14:paraId="1868F934" w14:textId="77777777" w:rsidR="00176ACC" w:rsidRDefault="00176ACC" w:rsidP="00FC79C1">
      <w:pPr>
        <w:spacing w:after="0" w:line="240" w:lineRule="auto"/>
        <w:jc w:val="both"/>
        <w:rPr>
          <w:rFonts w:ascii="Arial" w:eastAsia="Times New Roman" w:hAnsi="Arial" w:cs="Arial"/>
          <w:color w:val="000000"/>
          <w:lang w:eastAsia="es-CO"/>
        </w:rPr>
      </w:pPr>
    </w:p>
    <w:p w14:paraId="2CB98FC0" w14:textId="55E6F59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2.1.4.2.1.4. Vigencia de la matrícula de arrendador. La matrícula se otorgará por una sola vez, tendrá vigencia por el término de un año y se renovará de manera automática cada año por la autoridad competente, sin necesidad de solicitud por parte del interesado. </w:t>
      </w:r>
    </w:p>
    <w:p w14:paraId="4A01F9E2" w14:textId="77777777" w:rsidR="00176ACC" w:rsidRDefault="00176ACC" w:rsidP="00FC79C1">
      <w:pPr>
        <w:spacing w:after="0" w:line="240" w:lineRule="auto"/>
        <w:jc w:val="both"/>
        <w:rPr>
          <w:rFonts w:ascii="Arial" w:eastAsia="Times New Roman" w:hAnsi="Arial" w:cs="Arial"/>
          <w:color w:val="000000"/>
          <w:lang w:eastAsia="es-CO"/>
        </w:rPr>
      </w:pPr>
    </w:p>
    <w:p w14:paraId="64FA8E9A" w14:textId="1690BF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2.1.4.2.1.5. Suspensión o revocatoria de la matrícula de arrendador. Sin perjuicio de la imposición de la sanción de multa a la que se refiere el artículo 34 de la Ley 820 de 2003, las autoridades competentes podrán suspender o revocar la matrícula de arrendador, cuando las personas matriculadas incurran de manera reiterada en las conductas descritas en los numerales 2, 3, 4, 5 y 6 del artículo citado y demás normas que la adicionen, modifiquen o sustituyan. </w:t>
      </w:r>
    </w:p>
    <w:p w14:paraId="7BA34694" w14:textId="517843B9" w:rsidR="00FC79C1" w:rsidRDefault="00FC79C1" w:rsidP="00FC79C1">
      <w:pPr>
        <w:spacing w:after="0" w:line="240" w:lineRule="auto"/>
        <w:jc w:val="both"/>
        <w:rPr>
          <w:rFonts w:ascii="Arial" w:eastAsia="Times New Roman" w:hAnsi="Arial" w:cs="Arial"/>
          <w:color w:val="000000"/>
          <w:lang w:eastAsia="es-CO"/>
        </w:rPr>
      </w:pPr>
      <w:bookmarkStart w:id="773" w:name="ver_30072345"/>
      <w:bookmarkEnd w:id="773"/>
    </w:p>
    <w:p w14:paraId="41D783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2.1.4.2.1.6. De la información pública. La información que repose en el registro de arrendadores relativa al otorgamiento, suspensión y/o revocación de la matrícula de arrendador será pública y el acceso a la misma será gratuito, en los términos y condiciones que definan las autoridades competentes. Será obligación de las entidades otorgantes de la matrícula de arrendador, velar por la oportuna y transparente divulgación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105AD859" w14:textId="4E1B65DD" w:rsidR="00FC79C1" w:rsidRPr="009342F9" w:rsidRDefault="00FC79C1" w:rsidP="00176ACC">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A9525"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774" w:name="ver_30072346"/>
      <w:bookmarkEnd w:id="774"/>
      <w:r w:rsidRPr="009342F9">
        <w:rPr>
          <w:rFonts w:ascii="Arial" w:eastAsia="Times New Roman" w:hAnsi="Arial" w:cs="Arial"/>
          <w:b/>
          <w:bCs/>
          <w:color w:val="000000"/>
          <w:lang w:eastAsia="es-CO"/>
        </w:rPr>
        <w:t>SECCIÓN 2</w:t>
      </w:r>
    </w:p>
    <w:p w14:paraId="64A85281"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INSPECCIÓN, VIGILANCIA Y CONTROL SOBRE LAS PERSONAS QUE EJERCEN ACTIVIDADES DE ARRENDAMIENTO DE BIENES RAÍCES PARA VIVIENDA URBANA</w:t>
      </w:r>
    </w:p>
    <w:p w14:paraId="2872033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75" w:name="ver_30072463"/>
      <w:bookmarkEnd w:id="775"/>
    </w:p>
    <w:p w14:paraId="38F150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2.1.4.2.2.1. De la inspección, vigilancia y control. Las personas señaladas en el artículo 28 de la Ley 820 de 2003 deberán emplear la debida diligencia en la prestación de los servicios a sus usuarios a fin de que estos reciban la atención debida en el desarrollo de las relaciones contractuales que se establezcan con aquellas y, en general, en el desenvolvimiento normal de sus operaciones. Para efectos de lo anterior, la Alcaldía Mayor de Bogotá D. C., la Gobernación del Departamento Archipiélago de San Andrés y Providencia y Santa Catalina, las alcaldías municipales y distritales podrán establecer sistemas de inspección, vigilancia y control dirigidos a: </w:t>
      </w:r>
    </w:p>
    <w:p w14:paraId="1CBB9E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CB93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Adelantar con prontitud y celeridad las averiguaciones e investigaciones que, de oficio o a petición de parte, fuere necesario llevar a cabo con el fin de verificar posibles irregularidades en el ejercicio de las actividades relacionadas con el arrendamiento de vivienda urbana o el incumplimiento de las obligaciones adquiridas en virtud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En virtud de lo anterior, podrán realizar visitas de inspección que les permitan recabar la información necesaria para desarrollar las funciones a su cargo. </w:t>
      </w:r>
    </w:p>
    <w:p w14:paraId="70E68D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C7FA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Velar porque las personas objeto de la inspección, vigilancia y control suministren a los usuarios de sus servicios y/o a sus contratantes, en forma clara y transparente, la información que les permita escoger las mejores alternativas y condiciones del mercado, y les facilite el conocimiento permanente de la ejecución de los contratos que suscriban. </w:t>
      </w:r>
    </w:p>
    <w:p w14:paraId="2DE3A7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A171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Efectuar un permanente y efectivo control del contenido de la publicidad de los bienes y servicios que prestan las personas señaladas en el artículo 28 de la Ley 820 de 2003, y de aquella que utilicen los demás oferentes de inmuebles para arrendamiento en el mercado, a fin de que la misma se ajuste a la realidad técnica, financiera y jurídica del servicio y bienes promovidos y a la normatividad vigente aplicable a la materia. El número de la matrícula de arrendador deberá figurar en todos los anuncios, avisos, o cualquier material publicitario que para anunciar sus servicios publiquen las personas señaladas en el artículo 28 de la Ley 820 de 2003 en cualquier medio de comunicación, así como también en la totalidad de la documentación relacionada con las actividades precontractuales y contractuales que se utilice en desarrollo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w:t>
      </w:r>
    </w:p>
    <w:p w14:paraId="797E8D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F817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Garantizar que los contratos de arrendamiento de inmuebles destinados a vivienda </w:t>
      </w:r>
      <w:proofErr w:type="gramStart"/>
      <w:r w:rsidRPr="009342F9">
        <w:rPr>
          <w:rFonts w:ascii="Arial" w:eastAsia="Times New Roman" w:hAnsi="Arial" w:cs="Arial"/>
          <w:color w:val="000000"/>
          <w:lang w:eastAsia="es-CO"/>
        </w:rPr>
        <w:t>urbana,</w:t>
      </w:r>
      <w:proofErr w:type="gramEnd"/>
      <w:r w:rsidRPr="009342F9">
        <w:rPr>
          <w:rFonts w:ascii="Arial" w:eastAsia="Times New Roman" w:hAnsi="Arial" w:cs="Arial"/>
          <w:color w:val="000000"/>
          <w:lang w:eastAsia="es-CO"/>
        </w:rPr>
        <w:t xml:space="preserve"> se celebren bajo condiciones que se adecuen integralmente a lo dispuesto en la Ley 820 de 2003 y demás normas que la adicionen o desarrollen. Así mismo, velar por que los contratos de administración de inmuebles para arrendamiento de vivienda urbana suscritos entre los propietarios y las personas dedicadas a la administración de los bienes con los propósitos indicados en la citada ley contemplen con precisión y claridad las obligaciones de las partes. Sobre el particular, deberá hacerse especial énfasis en aspectos relacionados con las obligaciones adquiridas en materias, tales como forma de pago y valor de la remuneración por los servicios prestados, conservación de los inmuebles y la verificación sobre el cumplimiento de las estipulaciones contenidas en los reglamentos de propiedad horizontal cuando fuere el caso, y actividades a cargo del administrador frente a las personas con quien se celebren los contratos de arrendamiento de los bienes respectivos. </w:t>
      </w:r>
    </w:p>
    <w:p w14:paraId="76AB84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FDDF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Establecer y divulgar los procedimientos necesarios para presentar reclamaciones relacionadas con lo dispuesto en los numerales 1, 2, 3, 4, 5 y 6 del literal a) del artículo 33 de la Ley 820 de 2003. </w:t>
      </w:r>
    </w:p>
    <w:p w14:paraId="2277C1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4FF1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Establecer esquemas de divulgación que permitan conocer de manera clara y oportuna las sanciones establecidas a las personas sujetas a la inspección, vigilancia, y control por parte autoridades competentes. </w:t>
      </w:r>
    </w:p>
    <w:p w14:paraId="01003C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1838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Recopilar con la periodicidad y en los términos que las autoridades competentes establezcan, información proveniente de las personas señaladas en el artículo 28 de la Ley 820 de 2003 que entre otros aspectos incluya aquella atinente al tipo de bienes, precio promedio de los cánones de arrendamiento según su estratificación y ubicación, y número de contratos vigentes de arrendamiento y de administración para arriendo de inmuebles de vivienda urbana. </w:t>
      </w:r>
    </w:p>
    <w:p w14:paraId="19306E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FB65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conformidad con lo establecido en el literal b) del artículo 29 de la Ley 820 de 2003, las autoridades competentes deberán verificar que las personas señaladas en el artículo 28 de la Ley 820 de 2003 se abstengan de convenir con sus usuarios y/o contratantes cláusulas que por su carácter exorbitante puedan afectar el equilibrio contractual o impliquen erogaciones excesivas para acceder a los servicios ofrecidos. </w:t>
      </w:r>
    </w:p>
    <w:p w14:paraId="2F0121BB" w14:textId="77777777" w:rsidR="00176ACC" w:rsidRDefault="00176ACC" w:rsidP="00683694">
      <w:pPr>
        <w:spacing w:after="0" w:line="240" w:lineRule="auto"/>
        <w:jc w:val="center"/>
        <w:rPr>
          <w:rFonts w:ascii="Arial" w:eastAsia="Times New Roman" w:hAnsi="Arial" w:cs="Arial"/>
          <w:b/>
          <w:bCs/>
          <w:color w:val="000000"/>
          <w:lang w:eastAsia="es-CO"/>
        </w:rPr>
      </w:pPr>
      <w:bookmarkStart w:id="776" w:name="ver_30072464"/>
      <w:bookmarkEnd w:id="776"/>
    </w:p>
    <w:p w14:paraId="13729C6D" w14:textId="44B35643"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2EE7CE1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SOCIEDADES ESPECIALIZADAS DE ARRENDAMIENTO</w:t>
      </w:r>
    </w:p>
    <w:p w14:paraId="0DDA806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77" w:name="ver_30072465"/>
      <w:bookmarkEnd w:id="777"/>
    </w:p>
    <w:p w14:paraId="127BE7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2.1.4.3.1. Definiciones. Para los efectos del presente capítulo se entenderá por: </w:t>
      </w:r>
    </w:p>
    <w:p w14:paraId="366440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12C5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Sociedades especializadas en arriendo. Son aquellas creadas conforme a lo dispuesto en el Código de Comercio, y cuyo objeto social único es el arrendamiento de bienes inmuebles destinados o no a vivienda, construidos y/o adquiridos por dichas sociedades. Las sociedades especializadas en arriendo deberán añadir a su denominación social la expresión sociedad especializada en arriendo o la sigla “SEA”. </w:t>
      </w:r>
    </w:p>
    <w:p w14:paraId="4E2DD6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84DA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Vivienda urbana. Inmueble ubicado dentro del perímetro urbano y destinado a usos habitacionales, todo ello de conformidad con la definición de usos urbanos establecida en el Plan de Ordenamiento Territorial de cada municipio y/o en los instrumentos que lo desarrollen y complementen. </w:t>
      </w:r>
    </w:p>
    <w:p w14:paraId="36C681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5A7D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Vivienda de Interés Social, VIS. Aquella vivienda urbana cuyo valor, conforme a lo dispuesto en el artículo 2.1.4.3.5 del presente capítulo, es inferior o igual al límite de precio establecido por la Ley para este tipo de viviendas. </w:t>
      </w:r>
    </w:p>
    <w:p w14:paraId="429ACD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D3B8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Vivienda de Interés Social Nueva. Es aquella vivienda de interés social cuya licencia de construcción ha sido expedida con posterioridad al 10 de julio de 2003. </w:t>
      </w:r>
    </w:p>
    <w:p w14:paraId="4B6BAB02" w14:textId="6D60D026" w:rsidR="00FC79C1" w:rsidRDefault="00FC79C1" w:rsidP="00FC79C1">
      <w:pPr>
        <w:spacing w:after="0" w:line="240" w:lineRule="auto"/>
        <w:jc w:val="both"/>
        <w:rPr>
          <w:rFonts w:ascii="Arial" w:eastAsia="Times New Roman" w:hAnsi="Arial" w:cs="Arial"/>
          <w:color w:val="000000"/>
          <w:lang w:eastAsia="es-CO"/>
        </w:rPr>
      </w:pPr>
      <w:bookmarkStart w:id="778" w:name="ver_30072466"/>
      <w:bookmarkEnd w:id="778"/>
    </w:p>
    <w:p w14:paraId="7C8C4A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2.1.4.3.2. Activos en los que puede invertir las sociedades especializadas en arriendo. Las sociedades especializadas en arriendo deberán concentrar sus inversiones en activos correspondientes a vivienda urbana, a bienes inmuebles diferentes a vivienda, y a aquellos otros necesarios para el desarrollo de la actividad constructora. </w:t>
      </w:r>
    </w:p>
    <w:p w14:paraId="5E11ECF6" w14:textId="037401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79" w:name="ver_30072467"/>
      <w:bookmarkEnd w:id="779"/>
    </w:p>
    <w:p w14:paraId="70BC79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2.1.4.3.3. Revelación de información. Adicional a los requisitos exigidos en la ley y en los estatutos sociales, los informes de gestión rendidos por la alta gerencia de las sociedades especializadas en arriendo a su máximo órgano social al final de cada </w:t>
      </w:r>
      <w:proofErr w:type="gramStart"/>
      <w:r w:rsidRPr="009342F9">
        <w:rPr>
          <w:rFonts w:ascii="Arial" w:eastAsia="Times New Roman" w:hAnsi="Arial" w:cs="Arial"/>
          <w:color w:val="000000"/>
          <w:lang w:eastAsia="es-CO"/>
        </w:rPr>
        <w:t>ejercicio,</w:t>
      </w:r>
      <w:proofErr w:type="gramEnd"/>
      <w:r w:rsidRPr="009342F9">
        <w:rPr>
          <w:rFonts w:ascii="Arial" w:eastAsia="Times New Roman" w:hAnsi="Arial" w:cs="Arial"/>
          <w:color w:val="000000"/>
          <w:lang w:eastAsia="es-CO"/>
        </w:rPr>
        <w:t xml:space="preserve"> deberán contener una clara enumeración de los inmuebles poseídos al inicio, durante y al final del ejercicio, incluyendo localización, destinación, área y fecha de adquisición. También incluirán para cada inmueble el valor actualizado, el nombre del agente especializado que practicó el avalúo y los ingresos brutos producidos por concepto de cánones de arriendo. Estos listados de inmuebles deberán clasificarse por categorías VIS, Viviendas no VIS, y uso comercial. </w:t>
      </w:r>
    </w:p>
    <w:p w14:paraId="5D6015E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0" w:name="ver_30072468"/>
      <w:bookmarkEnd w:id="780"/>
    </w:p>
    <w:p w14:paraId="4A3467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2.1.4.3.4. Rentas exentas de las sociedades especializadas en arriendo. De conformidad con lo dispuesto en el inciso 1° y en el parágrafo del artículo 41 de la Ley 820 de 2003, están exentas del impuesto sobre la renta los ingresos que perciban las sociedades especializadas en arriendo, por concepto de cánones de arrendamiento de vivienda de interés social urbana nueva de su propiedad. </w:t>
      </w:r>
    </w:p>
    <w:p w14:paraId="57670E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A9E6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exención a que se refiere este artículo operará respecto de los cánones de arrendamiento de vivienda de interés social nueva que perciban durante los diez (10) años siguientes a la construcción de dichas viviendas. </w:t>
      </w:r>
    </w:p>
    <w:p w14:paraId="61D6F05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1" w:name="ver_30072470"/>
      <w:bookmarkEnd w:id="781"/>
    </w:p>
    <w:p w14:paraId="0DCF25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2.1.4.3.5. Determinación del valor de la Vivienda de Interés Social. Para efectos de determinar si un bien inmueble corresponde a Vivienda de Interés Social, </w:t>
      </w:r>
      <w:proofErr w:type="gramStart"/>
      <w:r w:rsidRPr="009342F9">
        <w:rPr>
          <w:rFonts w:ascii="Arial" w:eastAsia="Times New Roman" w:hAnsi="Arial" w:cs="Arial"/>
          <w:color w:val="000000"/>
          <w:lang w:eastAsia="es-CO"/>
        </w:rPr>
        <w:t>y</w:t>
      </w:r>
      <w:proofErr w:type="gramEnd"/>
      <w:r w:rsidRPr="009342F9">
        <w:rPr>
          <w:rFonts w:ascii="Arial" w:eastAsia="Times New Roman" w:hAnsi="Arial" w:cs="Arial"/>
          <w:color w:val="000000"/>
          <w:lang w:eastAsia="es-CO"/>
        </w:rPr>
        <w:t xml:space="preserve"> por ende, si es procedente la exención de que trata el artículo 41 de la Ley 820 de 2003 en cabeza de las sociedades especializadas en arriendo, el valor de las viviendas se determinará así: </w:t>
      </w:r>
    </w:p>
    <w:p w14:paraId="5ED02F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BD99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Cuando la sociedad adquiere la vivienda: El valor del inmueble será igual al precio estipulado en la respectiva escritura pública de adquisición. </w:t>
      </w:r>
    </w:p>
    <w:p w14:paraId="4BB99C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BC97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Cuando la sociedad construye la vivienda: El valor del inmueble deberá ser determinado por un perito </w:t>
      </w:r>
      <w:proofErr w:type="spellStart"/>
      <w:r w:rsidRPr="009342F9">
        <w:rPr>
          <w:rFonts w:ascii="Arial" w:eastAsia="Times New Roman" w:hAnsi="Arial" w:cs="Arial"/>
          <w:color w:val="000000"/>
          <w:lang w:eastAsia="es-CO"/>
        </w:rPr>
        <w:t>avaluador</w:t>
      </w:r>
      <w:proofErr w:type="spellEnd"/>
      <w:r w:rsidRPr="009342F9">
        <w:rPr>
          <w:rFonts w:ascii="Arial" w:eastAsia="Times New Roman" w:hAnsi="Arial" w:cs="Arial"/>
          <w:color w:val="000000"/>
          <w:lang w:eastAsia="es-CO"/>
        </w:rPr>
        <w:t xml:space="preserve"> inscrito en el Registro Nacional de </w:t>
      </w:r>
      <w:proofErr w:type="spellStart"/>
      <w:r w:rsidRPr="009342F9">
        <w:rPr>
          <w:rFonts w:ascii="Arial" w:eastAsia="Times New Roman" w:hAnsi="Arial" w:cs="Arial"/>
          <w:color w:val="000000"/>
          <w:lang w:eastAsia="es-CO"/>
        </w:rPr>
        <w:t>Avaluadores</w:t>
      </w:r>
      <w:proofErr w:type="spellEnd"/>
      <w:r w:rsidRPr="009342F9">
        <w:rPr>
          <w:rFonts w:ascii="Arial" w:eastAsia="Times New Roman" w:hAnsi="Arial" w:cs="Arial"/>
          <w:color w:val="000000"/>
          <w:lang w:eastAsia="es-CO"/>
        </w:rPr>
        <w:t xml:space="preserve">. En tales casos el perito, además de practicar el avalúo del inmueble, deberá certificar que el mismo es inferior al precio máximo legal de la Vivienda de Interés Social vigente al momento de realizar el respectivo </w:t>
      </w:r>
      <w:proofErr w:type="spellStart"/>
      <w:r w:rsidRPr="009342F9">
        <w:rPr>
          <w:rFonts w:ascii="Arial" w:eastAsia="Times New Roman" w:hAnsi="Arial" w:cs="Arial"/>
          <w:color w:val="000000"/>
          <w:lang w:eastAsia="es-CO"/>
        </w:rPr>
        <w:t>peritazgo</w:t>
      </w:r>
      <w:proofErr w:type="spellEnd"/>
      <w:r w:rsidRPr="009342F9">
        <w:rPr>
          <w:rFonts w:ascii="Arial" w:eastAsia="Times New Roman" w:hAnsi="Arial" w:cs="Arial"/>
          <w:color w:val="000000"/>
          <w:lang w:eastAsia="es-CO"/>
        </w:rPr>
        <w:t>. </w:t>
      </w:r>
    </w:p>
    <w:p w14:paraId="201A5B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33B2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condición de Vivienda de Interés Social de una unidad habitacional particular no se alterará por cambios en su valor comercial originados en valorizaciones posteriores del inmueble, o por la variación de la normatividad que defina este tipo de vivienda. </w:t>
      </w:r>
    </w:p>
    <w:p w14:paraId="3BCD038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2" w:name="ver_30072472"/>
      <w:bookmarkEnd w:id="782"/>
    </w:p>
    <w:p w14:paraId="430D88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2.1.4.3.6. Requisitos. Para la procedencia de la exención de que trata el artículo anterior, la sociedad especializada en arriendo deberá cumplir con los siguientes requisitos:  </w:t>
      </w:r>
    </w:p>
    <w:p w14:paraId="7928EF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80A0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Llevar en su contabilidad cuentas separadas tanto de los activos como de los ingresos por concepto de cánones de arrendamiento de vivienda de interés social nueva que da lugar a la exención, frente a los demás ingresos que perciba en el correspondiente período fiscal. </w:t>
      </w:r>
    </w:p>
    <w:p w14:paraId="0BA700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CAB7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Presentar, cuando la Dirección de Impuestos y Aduanas Nacionales lo exija, certificación suscrita por el representante legal y por el revisor fiscal y/o contador público de la sociedad, según corresponda, en la que conste: </w:t>
      </w:r>
    </w:p>
    <w:p w14:paraId="1BFF6E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2D7F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Monto de la inversión realizada en la adquisición de vivienda urbana de interés social nueva, en el respectivo año gravable; </w:t>
      </w:r>
    </w:p>
    <w:p w14:paraId="398133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AA6B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Precio de las viviendas de interés social nuevas en la fecha de su adquisición y/o valor a la fecha de terminación de su construcción, y manifestación expresa de que dicho valor era igual o inferior al precio máximo establecido para este tipo de viviendas en el artículo 104 de la Ley 812 de 2003, o en las disposiciones legales que lo modifiquen; </w:t>
      </w:r>
    </w:p>
    <w:p w14:paraId="20F622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A723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Monto total de los cánones percibidos por la sociedad en el respectivo período fiscal, originados en viviendas de interés social nuevas; </w:t>
      </w:r>
    </w:p>
    <w:p w14:paraId="2FF6EB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A43E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Monto total acumulado de las inversiones en adquisición de viviendas de interés social nuevas, cuyos cánones de arrendamiento tienen derecho a la exención; </w:t>
      </w:r>
    </w:p>
    <w:p w14:paraId="6DEE05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443B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Relación de las viviendas de las cuales provienen los ingresos relativos a las rentas objeto de la exención, que contenga: lugar de ubicación, número y fecha de la licencia de construcción, matrícula inmobiliaria e identificación de la Notaría, Círculo Notarial, número y fecha de escritura de compraventa. </w:t>
      </w:r>
    </w:p>
    <w:p w14:paraId="57BBF7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129B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Presentar, cuando la Dirección de Impuestos y Aduanas Nacionales lo exija, la escritura pública cuyo registro dio origen a la matrícula inmobiliaria y cédula catastral de la nueva unidad individual de vivienda adquirida por la sociedad. La fecha de otorgamiento de esta escritura se tendrá como fecha de inicio de los diez (10) años en los cuales opera el beneficio a que se refiere el artículo 41 de la Ley 820 de 2003. </w:t>
      </w:r>
    </w:p>
    <w:p w14:paraId="21E097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15AF76"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4. Presentar cuando la Dirección de Impuestos y Aduanas Nacionales lo exija, Certificación ex pedida por el constructor y el interventor de obra, relacionada con la fecha de terminación de la construcción de cada una de las viviendas de interés social nuevas construidas por la Sociedad Especializada en Arriendo, cuyos cánones de arrendamiento sean objeto de la exención. </w:t>
      </w:r>
    </w:p>
    <w:p w14:paraId="7D2B28AD" w14:textId="77777777" w:rsidR="006A76D3" w:rsidRPr="009342F9" w:rsidRDefault="006A76D3" w:rsidP="00FC79C1">
      <w:pPr>
        <w:spacing w:after="0" w:line="240" w:lineRule="auto"/>
        <w:jc w:val="both"/>
        <w:rPr>
          <w:rFonts w:ascii="Arial" w:eastAsia="Times New Roman" w:hAnsi="Arial" w:cs="Arial"/>
          <w:color w:val="000000"/>
          <w:lang w:eastAsia="es-CO"/>
        </w:rPr>
      </w:pPr>
      <w:bookmarkStart w:id="783" w:name="ver_30072474"/>
      <w:bookmarkEnd w:id="783"/>
    </w:p>
    <w:p w14:paraId="2267636B" w14:textId="7CD24F5A"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CAPÍTULO 4</w:t>
      </w:r>
    </w:p>
    <w:p w14:paraId="735DB96A"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FONDOS DE INVERSIÓN INMOBILIARIA</w:t>
      </w:r>
    </w:p>
    <w:p w14:paraId="7A6B095A"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6D9F048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087D93F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ASPECTOS GENERALES</w:t>
      </w:r>
    </w:p>
    <w:p w14:paraId="54A284B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4" w:name="ver_30072475"/>
      <w:bookmarkEnd w:id="784"/>
    </w:p>
    <w:p w14:paraId="79C9F8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2.1.4.4.1.1. Definiciones. Para los efectos del presente capítulo se entenderá por: </w:t>
      </w:r>
    </w:p>
    <w:p w14:paraId="543C3F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6CD0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Fondos de inversión inmobiliaria. Son aquellos administrados por sociedades administradoras de inversión y los fondos comunes especiales administrados por sociedades fiduciarias, cuyo objeto sea la inversión en inmuebles conforme lo establece el artículo 41 de la Ley 820 de 2003. Los fondos que tengan este objeto y que inviertan en bienes inmuebles como mínimo un sesenta por ciento (60%) del valor del fondo, estarán cobijados por el régimen y los beneficios establecidos en el presente capítulo. </w:t>
      </w:r>
    </w:p>
    <w:p w14:paraId="37780B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62C9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Dichos fondos deberán adicionar y anteceder a su denominación legal la expresión “Fondo de Inversión Inmobiliaria” o la sigla “FINMO”. </w:t>
      </w:r>
    </w:p>
    <w:p w14:paraId="4FEB2E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73E8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Fondos de inversión inmobiliaria abiertos con pacto de permanencia. Son aquellos en los cuales procede el retiro de aportes o la redención de derechos antes de la terminación del plazo previsto para la duración del fondo, sin perjuicio del cobro de las penalizaciones previstas en los contratos de vinculación al fondo. </w:t>
      </w:r>
    </w:p>
    <w:p w14:paraId="55BBBA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DEF7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Fondos de inversión inmobiliaria cerrados. Son aquellos en los que el contrato de vinculación al fondo solo permite a los inversionistas retirar sus aportes al final del plazo previsto para la duración del correspondiente fondo. </w:t>
      </w:r>
    </w:p>
    <w:p w14:paraId="0DB94A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7B3F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Inversionistas. Los constituyentes, adherentes, suscriptores o partícipes de los fondos de inversión inmobiliaria. </w:t>
      </w:r>
    </w:p>
    <w:p w14:paraId="4B4CA5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8522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Vivienda urbana. Inmueble ubicado dentro del perímetro urbano y destinado a usos habitacionales, todo ello de conformidad con la definición de usos urbanos establecida en el Plan de Ordenamiento Territorial de cada municipio y/o en los instrumentos que lo desarrollen y complementen. </w:t>
      </w:r>
    </w:p>
    <w:p w14:paraId="4C7726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028E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Vivienda de interés social. Aquella vivienda urbana que tiene un valor de adquisición para el fondo de Inversión Inmobiliaria, al momento de su ingreso al mismo, inferior o igual al límite de precio establecido por la ley para este tipo de viviendas. Para efectos de la aplicación de la exención de que trata el artículo 41 de la Ley 820 de 2003, la condición de vivienda de interés social no se alterará por cambios en su valor futuro, originados en valorizaciones o variación en la normatividad que defina este tipo de vivienda. </w:t>
      </w:r>
    </w:p>
    <w:p w14:paraId="071E17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8AB6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Vivienda de interés social nueva. Es aquella Vivienda de Interés Social cuya licencia de construcción haya sido expedida con posterioridad al 10 de julio de 2003. </w:t>
      </w:r>
    </w:p>
    <w:p w14:paraId="6C91B0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3D51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porcentaje mínimo al que se refiere el numeral 1 del presente artículo no aplicará durante el primer año de operación del fondo. </w:t>
      </w:r>
    </w:p>
    <w:p w14:paraId="1B10148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5" w:name="ver_30072476"/>
      <w:bookmarkEnd w:id="785"/>
    </w:p>
    <w:p w14:paraId="52EF82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2.1.4.4.1.2. Activos en los que puede invertir el fondo. Sin perjuicio de las inversiones obligatorias previstas en la ley, los fondos de inversión inmobiliaria podrán invertir exclusivamente en las siguientes clases de activos: </w:t>
      </w:r>
    </w:p>
    <w:p w14:paraId="497D19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39D8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Clase 1. Vivienda urbana. </w:t>
      </w:r>
    </w:p>
    <w:p w14:paraId="4936C4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2D17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Clase 2. Bienes inmuebles destinados a actividades comerciales. </w:t>
      </w:r>
    </w:p>
    <w:p w14:paraId="3DE5C9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6D9D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Clase 3. Títulos emitidos en procesos de titularización hipotecaria o inmobiliaria que cuenten con una calificación mínima de “A” y los derechos fiduciarios de patrimonios autónomos conformados por activos Clase 1 y 2. </w:t>
      </w:r>
    </w:p>
    <w:p w14:paraId="0F3409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FAB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Clase 4. Depósitos en fondos comunes ordinarios, fondos de valores abiertos y fondos de inversión abiertos, operaciones de liquidez, títulos de contenido crediticio inscritos en el Registro Nacional de Valores e Intermediarios que cuenten con una calificación mínima de “A”. En todo caso, el vencimiento, contado a partir de la adquisición de los títulos, deberá ser inferior a un (1) año. </w:t>
      </w:r>
    </w:p>
    <w:p w14:paraId="2354BD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ED4B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fondos podrán realizar operaciones de liquidez sobre valores comprendidos dentro de los activos Clases 3 y 4. </w:t>
      </w:r>
    </w:p>
    <w:p w14:paraId="1E891F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997F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fondos podrán suscribir contratos de promesa de compraventa y opción, con el fin de asegurar la compra de inmuebles, incluso cuando estos se encuentren en proceso de edificación. En tales casos, el plazo máximo para celebrar el contrato prometido o ejercer la opción será de dos (2) años y el precio de compraventa deberá cumplir lo establecido en el artículo 2.1.4.4.4.1 de este capítulo. </w:t>
      </w:r>
    </w:p>
    <w:p w14:paraId="78B20FF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6" w:name="ver_30072477"/>
      <w:bookmarkEnd w:id="786"/>
    </w:p>
    <w:p w14:paraId="621C2B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2.1.4.4.1.3. Diversificación de portafolio. Los fondos de inversión inmobiliaria deberán propender por una adecuada diversificación de su portafolio. Sin embargo, la participación máxima de un solo inmueble Clase 1 o Clase 2 o de cualquier emisor respecto del valor total del portafolio, no podrá exceder del veinte por ciento (20%). </w:t>
      </w:r>
    </w:p>
    <w:p w14:paraId="6DB849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DB4A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El límite referente a </w:t>
      </w:r>
      <w:proofErr w:type="gramStart"/>
      <w:r w:rsidRPr="009342F9">
        <w:rPr>
          <w:rFonts w:ascii="Arial" w:eastAsia="Times New Roman" w:hAnsi="Arial" w:cs="Arial"/>
          <w:color w:val="000000"/>
          <w:lang w:eastAsia="es-CO"/>
        </w:rPr>
        <w:t>los inmuebles clases</w:t>
      </w:r>
      <w:proofErr w:type="gramEnd"/>
      <w:r w:rsidRPr="009342F9">
        <w:rPr>
          <w:rFonts w:ascii="Arial" w:eastAsia="Times New Roman" w:hAnsi="Arial" w:cs="Arial"/>
          <w:color w:val="000000"/>
          <w:lang w:eastAsia="es-CO"/>
        </w:rPr>
        <w:t xml:space="preserve"> 1 y 2 de los activos no aplicará durante los dos (2) primeros años de operación del fondo. </w:t>
      </w:r>
    </w:p>
    <w:p w14:paraId="46A5962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7" w:name="ver_30072478"/>
      <w:bookmarkEnd w:id="787"/>
    </w:p>
    <w:p w14:paraId="597D2C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2.1.4.4.1.4. Requisitos relacionados con los bienes inmuebles. Los bienes inmuebles que adquiera un fondo deberán asegurarse contra incendio, rayo, terremoto y actos malintencionados de terceros. </w:t>
      </w:r>
    </w:p>
    <w:p w14:paraId="043F7388" w14:textId="77777777" w:rsidR="00176ACC" w:rsidRDefault="00176ACC" w:rsidP="00FC79C1">
      <w:pPr>
        <w:spacing w:after="0" w:line="240" w:lineRule="auto"/>
        <w:jc w:val="both"/>
        <w:rPr>
          <w:rFonts w:ascii="Arial" w:eastAsia="Times New Roman" w:hAnsi="Arial" w:cs="Arial"/>
          <w:color w:val="000000"/>
          <w:lang w:eastAsia="es-CO"/>
        </w:rPr>
      </w:pPr>
    </w:p>
    <w:p w14:paraId="17AC4CFA" w14:textId="2CB704C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2.1.4.4.1.5. Montos mínimos para invertir en inmuebles. El monto mínimo de los recursos con los cuales debe contar un fondo de inversión inmobiliaria para poder empezar a invertir en los activos de Clases 1, 2 y 3 de que trata el artículo 2.1.4.4.1.2 del presente capítulo, será el equivalente a diez mil (10.000) salarios mínimos legales mensuales vigentes. Dicho valor deberá acreditarse en un término no superior a seis (6) meses contados a partir de la fecha de inicio de las operaciones. </w:t>
      </w:r>
    </w:p>
    <w:p w14:paraId="4811D9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D102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Los fondos que no alcancen a reunir los recursos mínimos en el plazo </w:t>
      </w:r>
      <w:proofErr w:type="gramStart"/>
      <w:r w:rsidRPr="009342F9">
        <w:rPr>
          <w:rFonts w:ascii="Arial" w:eastAsia="Times New Roman" w:hAnsi="Arial" w:cs="Arial"/>
          <w:color w:val="000000"/>
          <w:lang w:eastAsia="es-CO"/>
        </w:rPr>
        <w:t>estipulado,</w:t>
      </w:r>
      <w:proofErr w:type="gramEnd"/>
      <w:r w:rsidRPr="009342F9">
        <w:rPr>
          <w:rFonts w:ascii="Arial" w:eastAsia="Times New Roman" w:hAnsi="Arial" w:cs="Arial"/>
          <w:color w:val="000000"/>
          <w:lang w:eastAsia="es-CO"/>
        </w:rPr>
        <w:t xml:space="preserve"> deberán liquidarse y reintegrar los aportes, adicionados en los rendimientos generados y deducidos el cobro de una comisión, la cual deberá ser estipulada en el contrato de vinculación al fondo. </w:t>
      </w:r>
    </w:p>
    <w:p w14:paraId="404D3E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65AF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fondos de inversión inmobiliaria no podrán financiarse mediante operaciones pasivas de crédito, salvo las operaciones de liquidez a que se refiere el artículo 2.1.4.4.1.2 del presente capítulo. </w:t>
      </w:r>
    </w:p>
    <w:p w14:paraId="54359D6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8" w:name="ver_30072481"/>
      <w:bookmarkEnd w:id="788"/>
    </w:p>
    <w:p w14:paraId="27E4A9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2.1.4.4.1.6. Aportes. Los aportes de los inversionistas al fondo de inversión inmobiliaria estarán representados en unidades, de lo cual se dejará constancia en los registros, comprobantes o títulos que se prevean en los contratos de vinculación, en los que conste la participación del inversionista en el respectivo fondo. La sociedad administradora deberá establecer en los contratos de vinculación al fondo, que el pago de los aportes de los inversionistas a los fondos de inversión inmobiliaria se podrá realizar en alguna de las siguientes formas: </w:t>
      </w:r>
    </w:p>
    <w:p w14:paraId="0A40A9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AE81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dinero. </w:t>
      </w:r>
    </w:p>
    <w:p w14:paraId="5AB072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2597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bienes inmuebles, siempre y cuando cuenten con contratos de arrendamiento vigentes y con un período residual mínimo de seis (6) meses, amparados con un seguro o fianza sobre el canon de arrendamiento. </w:t>
      </w:r>
    </w:p>
    <w:p w14:paraId="433205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FBB7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aportes recibidos en inmuebles deberán cumplir con las condiciones para adquisición de inmuebles establecidas en el artículo 2.1.4.4.4.1 del presente capítulo. </w:t>
      </w:r>
    </w:p>
    <w:p w14:paraId="77A7A166" w14:textId="77777777" w:rsidR="00176ACC" w:rsidRDefault="00176ACC" w:rsidP="00FC79C1">
      <w:pPr>
        <w:spacing w:after="0" w:line="240" w:lineRule="auto"/>
        <w:jc w:val="both"/>
        <w:rPr>
          <w:rFonts w:ascii="Arial" w:eastAsia="Times New Roman" w:hAnsi="Arial" w:cs="Arial"/>
          <w:color w:val="000000"/>
          <w:lang w:eastAsia="es-CO"/>
        </w:rPr>
      </w:pPr>
    </w:p>
    <w:p w14:paraId="5DC92F5A" w14:textId="7CEBA8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2.1.4.4.1.7. Redención de derechos o aportes. Todo retiro o reembolso por concepto de redención de derechos o aportes en el fondo deberá hacerse con base en el valor de la unidad vigente en la fecha en que se efectúe el pago, de acuerdo con la metodología que establezca la entidad de supervisión correspondiente y la periodicidad prevista en el contrato de vinculación al fondo. </w:t>
      </w:r>
    </w:p>
    <w:p w14:paraId="346A66D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89" w:name="ver_30072484"/>
      <w:bookmarkEnd w:id="789"/>
    </w:p>
    <w:p w14:paraId="70F888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2.1.4.4.1.8. Comisión por administración. La sociedad administradora de fondos de inversión inmobiliaria percibirá como beneficio por su gestión de administración una comisión que no podrá ser modificada unilateralmente por dicha sociedad. La comisión estará a cargo del fondo, y se causará y liquidará con la periodicidad y condiciones convenidas en los contratos de vinculación al fondo. La tarifa de la remuneración se establecerá en alguna de las siguientes modalidades: </w:t>
      </w:r>
    </w:p>
    <w:p w14:paraId="09A3C3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95F8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Un porcentaje sobre el valor neto del fondo. </w:t>
      </w:r>
    </w:p>
    <w:p w14:paraId="167E16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4020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 porcentaje sobre los rendimientos del fondo. </w:t>
      </w:r>
    </w:p>
    <w:p w14:paraId="7D2732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C3B6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Una combinación de los anteriores. </w:t>
      </w:r>
    </w:p>
    <w:p w14:paraId="663C7C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3CC22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0" w:name="ver_30072485"/>
      <w:bookmarkEnd w:id="790"/>
    </w:p>
    <w:p w14:paraId="10F167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2.1.4.4.1.9. Arrendamiento de los bienes inmuebles del fondo. La sociedad administradora de fondos de inversión inmobiliaria que en los términos del artículo 28 de la Ley 820 de 2003 desarrolle directamente las actividades de arrendamiento de los inmuebles correspondientes a vivienda de Interés social deberá obtener la matrícula de arrendador prevista en la citada disposición. Igualmente deberá obtener la mencionada matrícula el agente especializado en el que la sociedad administradora del fondo delegue las labores de arrendamiento o intermediación comercial entre arrendadores y arrendatarios de los citados inmuebles que se adelanten conforme a la disposición legal antes citada. </w:t>
      </w:r>
    </w:p>
    <w:p w14:paraId="2A4F186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1" w:name="ver_30072487"/>
      <w:bookmarkEnd w:id="791"/>
    </w:p>
    <w:p w14:paraId="37692D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2.1.4.4.1.10. Comité de inversiones inmobiliarias. La Sociedad Administradora de Fondos de Inversión Inmobiliaria deberá constituir un Comité de Inversiones Inmobiliarias, el cual actuará como órgano consultivo de la Sociedad administradora del Fondo con el fin de apoyar los procesos de selección, compra y venta de inmuebles, en orden a lograr la mayor valorización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w:t>
      </w:r>
    </w:p>
    <w:p w14:paraId="59146B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732E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 comité estará conformado por un número plural impar de miembros que serán nombrados directamente por los órganos de dirección de la sociedad administradora. Los integrantes de este comité deberán ser independientes de la sociedad administradora y contar con adecuada experiencia para cumplir a cabalidad con las funciones que corresponden al mismo. </w:t>
      </w:r>
    </w:p>
    <w:p w14:paraId="00DC0F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4EF7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Le corresponde al comité de inversión inmobiliaria identificar cambios de tendencias en el mercado o circunstancias que puedan afectar el valor de un inmueble en particular, con el fin de recomendar avalúos comerciales extraordinarios adicionales a los establecidos en este artículo como periódicos obligatorios. Los resultados de estos avalúos deberán reflejarse en la valoración del fondo. </w:t>
      </w:r>
    </w:p>
    <w:p w14:paraId="117746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D968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existencia del comité de que trata el presente artículo no exonera a la sociedad administradora del fondo de las responsabilidades legales y contractuales que a esta corresponden en condición de tal. </w:t>
      </w:r>
    </w:p>
    <w:p w14:paraId="4D28CBC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2" w:name="ver_30072488"/>
      <w:bookmarkEnd w:id="792"/>
    </w:p>
    <w:p w14:paraId="311F05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2.1.4.4.1.11. Gastos a cargo de los fondos de inversión inmobiliaria. Estarán a cargo del fondo únicamente los siguientes gastos, sin perjuicio de que la sociedad administradora asuma directamente algunos de estos: </w:t>
      </w:r>
    </w:p>
    <w:p w14:paraId="0E2DBE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E282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remuneración de la sociedad administradora. </w:t>
      </w:r>
    </w:p>
    <w:p w14:paraId="0BC485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4CDD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comisión de administración y mantenimiento de los inmuebles cuando esta la adelante un agente especializado. </w:t>
      </w:r>
    </w:p>
    <w:p w14:paraId="58C98A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CE5D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valor de los seguros y amparos de los activos del fondo, incluyendo los seguros para mantener la integridad de los bienes inmuebles. </w:t>
      </w:r>
    </w:p>
    <w:p w14:paraId="75E0A6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5F93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valor de los seguros por arrendamiento y servicios públicos. </w:t>
      </w:r>
    </w:p>
    <w:p w14:paraId="5BAB69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FEFE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Costo de la custodia de los valores del fondo. </w:t>
      </w:r>
    </w:p>
    <w:p w14:paraId="266FBE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D8C5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gastos bancarios que se originen en el depósito de los recursos del fondo. </w:t>
      </w:r>
    </w:p>
    <w:p w14:paraId="421F1A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3BD8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Cuando sea el caso los honorarios y gastos causados por la auditoría externa del fondo y los gastos de citación a asambleas. </w:t>
      </w:r>
    </w:p>
    <w:p w14:paraId="18DC9B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4B43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Los impuestos y contribuciones que graven directamente los activos del fondo. </w:t>
      </w:r>
    </w:p>
    <w:p w14:paraId="7C7156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1F1E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Los gastos relacionados con los avalúos de los inmuebles. </w:t>
      </w:r>
    </w:p>
    <w:p w14:paraId="7BCFC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B29F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El costo de mantenimiento y reparación de los inmuebles. </w:t>
      </w:r>
    </w:p>
    <w:p w14:paraId="7897C1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EF86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Los gastos vinculados a la adquisición, venta, alquiler y mantenimiento de los inmuebles. </w:t>
      </w:r>
    </w:p>
    <w:p w14:paraId="2FF7D6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EDDF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Los honorarios y gastos en que se incurra con motivo de la defensa jurídica de los bienes. </w:t>
      </w:r>
    </w:p>
    <w:p w14:paraId="2DA2E4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1377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Cualquier expensa no prevista como gasto a cargo del fondo estará a cargo de la sociedad administradora. </w:t>
      </w:r>
    </w:p>
    <w:p w14:paraId="181E108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3" w:name="ver_30072489"/>
      <w:bookmarkEnd w:id="793"/>
    </w:p>
    <w:p w14:paraId="546C5A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2.1.4.4.1.12. Contenido del contrato de vinculación al fondo. Además de los requisitos o previsiones establecidos en el presente capítulo y en las normas y disposiciones especiales aplicables a los fondos de inversión administrados por las sociedades administradoras de inversión y a los fondos comunes especiales, administrados por las sociedades fiduciarias, el contrato de vinculación al fondo de inversión inmobiliaria deberá estipular el objetivo y la política de inversión, discriminando entre otros: </w:t>
      </w:r>
    </w:p>
    <w:p w14:paraId="5BCFB3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13E2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Características de los activos en los que invertirá y los porcentajes máximos y mínimos de participación de cada uno. </w:t>
      </w:r>
    </w:p>
    <w:p w14:paraId="77E8AC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DB8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Localización geográfica. </w:t>
      </w:r>
    </w:p>
    <w:p w14:paraId="3EDE51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E544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Activos Clase 1: Características de las viviendas, discriminando la VIS y otros rangos de precios o estratos. </w:t>
      </w:r>
    </w:p>
    <w:p w14:paraId="037F78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2F10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Activos Clase 2: Tipología y uso de los bienes inmuebles diferentes a vivienda. </w:t>
      </w:r>
    </w:p>
    <w:p w14:paraId="44A656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5B28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Activos Clase 3: Características y condiciones de los títulos. </w:t>
      </w:r>
    </w:p>
    <w:p w14:paraId="103F79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2221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Activos Clase 4: Estrategia de inversión en esta clase de activo. </w:t>
      </w:r>
    </w:p>
    <w:p w14:paraId="2E69B3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194D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Porcentaje máximo que un único bien inmueble puede representar sobre el activo total teniendo en cuenta lo establecido en el artículo 2.1.4.4.1.3 del presente capítulo. </w:t>
      </w:r>
    </w:p>
    <w:p w14:paraId="6DB8A9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484B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Políticas establecidas para la adquisición, venta y arriendo de inmuebles. </w:t>
      </w:r>
    </w:p>
    <w:p w14:paraId="50781C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FA1F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El perfil de los agentes especializados en avalúos que vinculará el fondo. </w:t>
      </w:r>
    </w:p>
    <w:p w14:paraId="589BA5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2417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Respecto del comité de inversiones: Composición, perfil de los integrantes y forma de designación. </w:t>
      </w:r>
    </w:p>
    <w:p w14:paraId="11A4DD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D4B3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La determinación de si asumirá de manera directa o contratará un agente especializado para la administración y mantenimiento de los inmuebles del fondo. </w:t>
      </w:r>
    </w:p>
    <w:p w14:paraId="06E50B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0865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Procedimiento para el retiro o redención de los aportes, en el cual se deberá especificar las penalizaciones por retiros que se realicen antes de cumplirse el plazo de permanencia pactado. </w:t>
      </w:r>
    </w:p>
    <w:p w14:paraId="092DEC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C6AB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La comisión que cobrará el administrador del fondo en caso de liquidación del fondo por no cumplir con lo exigido en el artículo 2.1.4.4.1.5 presente capítulo. </w:t>
      </w:r>
    </w:p>
    <w:p w14:paraId="7DA018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D729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modificaciones en los anteriores contenidos del contrato deberán realizarse conforme a la normatividad aplicable a la sociedad administradora del fondo de inversión inmobiliaria. </w:t>
      </w:r>
    </w:p>
    <w:p w14:paraId="5EC52A6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4" w:name="ver_30072492"/>
      <w:bookmarkEnd w:id="794"/>
    </w:p>
    <w:p w14:paraId="4CF7FD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2.1.4.4.1.13. Revelación de información. Es deber de las sociedades administradoras de fondos de inversión inmobiliaria generar y revelar toda la información que les permita a los inversionistas evaluar y comparar las diferentes alternativas de inversión. Para este fin, las entidades de supervisión reglamentarán el contenido y la periodicidad de actualización de una ficha técnica, la cual deberá incluir, entre otros, la siguiente información: </w:t>
      </w:r>
    </w:p>
    <w:p w14:paraId="60D028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BAAC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Nombre o razón social y honorarios previstos para los agentes especializados seleccionados para el avalúo de los bienes. </w:t>
      </w:r>
    </w:p>
    <w:p w14:paraId="106A05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5134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Nombres de los integrantes del comité de inversiones. </w:t>
      </w:r>
    </w:p>
    <w:p w14:paraId="1C67E9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7F1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nombre o razón social del agente especializado que administrará los inmuebles, cuando sea el caso. </w:t>
      </w:r>
    </w:p>
    <w:p w14:paraId="7CB1A8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AD46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valor del fondo. </w:t>
      </w:r>
    </w:p>
    <w:p w14:paraId="007B82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4683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discriminación por clases de activos y la variación de cada una de ellas dentro del período. </w:t>
      </w:r>
    </w:p>
    <w:p w14:paraId="35236C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10F7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El valor de la unidad y su variación durante el período. </w:t>
      </w:r>
    </w:p>
    <w:p w14:paraId="44EC47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8CAC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El detalle desagregado sobre los inmuebles que posee el fondo. </w:t>
      </w:r>
    </w:p>
    <w:p w14:paraId="2ABFC5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006C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primer número de la ficha técnica deberá publicarse, con antelación a la recepción de los aportes iniciales, en un término no inferior a diez (10) días calendario. </w:t>
      </w:r>
    </w:p>
    <w:p w14:paraId="1D588C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032A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contenido de los extractos deberá ajustarse a la normatividad aplicable a la sociedad administradora del fondo de inversión inmobiliaria. </w:t>
      </w:r>
    </w:p>
    <w:p w14:paraId="43FCBB79" w14:textId="3E412F0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795" w:name="ver_30072494"/>
      <w:bookmarkEnd w:id="795"/>
    </w:p>
    <w:p w14:paraId="51B0D8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2.1.4.4.1.14. Causales de disolución y liquidación. Además de las causales establecidas en las normas y disposiciones especiales aplicables a los fondos de inversión administrados por las sociedades administradoras de inversión y a los fondos comunes especiales administrados por las sociedades fiduciarias, serán causales de disolución y liquidación las siguientes: </w:t>
      </w:r>
    </w:p>
    <w:p w14:paraId="085DC6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861A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establecida en el parágrafo del artículo 2.1.4.4.1.5 del presente capítulo. </w:t>
      </w:r>
    </w:p>
    <w:p w14:paraId="03AEDE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A9C0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demás que se establezcan en los contratos de vinculación al fondo de inversión inmobiliaria. </w:t>
      </w:r>
    </w:p>
    <w:p w14:paraId="2641AA15" w14:textId="77777777" w:rsidR="00AA5FD1" w:rsidRDefault="00AA5FD1" w:rsidP="00683694">
      <w:pPr>
        <w:spacing w:after="0" w:line="240" w:lineRule="auto"/>
        <w:jc w:val="center"/>
        <w:rPr>
          <w:rFonts w:ascii="Arial" w:eastAsia="Times New Roman" w:hAnsi="Arial" w:cs="Arial"/>
          <w:b/>
          <w:bCs/>
          <w:color w:val="000000"/>
          <w:lang w:eastAsia="es-CO"/>
        </w:rPr>
      </w:pPr>
      <w:bookmarkStart w:id="796" w:name="ver_30072506"/>
      <w:bookmarkEnd w:id="796"/>
    </w:p>
    <w:p w14:paraId="6A99855D" w14:textId="6DA67775"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1E9E2544"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LOS FONDOS DE INVERSIÓN INMOBILIARIA ABIERTOS CON PACTO DE PERMANENCIA</w:t>
      </w:r>
    </w:p>
    <w:p w14:paraId="34086B6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7" w:name="ver_30072507"/>
      <w:bookmarkEnd w:id="797"/>
    </w:p>
    <w:p w14:paraId="420E50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2.1.4.4.2.1. Fechas de apertura. La sociedad administradora deberá definir en el contrato de vinculación al fondo las fechas en las cuales se permitirá la recepción y/o el retiro de aportes. </w:t>
      </w:r>
    </w:p>
    <w:p w14:paraId="3A453D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55E1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Estas sociedades deberán permitir el retiro de aportes como mínimo cada doce (12) meses. La recepción de aportes podrá realizarse con cualquier frecuencia, siempre y cuando la misma esté contemplada en los contratos de vinculación al fondo. La recepción o retiro de aportes exigirá una valoración previa de las unidades del fondo realizada el día inmediatamente anterior a la fecha de recepción o de retiro. </w:t>
      </w:r>
    </w:p>
    <w:p w14:paraId="32C137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8837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inversionistas en los fondos de inversión inmobiliaria abiertos con pacto de permanencia podrán realizar retiros parciales o totales en las fechas de apertura del fondo establecidas por la sociedad administradora, sin perjuicio del pago de la penalización de que trata el artículo siguiente. </w:t>
      </w:r>
    </w:p>
    <w:p w14:paraId="39D1A7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17FA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Sin perjuicio de lo dispuesto en el numeral 12 del artículo 2.1.4.4.1.12 del presente capítulo, la sociedad administradora de fondos de inversión inmobiliaria abiertos con pacto de permanencia deberá establecer en el contrato de vinculación al fondo el procedimiento especial a seguir en cuanto a la redención de los derechos o aportes cuando se presente el retiro de más del 10% del valor del fondo. </w:t>
      </w:r>
    </w:p>
    <w:p w14:paraId="0CCB278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8" w:name="ver_30072508"/>
      <w:bookmarkEnd w:id="798"/>
    </w:p>
    <w:p w14:paraId="68B844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2.1.4.4.2.2. Período de permanencia y penalizaciones. El período mínimo de permanencia de cada aporte que se realice en un fondo de inversión inmobiliaria abierto con pacto de </w:t>
      </w:r>
      <w:proofErr w:type="gramStart"/>
      <w:r w:rsidRPr="009342F9">
        <w:rPr>
          <w:rFonts w:ascii="Arial" w:eastAsia="Times New Roman" w:hAnsi="Arial" w:cs="Arial"/>
          <w:color w:val="000000"/>
          <w:lang w:eastAsia="es-CO"/>
        </w:rPr>
        <w:t>permanencia,</w:t>
      </w:r>
      <w:proofErr w:type="gramEnd"/>
      <w:r w:rsidRPr="009342F9">
        <w:rPr>
          <w:rFonts w:ascii="Arial" w:eastAsia="Times New Roman" w:hAnsi="Arial" w:cs="Arial"/>
          <w:color w:val="000000"/>
          <w:lang w:eastAsia="es-CO"/>
        </w:rPr>
        <w:t xml:space="preserve"> será de cinco (5) años. El administrador establecerá penalizaciones por retiros que se realicen antes de cumplirse este plazo, las cuales se estipularán como porcentajes del monto retirado que dependerán únicamente de la duración de la inversión. Estas penalizaciones deberán ser estipuladas en el contrato de vinculación al fondo. </w:t>
      </w:r>
    </w:p>
    <w:p w14:paraId="00240B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C760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penalizaciones se contabilizarán como un ingreso del fondo. </w:t>
      </w:r>
    </w:p>
    <w:p w14:paraId="669433C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799" w:name="ver_30072509"/>
      <w:bookmarkEnd w:id="799"/>
    </w:p>
    <w:p w14:paraId="5E9300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2.1.4.4.2.3. Límites a la participación. La participación máxima por inversionista en un fondo de inversión inmobiliaria abierto con pacto de permanencia se sujetará a los siguientes límites: </w:t>
      </w:r>
    </w:p>
    <w:p w14:paraId="487AC8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7C86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Durante los primeros 12 meses de operación no aplicará límite alguno. </w:t>
      </w:r>
    </w:p>
    <w:p w14:paraId="2950C1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17A8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 12 a 24 meses de operación, la participación máxima por inversionista será del 30%. </w:t>
      </w:r>
    </w:p>
    <w:p w14:paraId="18A98B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4A3D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Más de 24 meses de operación, la participación máxima por inversionista será del 20%. </w:t>
      </w:r>
    </w:p>
    <w:p w14:paraId="2A2789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D236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contratos de vinculación al fondo podrán establecerse límites inferiores a los aquí previstos. </w:t>
      </w:r>
    </w:p>
    <w:p w14:paraId="207959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581D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se produzcan retiros que alteren los porcentajes máximos previstos en los contratos, el Fondo tendrá un plazo de seis (6) meses para recomponer la participación individual de los inversionistas. </w:t>
      </w:r>
    </w:p>
    <w:p w14:paraId="115F594A" w14:textId="77777777" w:rsidR="00AA5FD1" w:rsidRDefault="00AA5FD1" w:rsidP="00683694">
      <w:pPr>
        <w:spacing w:after="0" w:line="240" w:lineRule="auto"/>
        <w:jc w:val="center"/>
        <w:rPr>
          <w:rFonts w:ascii="Arial" w:eastAsia="Times New Roman" w:hAnsi="Arial" w:cs="Arial"/>
          <w:b/>
          <w:bCs/>
          <w:color w:val="000000"/>
          <w:lang w:eastAsia="es-CO"/>
        </w:rPr>
      </w:pPr>
      <w:bookmarkStart w:id="800" w:name="ver_30072510"/>
      <w:bookmarkEnd w:id="800"/>
    </w:p>
    <w:p w14:paraId="07230F2B" w14:textId="0CFE430F"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67098E5B"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LOS FONDOS DE INVERSIÓN INMOBILIARIA CERRADOS</w:t>
      </w:r>
    </w:p>
    <w:p w14:paraId="74A730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01" w:name="ver_30072524"/>
      <w:bookmarkEnd w:id="801"/>
    </w:p>
    <w:p w14:paraId="4CFEC4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2.1.4.4.3.1. Aportes. Las sociedades que administren fondos de inversión inmobiliaria cerrados deberán establecer en los contratos de vinculación al fondo, el plazo máximo para recibir aportes, el cual no podrá exceder del veinte por ciento (20%) del plazo previsto para la duración total del respectivo fondo. </w:t>
      </w:r>
    </w:p>
    <w:p w14:paraId="64B21D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1428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Dentro del plazo mencionado se podrán contemplar fechas para recibir aportes de los inversionistas, previa la valoración de las unidades del fondo, efectuada el día inmediatamente anterior a las fechas de apertura. </w:t>
      </w:r>
    </w:p>
    <w:p w14:paraId="405E87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7C62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fondos de inversión inmobiliaria cerrados podrán recibir nuevos aportes con posterioridad al plazo máximo aquí previsto, previa aprobación de los inversionistas y del ente de supervisión respectivo. En tales casos, los inversionistas tendrán derecho de preferencia para realizar los aportes. </w:t>
      </w:r>
    </w:p>
    <w:p w14:paraId="45B131C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02" w:name="ver_30072525"/>
      <w:bookmarkEnd w:id="802"/>
    </w:p>
    <w:p w14:paraId="39CE75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2.1.4.4.3.2. Redención de derechos o aportes. La inversión en los fondos de inversión inmobiliaria cerrados solo podrá ser redimida totalmente en la fecha determinada como plazo total de duración del fondo. No obstante, se podrán realizar entregas anticipadas de aportes a los inversionistas del fondo a prorrata de su participación, por decisión válidamente tomada de conformidad con los procedimientos y normas de Código de Comercio para la asamblea de accionistas. </w:t>
      </w:r>
    </w:p>
    <w:p w14:paraId="4078FF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EAAF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la misma forma se podrá, por decisión de los inversionistas, ampliar el plazo de duración del fondo. </w:t>
      </w:r>
    </w:p>
    <w:p w14:paraId="3596D4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6B8EF3"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803" w:name="ver_30072528"/>
      <w:bookmarkEnd w:id="803"/>
      <w:r w:rsidRPr="009342F9">
        <w:rPr>
          <w:rFonts w:ascii="Arial" w:eastAsia="Times New Roman" w:hAnsi="Arial" w:cs="Arial"/>
          <w:b/>
          <w:bCs/>
          <w:color w:val="000000"/>
          <w:lang w:eastAsia="es-CO"/>
        </w:rPr>
        <w:t>SECCIÓN 4</w:t>
      </w:r>
    </w:p>
    <w:p w14:paraId="17580700"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VALORACIÓN DE LOS FONDOS DE INVERSIÓN INMOBILIARIA</w:t>
      </w:r>
    </w:p>
    <w:p w14:paraId="2711554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04" w:name="ver_30072529"/>
      <w:bookmarkEnd w:id="804"/>
    </w:p>
    <w:p w14:paraId="5F0078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2.1.4.4.4.1. Valoración de los inmuebles del fondo de inversión inmobiliaria. Para la adquisición de bienes inmuebles se deberá contar con un avalúo comercial efectuado dentro de los seis (6) meses anteriores a la fecha de compra. El valor de adquisición del inmueble no podrá ser superior al establecido en dicho avalúo. De otro lado, la venta de un inmueble deberá estar precedida por un avalúo comercial con antigüedad no mayor a seis (6) meses y el valor de venta no podrá ser inferior al noventa por ciento (90%) de esta suma. </w:t>
      </w:r>
    </w:p>
    <w:p w14:paraId="30226B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8001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Todos los inmuebles de un fondo de inversión inmobiliaria deberán ser objeto de un avalúo comercial máximo cada doce (12) meses. Después de realizados los avalúos conforme a lo dispuesto en el presente artículo, estos deberán actualizarse convirtiendo el precio inicial a su equivalente en Unidades de Valor Real y utilizando la variación diaria de este índice para obtener los nuevos valores. En todo caso, una vez practicado el avalúo anual, será este el que en forma inmediata adopte el fondo de inversión inmobiliaria como valor comercial del inmueble. </w:t>
      </w:r>
    </w:p>
    <w:p w14:paraId="50CB26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8FD7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se realicen mejoras materiales de los inmuebles, el costo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xml:space="preserve"> deberá registrarse en la contabilidad del fondo de inversión inmobiliaria. </w:t>
      </w:r>
    </w:p>
    <w:p w14:paraId="554B71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3F4C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estimación del valor comercial de los inmuebles deberá efectuarse siguiendo los métodos </w:t>
      </w:r>
      <w:proofErr w:type="spellStart"/>
      <w:r w:rsidRPr="009342F9">
        <w:rPr>
          <w:rFonts w:ascii="Arial" w:eastAsia="Times New Roman" w:hAnsi="Arial" w:cs="Arial"/>
          <w:color w:val="000000"/>
          <w:lang w:eastAsia="es-CO"/>
        </w:rPr>
        <w:t>valuatorios</w:t>
      </w:r>
      <w:proofErr w:type="spellEnd"/>
      <w:r w:rsidRPr="009342F9">
        <w:rPr>
          <w:rFonts w:ascii="Arial" w:eastAsia="Times New Roman" w:hAnsi="Arial" w:cs="Arial"/>
          <w:color w:val="000000"/>
          <w:lang w:eastAsia="es-CO"/>
        </w:rPr>
        <w:t xml:space="preserve"> reconocidos en la normatividad vigente. En el caso de inmuebles de valor igual o superior a cinco mil (5.000) salarios mínimos legales mensuales vigentes, los avalúos deberán ser practicados y definidos por un número plural de peritos conforme al procedimiento especial que para el efecto adopte el Instituto Geográfico Agustín Codazzi. Igualmente, el Instituto Geográfico Agustín Codazzi especificará cuáles métodos </w:t>
      </w:r>
      <w:proofErr w:type="spellStart"/>
      <w:r w:rsidRPr="009342F9">
        <w:rPr>
          <w:rFonts w:ascii="Arial" w:eastAsia="Times New Roman" w:hAnsi="Arial" w:cs="Arial"/>
          <w:color w:val="000000"/>
          <w:lang w:eastAsia="es-CO"/>
        </w:rPr>
        <w:t>valuatorios</w:t>
      </w:r>
      <w:proofErr w:type="spellEnd"/>
      <w:r w:rsidRPr="009342F9">
        <w:rPr>
          <w:rFonts w:ascii="Arial" w:eastAsia="Times New Roman" w:hAnsi="Arial" w:cs="Arial"/>
          <w:color w:val="000000"/>
          <w:lang w:eastAsia="es-CO"/>
        </w:rPr>
        <w:t xml:space="preserve"> deberán utilizarse en el caso de bienes inmuebles vinculados a fondos de inversión inmobiliaria. </w:t>
      </w:r>
    </w:p>
    <w:p w14:paraId="1C6D6AE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05" w:name="ver_30072530"/>
      <w:bookmarkEnd w:id="805"/>
    </w:p>
    <w:p w14:paraId="2CAA99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2.1.4.4.4.2. Valoración de los activos clase 3 y 4 definidos en el artículo 2.1.4.4.1.2. Para las inversiones en estas clases de activos, aplicarán las normas de carácter general establecidas por las entidades supervisoras correspondientes. </w:t>
      </w:r>
    </w:p>
    <w:p w14:paraId="27C31F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CAD97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06" w:name="ver_30072531"/>
      <w:bookmarkEnd w:id="806"/>
      <w:r w:rsidRPr="009342F9">
        <w:rPr>
          <w:rFonts w:ascii="Arial" w:eastAsia="Times New Roman" w:hAnsi="Arial" w:cs="Arial"/>
          <w:color w:val="000000"/>
          <w:lang w:eastAsia="es-CO"/>
        </w:rPr>
        <w:t>Artículo 2.1.4.4.4.3. Valoración del fondo de inversión inmobiliaria. Las sociedades administradoras de fondos de inversión inmobiliaria deberán determinar la periodicidad con la que se realizará la valoración del fondo, conforme a las disposiciones emitidas por las entidades de supervisión, y deberá ser efectuada el día inmediatamente anterior a las fechas en que el fondo esté abierto para la recepción y entrega de recursos. Las entidades de supervisión establecerán la metodología de valoración de los activos del fondo y verificarán el cumplimiento de las normas previstas en el presente capítulo. </w:t>
      </w:r>
    </w:p>
    <w:p w14:paraId="481BD67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07" w:name="ver_30072534"/>
      <w:bookmarkEnd w:id="807"/>
    </w:p>
    <w:p w14:paraId="6EFE76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2.1.4.4.4.4. Agente especializado para valoración de inmuebles. Para la valoración de los bienes inmuebles de que trata el presente capítulo, las sociedades administradoras de fondos de inversión inmobiliaria deberán contar con agentes especializados en la valoración de este tipo de bienes. Dichos agentes deberán ser personas naturales o jurídicas debidamente inscritas conforme a lo dispuesto en el artículo 50 de la Ley 546 de 1999, sus normas reglamentarias y aquellas que con posterioridad las modifiquen. </w:t>
      </w:r>
    </w:p>
    <w:p w14:paraId="3302E7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7BB8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agentes especializados y sus funcionarios no podrán tener directa o indirectamente, interés en el resultado de los avalúos o en sus posibles utilizaciones, no pudiendo existir, en ningún evento conflicto de intereses. Tampoco podrán tener con la sociedad administradora del fondo de inversión ninguna relación de subordinación o dependencia, ni la condición de beneficiario real de la sociedad administradora del fondo o no ser esta última beneficiaria real de la sociedad </w:t>
      </w:r>
      <w:proofErr w:type="spellStart"/>
      <w:r w:rsidRPr="009342F9">
        <w:rPr>
          <w:rFonts w:ascii="Arial" w:eastAsia="Times New Roman" w:hAnsi="Arial" w:cs="Arial"/>
          <w:color w:val="000000"/>
          <w:lang w:eastAsia="es-CO"/>
        </w:rPr>
        <w:t>avaluadora</w:t>
      </w:r>
      <w:proofErr w:type="spellEnd"/>
      <w:r w:rsidRPr="009342F9">
        <w:rPr>
          <w:rFonts w:ascii="Arial" w:eastAsia="Times New Roman" w:hAnsi="Arial" w:cs="Arial"/>
          <w:color w:val="000000"/>
          <w:lang w:eastAsia="es-CO"/>
        </w:rPr>
        <w:t>. </w:t>
      </w:r>
    </w:p>
    <w:p w14:paraId="526460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71C855" w14:textId="6FBD4C3C" w:rsidR="00FC79C1" w:rsidRPr="009342F9" w:rsidRDefault="00FC79C1" w:rsidP="00AA5FD1">
      <w:pPr>
        <w:spacing w:after="0" w:line="240" w:lineRule="auto"/>
        <w:jc w:val="center"/>
        <w:rPr>
          <w:rFonts w:ascii="Arial" w:eastAsia="Times New Roman" w:hAnsi="Arial" w:cs="Arial"/>
          <w:b/>
          <w:bCs/>
          <w:color w:val="000000"/>
          <w:lang w:eastAsia="es-CO"/>
        </w:rPr>
      </w:pPr>
      <w:bookmarkStart w:id="808" w:name="ver_30072535"/>
      <w:bookmarkEnd w:id="808"/>
      <w:r w:rsidRPr="009342F9">
        <w:rPr>
          <w:rFonts w:ascii="Arial" w:eastAsia="Times New Roman" w:hAnsi="Arial" w:cs="Arial"/>
          <w:b/>
          <w:bCs/>
          <w:color w:val="000000"/>
          <w:lang w:eastAsia="es-CO"/>
        </w:rPr>
        <w:t>SECCIÓN 5</w:t>
      </w:r>
    </w:p>
    <w:p w14:paraId="6E1F6946"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EXENCIÓN TRIBUTARIA</w:t>
      </w:r>
    </w:p>
    <w:p w14:paraId="4616A12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09" w:name="ver_30072536"/>
      <w:bookmarkEnd w:id="809"/>
    </w:p>
    <w:p w14:paraId="6D3075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2.1.4.4.5.1. Rentas exentas provenientes de fondos de inversión. De conformidad con lo dispuesto en el inciso segundo y en el parágrafo del artículo 41 de la Ley 820 de 2003, las rentas que perciban los fondos de inversión inmobiliaria, originadas en cánones de arrendamiento de vivienda de interés social nueva durante los diez (10) años siguientes a su construcción, que sean distribuidas a sus inversionistas, serán exentas en cabeza de estos. </w:t>
      </w:r>
    </w:p>
    <w:p w14:paraId="483F7F98" w14:textId="1FDA5C79"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10" w:name="ver_30072537"/>
      <w:bookmarkEnd w:id="810"/>
    </w:p>
    <w:p w14:paraId="470ECD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2.1.4.4.5.2. Requisitos. Para la procedencia de la exención de que trata el artículo anterior, deberán cumplirse los siguientes requisitos: </w:t>
      </w:r>
    </w:p>
    <w:p w14:paraId="1DFCD4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64BF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Por la sociedad administradora del fondo: </w:t>
      </w:r>
    </w:p>
    <w:p w14:paraId="3F0CD2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F29D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Expedir certificado de ingresos a cada inversionista en el que discrimine: </w:t>
      </w:r>
    </w:p>
    <w:p w14:paraId="1B88B7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F9B1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 parte originada en cánones de arrendamiento de vivienda de interés social nueva, de acuerdo con su participación en el fondo, y </w:t>
      </w:r>
    </w:p>
    <w:p w14:paraId="142C60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8151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valor de las retenciones en la fuente practicadas a título del impuesto de renta y complementarios, respecto de pagos o abonos en cuenta por conceptos diferentes de las rentas objeto de la exención. </w:t>
      </w:r>
    </w:p>
    <w:p w14:paraId="4D1B9A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FA7D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Llevar en su contabilidad cuentas separadas tanto de los activos como de los ingresos por concepto de cánones de arrendamiento de vivienda de interés social nueva que da lugar a la exención, frente a los demás ingresos que perciba el fondo en el correspondiente período fiscal. </w:t>
      </w:r>
    </w:p>
    <w:p w14:paraId="42B8B3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BAFA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Presentar cuando la Dirección de Impuestos y Aduanas Nacionales lo exija, certificación anual, suscrita por el representante legal y por el revisor fiscal y/o contador público, según corresponda, en la que conste: </w:t>
      </w:r>
    </w:p>
    <w:p w14:paraId="1A2530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B2A0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Monto de la inversión realizada en la adquisición de vivienda de interés social nueva, durante el respectivo año gravable; </w:t>
      </w:r>
    </w:p>
    <w:p w14:paraId="22CBAB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776C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Precio de las viviendas de interés social nuevas en la fecha de adquisición por el Fondo y manifestación expresa de que dicho precio a esa fecha era igual o inferior al monto máximo establecido para este tipo de viviendas en el artículo 104 de la Ley 812 de 2003, o en las disposiciones legales que lo modifiquen; </w:t>
      </w:r>
    </w:p>
    <w:p w14:paraId="5280FE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A351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Identificación de los inversionistas, fecha de la inversión en el fondo y monto de la misma; </w:t>
      </w:r>
    </w:p>
    <w:p w14:paraId="496DDC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B0FA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Relación de los contratos de arrendamiento y montos individuales y totales de los cánones percibidos por el fondo en el respectivo período fiscal, originados en viviendas de interés social nuevas; </w:t>
      </w:r>
    </w:p>
    <w:p w14:paraId="1E8074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12B7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Valor de las rentas pagadas a cada uno de los inversionistas del fondo durante el respectivo año gravable, originadas en contratos de arrendamiento de vivienda de interés social nueva; </w:t>
      </w:r>
    </w:p>
    <w:p w14:paraId="061409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BE18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Monto total acumulado de las inversiones en adquisición de viviendas de interés social nuevas, cuyos cánones de arrendamiento estén exentos; </w:t>
      </w:r>
    </w:p>
    <w:p w14:paraId="1CB4F6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50A1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Relación de las viviendas de las cuales provienen los ingresos relativos a las rentas objeto de la exención, que contenga: lugar de ubicación, número y fecha de la licencia de construcción, matrícula inmobiliaria e identificación de la Notaría, Círculo Notarial, número y fecha de escritura de compraventa. </w:t>
      </w:r>
    </w:p>
    <w:p w14:paraId="61411B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C4A6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Presentar cuando la Dirección de Impuestos y Aduanas Nacionales lo exija, la escritura pública cuyo registro dio origen a la matricula inmobiliaria y cédula catastral de la nueva unidad individual de vivienda. La fecha de otorgamiento de esta escritura se tendrá como fecha de inicio de los diez (10) años en los cuales opera el beneficio a que se refiere el artículo 41 de la Ley 820 de 2003. </w:t>
      </w:r>
    </w:p>
    <w:p w14:paraId="284631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D9E8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Por el inversionista: </w:t>
      </w:r>
    </w:p>
    <w:p w14:paraId="6DA692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47A4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Conservar el certificado de ingresos expedido por la sociedad administradora del fondo, en el que se encuentre discriminado: </w:t>
      </w:r>
    </w:p>
    <w:p w14:paraId="1984B7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85FD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 parte originada en cánones de arrendamiento de vivienda de interés social nueva, de acuerdo con su participación en el fondo, y </w:t>
      </w:r>
    </w:p>
    <w:p w14:paraId="16489E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07C7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valor de las retenciones en la fuente practicadas a título del Impuesto sobre la renta y complementarios, respecto de pagos o abonos en cuenta por conceptos diferentes de las rentas objeto de la exención. </w:t>
      </w:r>
    </w:p>
    <w:p w14:paraId="3099734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1" w:name="ver_30072539"/>
      <w:bookmarkEnd w:id="811"/>
    </w:p>
    <w:p w14:paraId="09E85E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2.1.4.4.5.3. Remisión de normas. En lo no previsto en el presente capítulo se aplicará la normatividad vigente expedida para regular el funcionamiento de los fondos de inversión, siempre que dicha regulación no pugne con la naturaleza, alcances y finalidades aquí establecidas. </w:t>
      </w:r>
    </w:p>
    <w:p w14:paraId="328EBF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7D19F0"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812" w:name="ver_30072540"/>
      <w:bookmarkEnd w:id="812"/>
      <w:r w:rsidRPr="009342F9">
        <w:rPr>
          <w:rFonts w:ascii="Arial" w:eastAsia="Times New Roman" w:hAnsi="Arial" w:cs="Arial"/>
          <w:b/>
          <w:bCs/>
          <w:color w:val="000000"/>
          <w:lang w:eastAsia="es-CO"/>
        </w:rPr>
        <w:t>TÍTULO 5</w:t>
      </w:r>
    </w:p>
    <w:p w14:paraId="5658CF79"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PROPIEDAD HORIZONTAL</w:t>
      </w:r>
    </w:p>
    <w:p w14:paraId="3C5E4C4E"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281C3325"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5CE2D24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OBJETO SOCIAL DE LA PROPIEDAD HORIZONTAL</w:t>
      </w:r>
    </w:p>
    <w:p w14:paraId="04A9E4B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3" w:name="ver_30072541"/>
      <w:bookmarkEnd w:id="813"/>
    </w:p>
    <w:p w14:paraId="04B7B1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2.1.5.1.1. Objeto de la persona jurídica de propiedad horizontal. Objeto social de la persona jurídica originada en la constitución de la propiedad horizontal. Para los efectos de la Ley 675 de 2001, entiéndese que forman parte del objeto social de la propiedad horizontal, los actos y negocios jurídicos que se realicen sobre los bienes comunes por su representante legal, relacionados con la explotación económica de los mismos que permitan su correcta y eficaz administración, con el propósito de obtener contraprestaciones económicas que se destinen al pago de expensas comunes del edificio o conjunto y que además facilitan la existencia de la propiedad horizontal, su estabilidad, funcionamiento, conservación, seguridad, uso, goce o explotación de los bienes de dominio particular. </w:t>
      </w:r>
    </w:p>
    <w:p w14:paraId="33A44070" w14:textId="233170E5"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48E320"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814" w:name="ver_30072542"/>
      <w:bookmarkEnd w:id="814"/>
      <w:r w:rsidRPr="009342F9">
        <w:rPr>
          <w:rFonts w:ascii="Arial" w:eastAsia="Times New Roman" w:hAnsi="Arial" w:cs="Arial"/>
          <w:b/>
          <w:bCs/>
          <w:color w:val="000000"/>
          <w:lang w:eastAsia="es-CO"/>
        </w:rPr>
        <w:t>TÍTULO 6</w:t>
      </w:r>
    </w:p>
    <w:p w14:paraId="6A3E25AE"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INSPECCIÓN, VIGILANCIA Y CONTROL DE LA ACTIVIDAD DE CONSTRUCCIÓN Y ENAJENACIÓN DE VIVIENDA</w:t>
      </w:r>
    </w:p>
    <w:p w14:paraId="4FD8DB6F"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6D3862FE"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273AA1DC"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ORGANIZACIONES POPULARES DE VIVIENDA</w:t>
      </w:r>
    </w:p>
    <w:p w14:paraId="0F604AD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5" w:name="ver_30072543"/>
      <w:bookmarkEnd w:id="815"/>
    </w:p>
    <w:p w14:paraId="7C24E7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2.1.6.1.1. Definición de Organizaciones Populares de Vivienda. Se entiende por organizaciones populares de vivienda aquellas que han sido constituidas y reconocidas como entidades sin ánimo de lucro cuyo sistema financiero sea de economía solidaria y tengan por objeto el desarrollo de programas de vivienda para sus afiliados por sistemas de autogestión o participación comunitaria. </w:t>
      </w:r>
    </w:p>
    <w:p w14:paraId="2EC7D8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CFD2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Estas Organizaciones pueden ser constituidas por sindicatos, cooperativas, asociaciones, fundaciones, corporaciones, juntas de acción comunal, fondos de empleados, empresas comunitarias y las demás que puedan asimilarse a las anteriores, en los términos previstos por la Ley 9ª de 1989. </w:t>
      </w:r>
    </w:p>
    <w:p w14:paraId="3E9D717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6" w:name="ver_30072545"/>
      <w:bookmarkEnd w:id="816"/>
    </w:p>
    <w:p w14:paraId="391687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2.1.6.1.2. Definición del Sistema Financiero de Economía Solidaria. Entiéndase por sistema financiero de economía solidaria aquel en el cual todos los afiliados participan directamente mediante aportes en dinero y en trabajo comunitario, o en cualquiera de las dos formas. </w:t>
      </w:r>
    </w:p>
    <w:p w14:paraId="13504A6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7" w:name="ver_30072547"/>
      <w:bookmarkEnd w:id="817"/>
    </w:p>
    <w:p w14:paraId="0A43DF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2.1.6.1.3. Definición de los Sistemas de Autogestión o Participación Comunitaria. Se entiende que un plan dirigido a construir, adecuar o mejorar la vivienda en desarrollado por autogestión o participación comunitaria, cuando en él participan todos los afiliados administrativa, técnica y financieramente. </w:t>
      </w:r>
    </w:p>
    <w:p w14:paraId="55B24CF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8" w:name="ver_30072548"/>
      <w:bookmarkEnd w:id="818"/>
    </w:p>
    <w:p w14:paraId="343F5B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2.1.6.1.4. De las Modalidades de los Sistemas de Autogestión o Participación Comunitaria. Según los niveles de participación de los afiliados en la construcción de las obras, se establecen las siguientes modalidades de los sistemas de autogestión o participación comunitaria: </w:t>
      </w:r>
    </w:p>
    <w:p w14:paraId="7DA9DB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545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Por Construcción Delegada: Es aquella modalidad en la cual la gestión, administración y planificación de la obra, así como el nombramiento del personal técnico administrativo está a cargo de los afiliados a la Organización Popular, sin que medie su participación en forma de trabajo comunitario en la ejecución de las obras. </w:t>
      </w:r>
    </w:p>
    <w:p w14:paraId="567D5A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02A9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Autoconstrucción: Es aquella modalidad de la autogestión en la que los afiliados contribuyen directamente con su trabajo en la ejecución de las obras. </w:t>
      </w:r>
    </w:p>
    <w:p w14:paraId="5B2378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CD03D0"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Parágrafo.-</w:t>
      </w:r>
      <w:proofErr w:type="gramEnd"/>
      <w:r w:rsidRPr="009342F9">
        <w:rPr>
          <w:rFonts w:ascii="Arial" w:eastAsia="Times New Roman" w:hAnsi="Arial" w:cs="Arial"/>
          <w:color w:val="000000"/>
          <w:lang w:eastAsia="es-CO"/>
        </w:rPr>
        <w:t> Las Organizaciones Populares de Vivienda podrán delegar en personas naturales o jurídicas, públicas o privadas, de idoneidad demostrada, la ejecución de obras que por su naturaleza técnica así lo justifiquen. Los asociados no podrán delegar las actividades de gestión, administración y control sobre el programa. </w:t>
      </w:r>
    </w:p>
    <w:p w14:paraId="37BF9B9F" w14:textId="77777777" w:rsidR="00AA5FD1" w:rsidRDefault="00AA5FD1" w:rsidP="00FC79C1">
      <w:pPr>
        <w:spacing w:after="0" w:line="240" w:lineRule="auto"/>
        <w:jc w:val="both"/>
        <w:rPr>
          <w:rFonts w:ascii="Arial" w:eastAsia="Times New Roman" w:hAnsi="Arial" w:cs="Arial"/>
          <w:color w:val="000000"/>
          <w:lang w:eastAsia="es-CO"/>
        </w:rPr>
      </w:pPr>
    </w:p>
    <w:p w14:paraId="7A37EC1E" w14:textId="24A0614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2.1.6.1.5. Número de Participantes de Cada Plan por los Sistemas de Autogestión o Participación Comunitaria. El número de participantes activos de cada plan de vivienda realizado por los sistemas de autogestión o participación </w:t>
      </w:r>
      <w:proofErr w:type="gramStart"/>
      <w:r w:rsidRPr="009342F9">
        <w:rPr>
          <w:rFonts w:ascii="Arial" w:eastAsia="Times New Roman" w:hAnsi="Arial" w:cs="Arial"/>
          <w:color w:val="000000"/>
          <w:lang w:eastAsia="es-CO"/>
        </w:rPr>
        <w:t>comunitaria,</w:t>
      </w:r>
      <w:proofErr w:type="gramEnd"/>
      <w:r w:rsidRPr="009342F9">
        <w:rPr>
          <w:rFonts w:ascii="Arial" w:eastAsia="Times New Roman" w:hAnsi="Arial" w:cs="Arial"/>
          <w:color w:val="000000"/>
          <w:lang w:eastAsia="es-CO"/>
        </w:rPr>
        <w:t xml:space="preserve"> no podrá ser menos de cinco (5) ni exceder de doscientos (200) y dicho número no podrá aumentar durante toda la etapa de ejecución. </w:t>
      </w:r>
    </w:p>
    <w:p w14:paraId="360C619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19" w:name="ver_30072550"/>
      <w:bookmarkEnd w:id="819"/>
    </w:p>
    <w:p w14:paraId="1409CF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2.1.6.1.6. Obligaciones de las Organizaciones Populares de Vivienda ante la entidad de vigilancia y control de la actividad de construcción y enajenación de vivienda. Las Organizaciones Populares de Vivienda deberán cumplir con las siguientes obligaciones ante la entidad de vigilancia y control de la actividad de construcción y enajenación de vivienda: </w:t>
      </w:r>
    </w:p>
    <w:p w14:paraId="576956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25B5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Presentación anual de Estados Financieros, suscritos por el Representaste Legal y contador público, debidamente aprobados por el máximo órgano de la entidad. </w:t>
      </w:r>
    </w:p>
    <w:p w14:paraId="64ABB7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A041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Envío del presupuesto de gastos e inversiones por cada año, con la constancia de aprobación del órgano social correspondiente, antes del primer día hábil del mes de mayo. </w:t>
      </w:r>
    </w:p>
    <w:p w14:paraId="60EA61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9F2D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Relación de Ingresos y Egresos trimestral, con indicación del total recaudado por concepto de cuotas de vivienda y de las otras fuentes de financiación, debidamente discriminadas. </w:t>
      </w:r>
    </w:p>
    <w:p w14:paraId="67940C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A7FB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Prueba del registro de los nombramientos ante las autoridades competentes: </w:t>
      </w:r>
    </w:p>
    <w:p w14:paraId="085CB3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las cooperativas, Certificación de la Cámara de Comercio; para las Asociaciones y Fundaciones, Certificación de la Alcaldía Mayor de Bogotá o de las Gobernaciones; para las Juntas de Vivienda Comunitaria, Certificación del Ministerio del Interior. </w:t>
      </w:r>
    </w:p>
    <w:p w14:paraId="676256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8D66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Envío del permiso de captación y/o enajenación de inmuebles destinados a vivienda, dentro del mes siguiente a la fecha de expedición. </w:t>
      </w:r>
    </w:p>
    <w:p w14:paraId="45A60F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A47E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Informe de la evolución semestral del proyecto que contendrá básicamente el avance de la obra, número de adjudicaciones realizadas, número de socios, dificultades que se hubieren </w:t>
      </w:r>
      <w:proofErr w:type="gramStart"/>
      <w:r w:rsidRPr="009342F9">
        <w:rPr>
          <w:rFonts w:ascii="Arial" w:eastAsia="Times New Roman" w:hAnsi="Arial" w:cs="Arial"/>
          <w:color w:val="000000"/>
          <w:lang w:eastAsia="es-CO"/>
        </w:rPr>
        <w:t>presentando</w:t>
      </w:r>
      <w:proofErr w:type="gramEnd"/>
      <w:r w:rsidRPr="009342F9">
        <w:rPr>
          <w:rFonts w:ascii="Arial" w:eastAsia="Times New Roman" w:hAnsi="Arial" w:cs="Arial"/>
          <w:color w:val="000000"/>
          <w:lang w:eastAsia="es-CO"/>
        </w:rPr>
        <w:t xml:space="preserve"> en cualquier orden (financiero, administrativo, etc.), el cual se presentará en los primeros cinco días de los meses de enero y julio de cada año. </w:t>
      </w:r>
    </w:p>
    <w:p w14:paraId="361F78B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20" w:name="ver_30072551"/>
      <w:bookmarkEnd w:id="820"/>
    </w:p>
    <w:p w14:paraId="70679D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2.1.6.1.7. Registro para Desarrollar Planes y Programas por los Sistemas de Autogestión o Participación Comunitaria. Para desarrollar planes y programas por los sistemas de autogestión o participación comunitaria, las Organizaciones Populares de Vivienda deberán registrarse ante la Alcaldía Mayor del Distrito Capital de Bogotá, Departamento Archipiélago de San Andrés, Providencia y Santa Catalina o en la Alcaldía Municipal del lugar donde se realice la obra. El registro se hará por una sola vez y se entenderá vigente por todo el término de duración de la Organización Popular de Vivienda o hasta que la Organización solicite su cancelación, a menos que le sea cancelado como consecuencia de las sanciones establecidas para este efecto. </w:t>
      </w:r>
    </w:p>
    <w:p w14:paraId="521C17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AC7B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obtener el registro de que trata el presente artículo, la Organización Popular de Vivienda debe presentar ante la respectiva autoridad, la solicitud correspondiente acompañada de un ejemplar de los Estatutos debidamente autenticado y Certificación sobre la Personería Jurídica y Representación Legal vigente. </w:t>
      </w:r>
    </w:p>
    <w:p w14:paraId="661CF9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8EB3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obtener la cancelación del registro, el representante legal de la Organización elevará ante la Alcaldía Mayor del Distrito Capital de Bogotá, Departamento Archipiélago de San Andrés, Providencia y Santa Catalina o Alcaldía Municipal respectiva, una solicitud acompañada de Declaración Jurada en la que indique no estar adelantando ninguna actividad de aquellas a que se refiere este capítulo y acreditando la culminación del o de los programas autorizados y certificación de la entidad que ejerce la vigilancia en el sentido de que no tiene obligaciones pendientes con la misma. </w:t>
      </w:r>
    </w:p>
    <w:p w14:paraId="09D4E12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21" w:name="ver_30072552"/>
      <w:bookmarkEnd w:id="821"/>
    </w:p>
    <w:p w14:paraId="46CF8F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2.1.6.1.8. Asesoría de las Oficinas de Planeación. Las Organizaciones Populares de Vivienda, antes de adquirir los predios para sus programas de vivienda deberán consultar por escrito a la Oficina de Planeación o quien haga sus veces en el Distrito Capital de Bogotá, Departamento Archipiélago de San Andrés, Providencia y Santa Catalina o Municipio respectivo, sobre las características especiales del mismo. En la consulta debe indicarse los linderos y las particularidades especiales del predio si las hubiere. La entidad competente deberá certificar sobre los siguientes puntos: </w:t>
      </w:r>
    </w:p>
    <w:p w14:paraId="23C336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0934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Situación del predio frente al Plan de Desarrollo Municipal. </w:t>
      </w:r>
    </w:p>
    <w:p w14:paraId="63368E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0EC3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Localización del predio con respecto al perímetro de servicios públicos. </w:t>
      </w:r>
    </w:p>
    <w:p w14:paraId="347C37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7735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Tipo de afectaciones futuras que pueda sufrir el predio. </w:t>
      </w:r>
    </w:p>
    <w:p w14:paraId="2448AB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F1BD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Zonas de reserva. </w:t>
      </w:r>
    </w:p>
    <w:p w14:paraId="5F0CB9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4189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Posibles usos contaminantes del entorno inmediato. </w:t>
      </w:r>
    </w:p>
    <w:p w14:paraId="1B45CA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773F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Confrontación de los linderos del predio con la cartografía del Distrito o del Municipio. </w:t>
      </w:r>
    </w:p>
    <w:p w14:paraId="7CC3AD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ECD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Dictaminar las normas urbanísticas que para tal desarrollo existan en el Distrito Capital de Bogotá, Departamento Archipiélago de San Andrés, Providencia y Santa Catalina o Municipio de que se trate. </w:t>
      </w:r>
    </w:p>
    <w:p w14:paraId="3FC2596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22" w:name="ver_30072553"/>
      <w:bookmarkEnd w:id="822"/>
    </w:p>
    <w:p w14:paraId="1DED0B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2.1.6.1.9. De los Permisos de Enajenación. Para obtener el permiso de enajenación de las unidades de vivienda, resultantes de un programa de autogestión o autoconstrucción, la Organización Popular deberá acreditar los requisitos que para el efecto exija la Alcaldía Municipal, el Distrito Capital de Bogotá o el Departamento Archipiélago de San Andrés, Providencia y Santa Catalina. </w:t>
      </w:r>
    </w:p>
    <w:p w14:paraId="04BDA3D4" w14:textId="77777777" w:rsidR="00AA5FD1" w:rsidRDefault="00AA5FD1" w:rsidP="00FC79C1">
      <w:pPr>
        <w:spacing w:after="0" w:line="240" w:lineRule="auto"/>
        <w:jc w:val="both"/>
        <w:rPr>
          <w:rFonts w:ascii="Arial" w:eastAsia="Times New Roman" w:hAnsi="Arial" w:cs="Arial"/>
          <w:color w:val="000000"/>
          <w:lang w:eastAsia="es-CO"/>
        </w:rPr>
      </w:pPr>
    </w:p>
    <w:p w14:paraId="35FC060E" w14:textId="3B6DF78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2.1.6.1.10. De las Sanciones. El Distrito Capital de Bogotá, los municipios y el Departamento Archipiélago de San Andrés, Providencia y Santa Catalina, impondrán a las Organizaciones Populares de Vivienda, las sanciones establecidas en el numeral 9 del artículo 2° del Decreto Ley 78 de 1987 para los casos allí contemplados. </w:t>
      </w:r>
    </w:p>
    <w:p w14:paraId="0E0D5A95" w14:textId="77777777" w:rsidR="00AA5FD1" w:rsidRDefault="00AA5FD1" w:rsidP="00FC79C1">
      <w:pPr>
        <w:spacing w:after="0" w:line="240" w:lineRule="auto"/>
        <w:jc w:val="both"/>
        <w:rPr>
          <w:rFonts w:ascii="Arial" w:eastAsia="Times New Roman" w:hAnsi="Arial" w:cs="Arial"/>
          <w:color w:val="000000"/>
          <w:lang w:eastAsia="es-CO"/>
        </w:rPr>
      </w:pPr>
    </w:p>
    <w:p w14:paraId="0ADC585C" w14:textId="1594F1C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2.1.6.1.11. De los Comités Especiales. En los casos en que haya lugar a intervención de bienes y haberes de las personas jurídicas de que trata este capítulo, por ocurrencia de cualquiera de las causales previstas en el artículo 12 de la Ley 66 de 1968, el Agente Especial del Superintendente de Sociedades, o quien haga sus veces, en la Urbanización intervenida conformará un comité con participación de las personas designadas por los beneficiarios del Plan. Este comité, además de asistir al agente especial, cumplirá las funciones administrativas por él delegadas. </w:t>
      </w:r>
    </w:p>
    <w:p w14:paraId="47C85EB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23" w:name="ver_30072556"/>
      <w:bookmarkEnd w:id="823"/>
    </w:p>
    <w:p w14:paraId="6CE73D11"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xml:space="preserve">Artículo 2.1.6.1.12. De la Capacitación. La capacitación que requieran los participantes activos y las organizaciones encargadas de adelantar planes y programas de vivienda por los sistemas de autogestión o participación </w:t>
      </w:r>
      <w:proofErr w:type="gramStart"/>
      <w:r w:rsidRPr="231E957E">
        <w:rPr>
          <w:rFonts w:ascii="Arial" w:eastAsia="Times New Roman" w:hAnsi="Arial" w:cs="Arial"/>
          <w:color w:val="000000" w:themeColor="text1"/>
          <w:lang w:eastAsia="es-CO"/>
        </w:rPr>
        <w:t>comunitaria,</w:t>
      </w:r>
      <w:proofErr w:type="gramEnd"/>
      <w:r w:rsidRPr="231E957E">
        <w:rPr>
          <w:rFonts w:ascii="Arial" w:eastAsia="Times New Roman" w:hAnsi="Arial" w:cs="Arial"/>
          <w:color w:val="000000" w:themeColor="text1"/>
          <w:lang w:eastAsia="es-CO"/>
        </w:rPr>
        <w:t xml:space="preserve"> será suministrada por el Servicio Nacional de Aprendizaje SENA, la Escuela Superior de Administración Pública ESAP y/o por las entidades públicas y privadas interesadas en tal fin. </w:t>
      </w:r>
    </w:p>
    <w:p w14:paraId="6A5E20CE" w14:textId="41BECB90" w:rsidR="00A27815"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643E2E" w14:textId="77777777" w:rsidR="00FC79C1" w:rsidRPr="00AA5FD1" w:rsidRDefault="00FC79C1" w:rsidP="00AA5FD1">
      <w:pPr>
        <w:spacing w:after="0" w:line="240" w:lineRule="auto"/>
        <w:jc w:val="center"/>
        <w:rPr>
          <w:rFonts w:ascii="Arial" w:eastAsia="Times New Roman" w:hAnsi="Arial" w:cs="Arial"/>
          <w:b/>
          <w:bCs/>
          <w:color w:val="000000"/>
          <w:lang w:eastAsia="es-CO"/>
        </w:rPr>
      </w:pPr>
      <w:bookmarkStart w:id="824" w:name="ver_30109522"/>
      <w:bookmarkEnd w:id="824"/>
      <w:r w:rsidRPr="00AA5FD1">
        <w:rPr>
          <w:rFonts w:ascii="Arial" w:eastAsia="Times New Roman" w:hAnsi="Arial" w:cs="Arial"/>
          <w:b/>
          <w:bCs/>
          <w:color w:val="000000"/>
          <w:lang w:eastAsia="es-CO"/>
        </w:rPr>
        <w:t>CAPÍTULO 2</w:t>
      </w:r>
    </w:p>
    <w:p w14:paraId="43B26D9C" w14:textId="77777777" w:rsidR="00FC79C1" w:rsidRPr="00AA5FD1" w:rsidRDefault="00FC79C1" w:rsidP="00AA5FD1">
      <w:pPr>
        <w:spacing w:after="0" w:line="240" w:lineRule="auto"/>
        <w:jc w:val="center"/>
        <w:rPr>
          <w:rFonts w:ascii="Arial" w:eastAsia="Times New Roman" w:hAnsi="Arial" w:cs="Arial"/>
          <w:b/>
          <w:bCs/>
          <w:color w:val="000000"/>
          <w:lang w:eastAsia="es-CO"/>
        </w:rPr>
      </w:pPr>
      <w:r w:rsidRPr="00AA5FD1">
        <w:rPr>
          <w:rFonts w:ascii="Arial" w:eastAsia="Times New Roman" w:hAnsi="Arial" w:cs="Arial"/>
          <w:b/>
          <w:bCs/>
          <w:color w:val="000000"/>
          <w:lang w:eastAsia="es-CO"/>
        </w:rPr>
        <w:t>INCUMPLIMIENTO EN LA EJECUCIÓN DE PROYECTOS DE VIVIENDA DE INTERÉS SOCIAL URBANA</w:t>
      </w:r>
    </w:p>
    <w:p w14:paraId="2F23E01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25" w:name="ver_30109523"/>
      <w:bookmarkEnd w:id="825"/>
    </w:p>
    <w:p w14:paraId="0E5904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2.1.6.2.</w:t>
      </w:r>
      <w:proofErr w:type="gramStart"/>
      <w:r w:rsidRPr="009342F9">
        <w:rPr>
          <w:rFonts w:ascii="Arial" w:eastAsia="Times New Roman" w:hAnsi="Arial" w:cs="Arial"/>
          <w:color w:val="000000"/>
          <w:lang w:eastAsia="es-CO"/>
        </w:rPr>
        <w:t>1.Incumplimiento</w:t>
      </w:r>
      <w:proofErr w:type="gramEnd"/>
      <w:r w:rsidRPr="009342F9">
        <w:rPr>
          <w:rFonts w:ascii="Arial" w:eastAsia="Times New Roman" w:hAnsi="Arial" w:cs="Arial"/>
          <w:color w:val="000000"/>
          <w:lang w:eastAsia="es-CO"/>
        </w:rPr>
        <w:t xml:space="preserve"> de obligaciones en proyectos de vivienda de interés social urbana. El Fondo Nacional de Vivienda (Fonvivienda) y las instituciones otorgantes del subsidio familiar de vivienda urbana de las entidades territoriales adelantarán el procedimiento administrativo sancionatorio al que hace referencia el artículo 47 y siguientes del Código de Procedimiento Administrativo y de lo Contencioso Administrativo, o las normas que los modifiquen, adicionen o sustituyan, contra los constructores, interventores, auditores y/o supervisores que hayan incurrido en un presunto incumplimiento de sus obligaciones, durante la ejecución de proyectos de vivienda que involucren recursos de subsidios familiares de vivienda asignados por este.  </w:t>
      </w:r>
    </w:p>
    <w:p w14:paraId="080FD3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2C57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sanción en que incurrirán los constructores, interventores, auditores y/o supervisores, de conformidad con lo dispuesto en el artículo 22 de la Ley 1537 de 2012, será la imposibilidad de participar durante diez (10) años en proyectos de vivienda de interés social que vinculen los recursos asignados por las entidades otorgantes de subsidios familiares de vivienda.  </w:t>
      </w:r>
    </w:p>
    <w:p w14:paraId="5A1B07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00E1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los constructores, interventores, auditores y/o supervisores de los proyectos de vivienda hayan desarrollado sus obligaciones a través de un consorcio, unión temporal o cualquier otra forma asociativa permitida por la ley, se iniciará el proceso sancionatorio a todos los miembros de la forma asociativa, y se determinará la sanción a cada uno, de conformidad con lo establecido en el artículo 7° de la Ley 80 de 1993 o las normas que lo modifiquen, adicionen o sustituyan.  </w:t>
      </w:r>
    </w:p>
    <w:p w14:paraId="6EDA39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EF6F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los órganos de decisión de los patrimonios autónomos en los cuales Fonvivienda o las instituciones otorgantes del subsidio familiar de vivienda urbana de las entidades territoriales sean fideicomitentes determinen qué constructores, interventores, auditores y/o supervisores de proyectos de vivienda incumplieron sus obligaciones, la sociedad fiduciaria vocera del Fideicomiso informará la decisión a los directores o representantes legales de las entidades otorgantes del subsidio familiar de vivienda, quienes deberán adelantar el procedimiento administrativo sancionatorio de que trata este artículo y emitir el acto administrativo sancionatorio que se reportará en los términos establecidos en el presente capítulo.  </w:t>
      </w:r>
    </w:p>
    <w:p w14:paraId="308B1F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5193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si tanto Fonvivienda como las instituciones otorgantes del subsidio familiar de vivienda urbana de las entidades territoriales aportaron recursos al mismo patrimonio autónomo, Fonvivienda adelantará el procedimiento administrativo sancionatorio de que trata este artículo.  </w:t>
      </w:r>
    </w:p>
    <w:p w14:paraId="25C67F75" w14:textId="00E1DA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26" w:name="ver_30109524"/>
      <w:bookmarkEnd w:id="826"/>
    </w:p>
    <w:p w14:paraId="4B146B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2.1.6.2.</w:t>
      </w:r>
      <w:proofErr w:type="gramStart"/>
      <w:r w:rsidRPr="009342F9">
        <w:rPr>
          <w:rFonts w:ascii="Arial" w:eastAsia="Times New Roman" w:hAnsi="Arial" w:cs="Arial"/>
          <w:color w:val="000000"/>
          <w:lang w:eastAsia="es-CO"/>
        </w:rPr>
        <w:t>2.Reporte</w:t>
      </w:r>
      <w:proofErr w:type="gramEnd"/>
      <w:r w:rsidRPr="009342F9">
        <w:rPr>
          <w:rFonts w:ascii="Arial" w:eastAsia="Times New Roman" w:hAnsi="Arial" w:cs="Arial"/>
          <w:color w:val="000000"/>
          <w:lang w:eastAsia="es-CO"/>
        </w:rPr>
        <w:t xml:space="preserve"> de la información. Las sanciones impuestas a los constructores, interventores, auditores y/o supervisores de proyectos de vivienda, deberán ser reportadas por la entidad otorgante del subsidio familiar de vivienda, dentro del mes siguiente a la ejecutoria del respectivo acto, a la Cámara de Comercio que tenga jurisdicción en el lugar del domicilio del inscrito en el Registro Único de Proponentes que haya sido sancionado.  </w:t>
      </w:r>
    </w:p>
    <w:p w14:paraId="697AFE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8694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Superintendencia de Industria y Comercio determinará las especificaciones técnicas, procedimiento y condiciones para el reporte electrónico de información que Fonvivienda o las entidades otorgantes de subsidios están obligadas a suministrar a las Cámaras de Comercio sobre las sanciones impuestas a los inscritos en el Registro Único de Proponentes, de acuerdo con lo establecido en el presente capítulo, dentro de los tres (3) meses siguientes a su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w:t>
      </w:r>
    </w:p>
    <w:p w14:paraId="7BEE1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1D8A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sanciones y medidas administrativas de incumplimiento declaradas a consorcios, uniones temporales o cualquier otra forma asociativa permitida por la ley, deberán reportarse respecto a cada uno de sus integrantes inscritos.  </w:t>
      </w:r>
    </w:p>
    <w:p w14:paraId="43472B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5739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cuando se trate de sanciones o medidas administrativas impuestas por Fonvivienda, esta entidad incluirá la sanción en el Sistema de Información del Subsidio Familiar de Vivienda, y se mantendrá en el mismo por el tiempo de la sanción.  </w:t>
      </w:r>
    </w:p>
    <w:p w14:paraId="593CE5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3E67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entidades otorgantes del subsidio familiar de vivienda, del nivel departamental y municipal, deberán reportar la información de que trata este artículo, surtiendo el procedimiento y condiciones que defina la Superintendencia de Industria y Comercio para el efecto. Adicionalmente, deberán reportar la misma información a Fonvivienda, en los términos y condiciones definidos por este, con el fin de que se incluya en el Sistema de Información del Subsidio Familiar de Vivienda.  </w:t>
      </w:r>
    </w:p>
    <w:p w14:paraId="451946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B568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Fonvivienda estará obligada a reportar a las Cámaras de Comercio la información a que se refiere el presente artículo, a partir de los tres (3) meses siguientes a la fecha en que Confecámaras comunique a la Superintendencia de Industria y Comercio sobre la implementación definitiva de la solución tecnológica adoptada para el reporte de dicha información. Una vez reciba la mencionada comunicación la Superintendencia de Industria y Comercio, informará a Fonvivienda, para los fines pertinentes.  </w:t>
      </w:r>
    </w:p>
    <w:p w14:paraId="47B7FAD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27" w:name="ver_30109525"/>
      <w:bookmarkEnd w:id="827"/>
    </w:p>
    <w:p w14:paraId="782014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2.1.6.2.</w:t>
      </w:r>
      <w:proofErr w:type="gramStart"/>
      <w:r w:rsidRPr="009342F9">
        <w:rPr>
          <w:rFonts w:ascii="Arial" w:eastAsia="Times New Roman" w:hAnsi="Arial" w:cs="Arial"/>
          <w:color w:val="000000"/>
          <w:lang w:eastAsia="es-CO"/>
        </w:rPr>
        <w:t>3.Reporte</w:t>
      </w:r>
      <w:proofErr w:type="gramEnd"/>
      <w:r w:rsidRPr="009342F9">
        <w:rPr>
          <w:rFonts w:ascii="Arial" w:eastAsia="Times New Roman" w:hAnsi="Arial" w:cs="Arial"/>
          <w:color w:val="000000"/>
          <w:lang w:eastAsia="es-CO"/>
        </w:rPr>
        <w:t xml:space="preserve"> de información previamente emitida. La información de las sanciones y medidas administrativas de incumplimiento declaradas por Fonvivienda antes de la entrada en vigencia del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deberá ser reportada por dicha entidad a la Cámara de Comercio del domicilio del inscrito en el Registro Único de Proponentes que haya sido sancionado, dentro de los tres (3) meses siguientes a la fecha en que reciba la comunicación a que se refiere el parágrafo 2° del artículo 2.1.6.2.2 de este decreto.  </w:t>
      </w:r>
    </w:p>
    <w:p w14:paraId="7202F7E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28" w:name="ver_30109526"/>
      <w:bookmarkEnd w:id="828"/>
    </w:p>
    <w:p w14:paraId="76EE09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2.1.6.2.</w:t>
      </w:r>
      <w:proofErr w:type="gramStart"/>
      <w:r w:rsidRPr="009342F9">
        <w:rPr>
          <w:rFonts w:ascii="Arial" w:eastAsia="Times New Roman" w:hAnsi="Arial" w:cs="Arial"/>
          <w:color w:val="000000"/>
          <w:lang w:eastAsia="es-CO"/>
        </w:rPr>
        <w:t>4.Condiciones</w:t>
      </w:r>
      <w:proofErr w:type="gramEnd"/>
      <w:r w:rsidRPr="009342F9">
        <w:rPr>
          <w:rFonts w:ascii="Arial" w:eastAsia="Times New Roman" w:hAnsi="Arial" w:cs="Arial"/>
          <w:color w:val="000000"/>
          <w:lang w:eastAsia="es-CO"/>
        </w:rPr>
        <w:t xml:space="preserve"> para el reporte de la información. Cuando la entidad que haya emitido la sanción o medida de incumplimiento reporte la información respectiva, las Cámaras de Comercio la registrarán sin necesidad de actuación alguna por parte del incumplido y/o sancionado.  </w:t>
      </w:r>
    </w:p>
    <w:p w14:paraId="24E0FC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360A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Cámaras de Comercio no serán responsables del contenido ni de la oportunidad de la información reportada por la entidad que reporte la sanción o medida de incumplimiento, por lo tanto, las controversias respecto de la </w:t>
      </w:r>
      <w:proofErr w:type="gramStart"/>
      <w:r w:rsidRPr="009342F9">
        <w:rPr>
          <w:rFonts w:ascii="Arial" w:eastAsia="Times New Roman" w:hAnsi="Arial" w:cs="Arial"/>
          <w:color w:val="000000"/>
          <w:lang w:eastAsia="es-CO"/>
        </w:rPr>
        <w:t>misma,</w:t>
      </w:r>
      <w:proofErr w:type="gramEnd"/>
      <w:r w:rsidRPr="009342F9">
        <w:rPr>
          <w:rFonts w:ascii="Arial" w:eastAsia="Times New Roman" w:hAnsi="Arial" w:cs="Arial"/>
          <w:color w:val="000000"/>
          <w:lang w:eastAsia="es-CO"/>
        </w:rPr>
        <w:t xml:space="preserve"> deberán surtirse ante dicha entidad.  </w:t>
      </w:r>
    </w:p>
    <w:p w14:paraId="423BFD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421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certificaciones que expidan las Cámaras de Comercio, en relación con el Registro Único de Proponentes deberán permitir verificar si los reportes de incumplimientos contractuales están relacionados con el desarrollo de contratos de obra civil y/o interventoría de obra civil”.  </w:t>
      </w:r>
    </w:p>
    <w:p w14:paraId="67A50539" w14:textId="7399DA11" w:rsidR="00FC79C1" w:rsidRPr="009342F9" w:rsidRDefault="00FC79C1" w:rsidP="00683694">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C64C2D"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829" w:name="ver_30072557"/>
      <w:bookmarkEnd w:id="829"/>
      <w:r w:rsidRPr="009342F9">
        <w:rPr>
          <w:rFonts w:ascii="Arial" w:eastAsia="Times New Roman" w:hAnsi="Arial" w:cs="Arial"/>
          <w:b/>
          <w:bCs/>
          <w:color w:val="000000"/>
          <w:lang w:eastAsia="es-CO"/>
        </w:rPr>
        <w:t>TÍTULO 7</w:t>
      </w:r>
    </w:p>
    <w:p w14:paraId="1265267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CONSEJO SUPERIOR DE VIVIENDA</w:t>
      </w:r>
    </w:p>
    <w:p w14:paraId="4D81DEC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30" w:name="ver_30072558"/>
      <w:bookmarkEnd w:id="830"/>
    </w:p>
    <w:p w14:paraId="0A4C44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2.1.7.1. Naturaleza y funciones del consejo superior de vivienda. El consejo superior de vivienda, creado mediante el artículo 6º de la Ley 546 de 1999 es un organismo asesor del gobierno en materia de vivienda, adscrito al Ministerio de Vivienda, Ciudad y Territorio, que cuenta con las siguientes funciones, según lo establecido en la Ley 3ª de 1991 y en la Ley 546 de 1999. </w:t>
      </w:r>
    </w:p>
    <w:p w14:paraId="2AEF6B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F945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Asesorar al Gobierno Nacional en la formulación, coordinación, y ejecución de la política de vivienda, particularmente de la de interés social. </w:t>
      </w:r>
    </w:p>
    <w:p w14:paraId="1EE6B1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36C4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Revisar los costos para adquisición de vivienda, tales como los gastos por concepto de impuestos, tarifas y tasas. </w:t>
      </w:r>
    </w:p>
    <w:p w14:paraId="3723A8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00D1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Evaluar periódicamente los resultados obtenidos en desarrollo de los programas de ejecución de la política de vivienda. </w:t>
      </w:r>
    </w:p>
    <w:p w14:paraId="307625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7AA2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Velar por el cumplimiento de los objetivos y criterios del sistema especializado de financiación de vivienda a largo plazo. </w:t>
      </w:r>
    </w:p>
    <w:p w14:paraId="5EB7ED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0FBC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Establecer y divulgar las estadísticas que afecten a la construcción y financiación de vivienda. </w:t>
      </w:r>
    </w:p>
    <w:p w14:paraId="63C1AA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A537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Velar por el cumplimiento de las condiciones de transferencia e información en las actividades de las diferentes entidades involucradas en el sistema especializado de financiación de vivienda a largo plazo. </w:t>
      </w:r>
    </w:p>
    <w:p w14:paraId="385492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71FA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Recomendar a la Junta Directiva del Banco de la República la intervención temporal en los márgenes de intermediación de los créditos destinados a la financiación de vivienda. </w:t>
      </w:r>
    </w:p>
    <w:p w14:paraId="72AE19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09BE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Recomendar los seguros que amparen los riesgos que puedan tener los activos que se financien. </w:t>
      </w:r>
    </w:p>
    <w:p w14:paraId="3CD384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9F21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Recomendar incentivos para la adquisición y comercialización de bonos y títulos hipotecarios. </w:t>
      </w:r>
    </w:p>
    <w:p w14:paraId="08C22A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DDF7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Presentar anualmente, dentro de los primeros quince (15) días de cada legislatura, al Congreso de la República un informe acerca del déficit cuantitativo y cualitativo, urbano y rural de vivienda, en el nivel nacional y regional, en forma global y por estrato socioeconómico. </w:t>
      </w:r>
    </w:p>
    <w:p w14:paraId="2D74C0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1867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Las demás que le asigne la ley. </w:t>
      </w:r>
    </w:p>
    <w:p w14:paraId="0F51BF2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31" w:name="ver_30072559"/>
      <w:bookmarkEnd w:id="831"/>
    </w:p>
    <w:p w14:paraId="4E200C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2.1.7.2. Conformación del consejo superior de vivienda y escogencia de sus integrantes. El consejo superior de vivienda, consagrado en la Ley 546 de 1999, estará integrado por: </w:t>
      </w:r>
    </w:p>
    <w:p w14:paraId="3E8394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E984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Ministro de Vivienda, Ciudad y Territorio o su delegado, quien lo presidirá. </w:t>
      </w:r>
    </w:p>
    <w:p w14:paraId="119211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C081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Ministro de Hacienda y Crédito Público o su delegado. </w:t>
      </w:r>
    </w:p>
    <w:p w14:paraId="132257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74B3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director del Departamento Nacional de Planeación o su delegado. </w:t>
      </w:r>
    </w:p>
    <w:p w14:paraId="43099A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84E7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Superintendente Financiero o su delegado. </w:t>
      </w:r>
    </w:p>
    <w:p w14:paraId="1FB297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6B26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Superintendente de Sociedades o su delegado. </w:t>
      </w:r>
    </w:p>
    <w:p w14:paraId="26C11D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9A6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El Superintendente del Subsidio Familiar o su delegado. </w:t>
      </w:r>
    </w:p>
    <w:p w14:paraId="12773B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26C0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Un representante de las organizaciones populares de vivienda, escogido por el Ministro de Vivienda, Ciudad y Territorio, de las organizaciones de este tipo, legalmente reconocidas y que se inscriban para este propósito, ante la secretaría técnica del consejo superior de vivienda. </w:t>
      </w:r>
    </w:p>
    <w:p w14:paraId="00B60E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49F7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Un representante de los constructores, escogido por el Ministro de Vivienda, Ciudad y Territorio, de las agremiaciones de este tipo, legalmente constituidas y que se inscriban para este propósito, ante la secretaría técnica del consejo superior de vivienda. </w:t>
      </w:r>
    </w:p>
    <w:p w14:paraId="27980C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1812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Un representante de los establecimientos de crédito, escogido por el Ministro de Hacienda y Crédito Público, de los que se inscriban para este propósito, ante la secretaría técnica del consejo superior de vivienda. </w:t>
      </w:r>
    </w:p>
    <w:p w14:paraId="298EB2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66A6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Un representante de los usuarios de crédito individual de vivienda, escogido por el Ministro de Hacienda y Crédito Público, de las asociaciones de este tipo legalmente constituidas, y que se inscriban para este propósito, ante la secretaría técnica del consejo superior de vivienda. </w:t>
      </w:r>
    </w:p>
    <w:p w14:paraId="1701B2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3789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Un representante de los trabajadores, escogido por el Ministro de Vivienda, Ciudad y Territorio, de terna enviada por las organizaciones sindicales de tercer grado a la secretaría técnica del consejo superior de vivienda. </w:t>
      </w:r>
    </w:p>
    <w:p w14:paraId="68AA61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699F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Un representante de las cajas de compensación familiar, elegido por el consejo superior del subsidio familiar. </w:t>
      </w:r>
    </w:p>
    <w:p w14:paraId="4E1E44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2848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Un representante del sector inmobiliario nacional, escogido por el Ministro de Vivienda, Ciudad y Territorio, de las lonjas de propiedad raíz y establecimientos de comercio que cumplen funciones de enajenación de inmuebles, que se inscriban para este propósito, ante la secretaría técnica del consejo superior de vivienda. </w:t>
      </w:r>
    </w:p>
    <w:p w14:paraId="767918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BBFE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El período de los integrantes del consejo, de que tratan los numerales 8º al 14 del presente artículo, será de dos (2) años contados a partir de la fecha de su escogencia o elección. En el evento de renuncia de uno de ellos, sin que hubiere concluido el período para el cual fue elegido, se procederá a la elección de un nuevo representante, en la forma prevista en el presente artículo, para que culmine el período correspondiente. </w:t>
      </w:r>
    </w:p>
    <w:p w14:paraId="2D3085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777A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La inscripción para la selección de cada representante ante la secretaría técnica del consejo superior de vivienda, se hará indicando para qué propósito y allegando los documentos que lo acrediten como tal. </w:t>
      </w:r>
    </w:p>
    <w:p w14:paraId="37B0AB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AD51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el evento que no se inscriban o no sean enviadas las ternas de que trata el presente artículo, el Ministro de Hacienda y Crédito Público designará a los Representantes de los Establecimientos de Crédito y de los Usuarios de Crédito Individual, y el Ministro de Vivienda, Ciudad y Territorio designará a los Representantes de las Organizaciones Populares de Vivienda, de los Constructores, de los Trabajadores y del Sector Inmobiliario Nacional. (Adicionado por el Decreto 2319 de 2000, artículo 1°).  </w:t>
      </w:r>
    </w:p>
    <w:p w14:paraId="6A2EDB4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32" w:name="ver_30072560"/>
      <w:bookmarkEnd w:id="832"/>
    </w:p>
    <w:p w14:paraId="229F88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2.1.7.3. Secretaría técnica del consejo superior de vivienda. El consejo superior de </w:t>
      </w:r>
      <w:proofErr w:type="gramStart"/>
      <w:r w:rsidRPr="009342F9">
        <w:rPr>
          <w:rFonts w:ascii="Arial" w:eastAsia="Times New Roman" w:hAnsi="Arial" w:cs="Arial"/>
          <w:color w:val="000000"/>
          <w:lang w:eastAsia="es-CO"/>
        </w:rPr>
        <w:t>vivienda,</w:t>
      </w:r>
      <w:proofErr w:type="gramEnd"/>
      <w:r w:rsidRPr="009342F9">
        <w:rPr>
          <w:rFonts w:ascii="Arial" w:eastAsia="Times New Roman" w:hAnsi="Arial" w:cs="Arial"/>
          <w:color w:val="000000"/>
          <w:lang w:eastAsia="es-CO"/>
        </w:rPr>
        <w:t xml:space="preserve"> contará con una secretaría técnica permanente la cual será ejercida por la dirección general de vivienda del Ministerio de Vivienda, Ciudad y Territorio, o la dependencia que haga sus veces, y tendrá las siguientes funciones: </w:t>
      </w:r>
    </w:p>
    <w:p w14:paraId="5D4F7E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AA76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Prestar apoyo operativo al consejo, en los asuntos relacionados con su participación en el mismo. </w:t>
      </w:r>
    </w:p>
    <w:p w14:paraId="1FA02A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94CF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Levantar las actas de las reuniones del consejo y ejercer la guarda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w:t>
      </w:r>
    </w:p>
    <w:p w14:paraId="0DE4AE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18A4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Preparar los temas a tratar en cada reunión del consejo. </w:t>
      </w:r>
    </w:p>
    <w:p w14:paraId="61587A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57CD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Informar con la debida antelación a los miembros del consejo, sobre las convocatorias a las reuniones realizadas por la presidencia del consejo. </w:t>
      </w:r>
    </w:p>
    <w:p w14:paraId="356C2F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685A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Las demás establecidas en la ley o el reglamento. </w:t>
      </w:r>
    </w:p>
    <w:p w14:paraId="3ADC0BE2" w14:textId="016E3C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33" w:name="ver_30072561"/>
      <w:bookmarkEnd w:id="833"/>
    </w:p>
    <w:p w14:paraId="26C0AA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2.1.7.4. Asesores del consejo superior de vivienda. El consejo superior de vivienda contará con dos asesores, designados uno (1) por el Ministro de Hacienda y Crédito Público, y uno (1) por el Ministro de Vivienda, Ciudad y Territorio, los cuales serán expertos con amplia preparación en los temas de competencia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Los asesores del consejo superior de vivienda analizarán y conceptuarán sobre los asuntos sometidos a su consideración por el secretario técnico. </w:t>
      </w:r>
    </w:p>
    <w:p w14:paraId="0E1F240B" w14:textId="7D9942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34" w:name="ver_30072562"/>
      <w:bookmarkEnd w:id="834"/>
    </w:p>
    <w:p w14:paraId="5BB673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2.1.7.5. Reuniones y convocatorias. El consejo superior de vivienda se reunirá, al menos, dos (2) veces al año, previa convocatoria del Ministro de Vivienda, Ciudad y Territorio, a través de la secretaría técnica, efectuada por escrito que se enviará como mínimo con cinco (5) días de antelación a la fecha de la reunión. </w:t>
      </w:r>
    </w:p>
    <w:p w14:paraId="50C834D9" w14:textId="77777777" w:rsidR="00AA5FD1" w:rsidRDefault="00AA5FD1" w:rsidP="00FC79C1">
      <w:pPr>
        <w:spacing w:after="0" w:line="240" w:lineRule="auto"/>
        <w:jc w:val="both"/>
        <w:rPr>
          <w:rFonts w:ascii="Arial" w:eastAsia="Times New Roman" w:hAnsi="Arial" w:cs="Arial"/>
          <w:color w:val="000000"/>
          <w:lang w:eastAsia="es-CO"/>
        </w:rPr>
      </w:pPr>
    </w:p>
    <w:p w14:paraId="21AF58FE" w14:textId="1F6DC26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2.1.7.6. Quórum </w:t>
      </w:r>
      <w:proofErr w:type="spellStart"/>
      <w:r w:rsidRPr="009342F9">
        <w:rPr>
          <w:rFonts w:ascii="Arial" w:eastAsia="Times New Roman" w:hAnsi="Arial" w:cs="Arial"/>
          <w:color w:val="000000"/>
          <w:lang w:eastAsia="es-CO"/>
        </w:rPr>
        <w:t>deliberatorio</w:t>
      </w:r>
      <w:proofErr w:type="spellEnd"/>
      <w:r w:rsidRPr="009342F9">
        <w:rPr>
          <w:rFonts w:ascii="Arial" w:eastAsia="Times New Roman" w:hAnsi="Arial" w:cs="Arial"/>
          <w:color w:val="000000"/>
          <w:lang w:eastAsia="es-CO"/>
        </w:rPr>
        <w:t>. El consejo superior de vivienda sesionará con la mitad más uno de sus miembros. </w:t>
      </w:r>
    </w:p>
    <w:p w14:paraId="0A72C48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35" w:name="ver_30072564"/>
      <w:bookmarkEnd w:id="835"/>
    </w:p>
    <w:p w14:paraId="6FE9A5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2.1.7.7. Quórum decisorio. El consejo superior de vivienda decidirá con la mitad más uno de los miembros presentes. En todo caso, se requerirá al menos del voto favorable de uno de los ministros miembros o su respectivo delegado. </w:t>
      </w:r>
    </w:p>
    <w:p w14:paraId="266B6E22" w14:textId="411E09D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36" w:name="ver_30072565"/>
      <w:bookmarkEnd w:id="836"/>
    </w:p>
    <w:p w14:paraId="026CDD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2.1.7.8. Actas. De cada reunión se levantará un acta suscrita por el presidente del consejo y la secretaría técnica, que indicará, entre otros, los siguientes aspectos: </w:t>
      </w:r>
    </w:p>
    <w:p w14:paraId="258AA3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A35D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Hora de iniciación y terminación de la reunión. </w:t>
      </w:r>
    </w:p>
    <w:p w14:paraId="604037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A8CC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Llamado a lista, con indicación de los presentes y ausentes, así como de la presencia de delegados o invitados, cuando fuere el caso. </w:t>
      </w:r>
    </w:p>
    <w:p w14:paraId="58B814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FBDE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aspectos sometidos a su consideración en la reunión correspondiente. </w:t>
      </w:r>
    </w:p>
    <w:p w14:paraId="618514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6665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Decisiones adoptadas, con indicación de los consensos y disensos. </w:t>
      </w:r>
    </w:p>
    <w:p w14:paraId="7845CE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1EC7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Constancias solicitadas por los miembros del consejo. </w:t>
      </w:r>
    </w:p>
    <w:p w14:paraId="1CD7C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AC78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demás que se consideren necesarios para el cabal funcionamiento del consejo. </w:t>
      </w:r>
    </w:p>
    <w:p w14:paraId="3ED4461D"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319E8A2" w14:textId="381D60B1" w:rsidR="00FC79C1" w:rsidRPr="009342F9" w:rsidRDefault="00FC79C1" w:rsidP="00683694">
      <w:pPr>
        <w:spacing w:after="0" w:line="240" w:lineRule="auto"/>
        <w:jc w:val="center"/>
        <w:rPr>
          <w:rFonts w:ascii="Arial" w:eastAsia="Times New Roman" w:hAnsi="Arial" w:cs="Arial"/>
          <w:b/>
          <w:bCs/>
          <w:color w:val="000000"/>
          <w:lang w:eastAsia="es-CO"/>
        </w:rPr>
      </w:pPr>
      <w:bookmarkStart w:id="837" w:name="ver_30110849"/>
      <w:bookmarkEnd w:id="837"/>
      <w:r w:rsidRPr="009342F9">
        <w:rPr>
          <w:rFonts w:ascii="Arial" w:eastAsia="Times New Roman" w:hAnsi="Arial" w:cs="Arial"/>
          <w:b/>
          <w:bCs/>
          <w:color w:val="000000"/>
          <w:lang w:eastAsia="es-CO"/>
        </w:rPr>
        <w:t>TÍTULO 8</w:t>
      </w:r>
    </w:p>
    <w:p w14:paraId="53FE6E4F"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EXENCIÓN DE DERECHOS NOTARIALES Y DE REGISTRO</w:t>
      </w:r>
    </w:p>
    <w:p w14:paraId="62DAB64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38" w:name="ver_30210177"/>
      <w:bookmarkStart w:id="839" w:name="ver_30110850"/>
      <w:bookmarkEnd w:id="838"/>
    </w:p>
    <w:p w14:paraId="7B8F72A5" w14:textId="5A1348A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2.1.8.1.</w:t>
      </w:r>
      <w:r w:rsidR="00A27815">
        <w:rPr>
          <w:rFonts w:ascii="Arial" w:eastAsia="Times New Roman" w:hAnsi="Arial" w:cs="Arial"/>
          <w:color w:val="000000"/>
          <w:lang w:eastAsia="es-CO"/>
        </w:rPr>
        <w:t xml:space="preserve"> </w:t>
      </w:r>
      <w:r w:rsidRPr="009342F9">
        <w:rPr>
          <w:rFonts w:ascii="Arial" w:eastAsia="Times New Roman" w:hAnsi="Arial" w:cs="Arial"/>
          <w:color w:val="000000"/>
          <w:lang w:eastAsia="es-CO"/>
        </w:rPr>
        <w:t>Acreditación de la condición de vivienda de interés prioritario para aplicar la exención de pago de derechos notariales y registrales. Los interesados en acceder a la exención de derechos notariales y registrales, en el caso al que se refiere el literal a) del artículo 119 de la Ley 1753 de 2015, deberán presentar ante el notario correspondiente, certificación expedida por la entidad otorgante del subsidio familiar de vivienda en la que conste que todos los bienes de dominio particular que conformen el edificio o conjunto sometido al régimen de propiedad horizontal, son viviendas de interés prioritario desarrolladas con la financiación o cofinanciación de subsidios familiares de vivienda. </w:t>
      </w:r>
    </w:p>
    <w:p w14:paraId="492E0E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E616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acceder a las exenciones de derechos notariales a que se refieren los literales b) al g) del artículo 119 de la Ley 1753 de 2015, los interesados deberán acompañar al negocio jurídico correspondiente el documento que acredite la asignación del subsidio familiar de vivienda, emitido por la entidad otorgante del mismo. </w:t>
      </w:r>
    </w:p>
    <w:p w14:paraId="440B56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0AC7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todos los eventos a que se refiere este artículo, el notario y la Oficina de Registro de Instrumentos Públicos correspondiente deberán verificar que el valor de las viviendas objeto de los negocios jurídicos, de acuerdo con lo establecido en los mismos, no supere los noventa (90) salarios mínimos legales mensuales vigentes, o los valores máximos de las viviendas de interés prioritario, establecidos en el artículo 2.1.1.2.2.2 del presente decreto, para los departamentos de San Andrés, Providencia y Santa Catalina, Amazonas, Vichada, Vaupés, Guainía, Putumayo y Chocó. </w:t>
      </w:r>
    </w:p>
    <w:p w14:paraId="2DF6441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40" w:name="ver_30110851"/>
      <w:bookmarkEnd w:id="839"/>
      <w:bookmarkEnd w:id="840"/>
    </w:p>
    <w:p w14:paraId="5B9ECC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2.1.8.2. Acreditación de la condición de población vulnerable para ser beneficiarios de la exención de pago de derechos notariales y registrales en negocios jurídicos sobre viviendas de interés prioritario usadas. Los interesados en acceder a las exenciones de derechos notariales y registrales previstas en los literales c), e) y g) del artículo 119 de la Ley 1753 de 2015, además de la acreditación de las condiciones establecidas en el artículo 2.1.8.1 del presente decreto, deberán presentar ante el notario correspondiente, una certificación emitida por la entidad competente en la que conste que están registrados en los siguientes listados o bases de datos:  </w:t>
      </w:r>
    </w:p>
    <w:p w14:paraId="7606A9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AEBA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Sistema de información de la Red para la Superación de la Pobreza Extrema Unidos (</w:t>
      </w:r>
      <w:proofErr w:type="spellStart"/>
      <w:r w:rsidRPr="009342F9">
        <w:rPr>
          <w:rFonts w:ascii="Arial" w:eastAsia="Times New Roman" w:hAnsi="Arial" w:cs="Arial"/>
          <w:color w:val="000000"/>
          <w:lang w:eastAsia="es-CO"/>
        </w:rPr>
        <w:t>Siunidos</w:t>
      </w:r>
      <w:proofErr w:type="spellEnd"/>
      <w:r w:rsidRPr="009342F9">
        <w:rPr>
          <w:rFonts w:ascii="Arial" w:eastAsia="Times New Roman" w:hAnsi="Arial" w:cs="Arial"/>
          <w:color w:val="000000"/>
          <w:lang w:eastAsia="es-CO"/>
        </w:rPr>
        <w:t>) o la que haga sus veces.  </w:t>
      </w:r>
    </w:p>
    <w:p w14:paraId="622B3F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30EC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Sistema de identificación para potenciales beneficiarios de los programas sociales Sisbén III o el que haga sus veces.  </w:t>
      </w:r>
    </w:p>
    <w:p w14:paraId="5FF33E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A4FB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Registro Único de Población Desplazada (RUPD) o el que haga sus veces.  </w:t>
      </w:r>
    </w:p>
    <w:p w14:paraId="0159A4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0C6A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Censo de hogares damnificados de desastre natural, calamidad pública o emergencia, y de hogares localizados en zonas de alto riesgo, elaborados por los Consejos Municipales para la Gestión del Riesgo de Desastres (antes </w:t>
      </w:r>
      <w:proofErr w:type="spellStart"/>
      <w:r w:rsidRPr="009342F9">
        <w:rPr>
          <w:rFonts w:ascii="Arial" w:eastAsia="Times New Roman" w:hAnsi="Arial" w:cs="Arial"/>
          <w:color w:val="000000"/>
          <w:lang w:eastAsia="es-CO"/>
        </w:rPr>
        <w:t>Clopad</w:t>
      </w:r>
      <w:proofErr w:type="spellEnd"/>
      <w:r w:rsidRPr="009342F9">
        <w:rPr>
          <w:rFonts w:ascii="Arial" w:eastAsia="Times New Roman" w:hAnsi="Arial" w:cs="Arial"/>
          <w:color w:val="000000"/>
          <w:lang w:eastAsia="es-CO"/>
        </w:rPr>
        <w:t>), avalados por los Consejos Departamentales para la Gestión del Riesgo de Desastres (antes Crepad) y refrendados por la Unidad Nacional para la Gestión del Riesgo de Desastres (UNGRD).  </w:t>
      </w:r>
    </w:p>
    <w:p w14:paraId="3B35FD3B" w14:textId="4264A8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41" w:name="ver_30110852"/>
      <w:bookmarkEnd w:id="841"/>
    </w:p>
    <w:p w14:paraId="21408D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2.1.8.3. Protocolización de certificados y/o documentos. Una vez acreditadas las condiciones señaladas en los artículos 2.1.8.1 y 2.1.8.2 del presente título, los notarios deberán incluir en la escritura pública respectiva que el negocio jurídico se encuentra exento de derechos notariales, de conformidad con el artículo 119 de la Ley 1753 de 2015, y protocolizar los certificados y/o documentos mencionados. Los referidos documentos serán suficientes para acreditar ante las Oficinas de Registro de Instrumentos Públicos la exención de los derechos registrales”.  </w:t>
      </w:r>
    </w:p>
    <w:p w14:paraId="169CAE4A" w14:textId="77777777" w:rsidR="00683694"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bookmarkStart w:id="842" w:name="ver_30197941"/>
      <w:bookmarkEnd w:id="842"/>
    </w:p>
    <w:p w14:paraId="5FB63E7C" w14:textId="45CE4E3F"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TÍTULO 9</w:t>
      </w:r>
    </w:p>
    <w:p w14:paraId="6D88049E"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MUNICIPIOS Y DISTRITOS SOBRE LOS QUE APLICA EL PRECIO EXCEPCIONAL DE LA VIVIENDA DE INTERÉS SOCIAL</w:t>
      </w:r>
    </w:p>
    <w:p w14:paraId="16261EF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43" w:name="ver_30197943"/>
      <w:bookmarkEnd w:id="843"/>
    </w:p>
    <w:p w14:paraId="4F7F47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2.1.9.1. Precio Excepcional de la Vivienda de Interés Social. El precio máximo de la Vivienda de Interés Social será de ciento cincuenta (150) salarios mínimos mensuales legales vigentes para las viviendas que se ubiquen en los siguientes distritos y municipios pertenecientes a las aglomeraciones urbanas definidas por el documento </w:t>
      </w:r>
      <w:proofErr w:type="spellStart"/>
      <w:r w:rsidRPr="009342F9">
        <w:rPr>
          <w:rFonts w:ascii="Arial" w:eastAsia="Times New Roman" w:hAnsi="Arial" w:cs="Arial"/>
          <w:color w:val="000000"/>
          <w:lang w:eastAsia="es-CO"/>
        </w:rPr>
        <w:t>Conpes</w:t>
      </w:r>
      <w:proofErr w:type="spellEnd"/>
      <w:r w:rsidRPr="009342F9">
        <w:rPr>
          <w:rFonts w:ascii="Arial" w:eastAsia="Times New Roman" w:hAnsi="Arial" w:cs="Arial"/>
          <w:color w:val="000000"/>
          <w:lang w:eastAsia="es-CO"/>
        </w:rPr>
        <w:t xml:space="preserve"> 3819 de 2014 cuya población supera un millón (1.000.000) de habitantes:  </w:t>
      </w:r>
    </w:p>
    <w:p w14:paraId="60D926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0" w:type="auto"/>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60"/>
        <w:gridCol w:w="4455"/>
      </w:tblGrid>
      <w:tr w:rsidR="00FC79C1" w:rsidRPr="009342F9" w14:paraId="6A0702D9" w14:textId="77777777" w:rsidTr="00FC79C1">
        <w:trPr>
          <w:trHeight w:val="120"/>
          <w:tblCellSpacing w:w="0" w:type="dxa"/>
          <w:jc w:val="center"/>
        </w:trPr>
        <w:tc>
          <w:tcPr>
            <w:tcW w:w="2160" w:type="dxa"/>
            <w:tcBorders>
              <w:top w:val="outset" w:sz="6" w:space="0" w:color="auto"/>
              <w:left w:val="outset" w:sz="6" w:space="0" w:color="auto"/>
              <w:bottom w:val="outset" w:sz="6" w:space="0" w:color="auto"/>
              <w:right w:val="outset" w:sz="6" w:space="0" w:color="auto"/>
            </w:tcBorders>
            <w:vAlign w:val="center"/>
            <w:hideMark/>
          </w:tcPr>
          <w:p w14:paraId="05AB3C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AGLOMERACIÓN  </w:t>
            </w:r>
          </w:p>
        </w:tc>
        <w:tc>
          <w:tcPr>
            <w:tcW w:w="4455" w:type="dxa"/>
            <w:tcBorders>
              <w:top w:val="outset" w:sz="6" w:space="0" w:color="auto"/>
              <w:left w:val="outset" w:sz="6" w:space="0" w:color="auto"/>
              <w:bottom w:val="outset" w:sz="6" w:space="0" w:color="auto"/>
              <w:right w:val="outset" w:sz="6" w:space="0" w:color="auto"/>
            </w:tcBorders>
            <w:vAlign w:val="center"/>
            <w:hideMark/>
          </w:tcPr>
          <w:p w14:paraId="153D41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MUNICIPIO - DISTRITO  </w:t>
            </w:r>
          </w:p>
        </w:tc>
      </w:tr>
      <w:tr w:rsidR="00FC79C1" w:rsidRPr="009342F9" w14:paraId="08366B5B" w14:textId="77777777" w:rsidTr="00FC79C1">
        <w:trPr>
          <w:trHeight w:val="165"/>
          <w:tblCellSpacing w:w="0" w:type="dxa"/>
          <w:jc w:val="center"/>
        </w:trPr>
        <w:tc>
          <w:tcPr>
            <w:tcW w:w="2160" w:type="dxa"/>
            <w:vMerge w:val="restart"/>
            <w:tcBorders>
              <w:top w:val="outset" w:sz="6" w:space="0" w:color="auto"/>
              <w:left w:val="outset" w:sz="6" w:space="0" w:color="auto"/>
              <w:bottom w:val="outset" w:sz="6" w:space="0" w:color="auto"/>
              <w:right w:val="outset" w:sz="6" w:space="0" w:color="auto"/>
            </w:tcBorders>
            <w:vAlign w:val="center"/>
            <w:hideMark/>
          </w:tcPr>
          <w:p w14:paraId="2A052A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Barranquilla  </w:t>
            </w:r>
          </w:p>
        </w:tc>
        <w:tc>
          <w:tcPr>
            <w:tcW w:w="4455" w:type="dxa"/>
            <w:tcBorders>
              <w:top w:val="outset" w:sz="6" w:space="0" w:color="auto"/>
              <w:left w:val="outset" w:sz="6" w:space="0" w:color="auto"/>
              <w:bottom w:val="outset" w:sz="6" w:space="0" w:color="auto"/>
              <w:right w:val="outset" w:sz="6" w:space="0" w:color="auto"/>
            </w:tcBorders>
            <w:vAlign w:val="center"/>
            <w:hideMark/>
          </w:tcPr>
          <w:p w14:paraId="234AD0BB"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Sitionuevo</w:t>
            </w:r>
            <w:proofErr w:type="spellEnd"/>
            <w:r w:rsidRPr="009342F9">
              <w:rPr>
                <w:rFonts w:ascii="Arial" w:eastAsia="Times New Roman" w:hAnsi="Arial" w:cs="Arial"/>
                <w:color w:val="000000"/>
                <w:lang w:eastAsia="es-CO"/>
              </w:rPr>
              <w:t xml:space="preserve">  </w:t>
            </w:r>
          </w:p>
        </w:tc>
      </w:tr>
      <w:tr w:rsidR="00FC79C1" w:rsidRPr="009342F9" w14:paraId="2C2B9E81"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C1383C"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519715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Sabanalarga  </w:t>
            </w:r>
          </w:p>
        </w:tc>
      </w:tr>
      <w:tr w:rsidR="00FC79C1" w:rsidRPr="009342F9" w14:paraId="300A8978"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06C9694"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00D96B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Ponedera  </w:t>
            </w:r>
          </w:p>
        </w:tc>
      </w:tr>
      <w:tr w:rsidR="00FC79C1" w:rsidRPr="009342F9" w14:paraId="79239474"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F489830"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3F0335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Palmar de Varela  </w:t>
            </w:r>
          </w:p>
        </w:tc>
      </w:tr>
      <w:tr w:rsidR="00FC79C1" w:rsidRPr="009342F9" w14:paraId="0006F2AA"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5030FF0"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418756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Sabanagrande  </w:t>
            </w:r>
          </w:p>
        </w:tc>
      </w:tr>
      <w:tr w:rsidR="00FC79C1" w:rsidRPr="009342F9" w14:paraId="09CEFD17"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5980EB2"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557879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Santo Tomás  </w:t>
            </w:r>
          </w:p>
        </w:tc>
      </w:tr>
      <w:tr w:rsidR="00FC79C1" w:rsidRPr="009342F9" w14:paraId="7DB8C11E"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4D0011E"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1AC7CA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Malambo  </w:t>
            </w:r>
          </w:p>
        </w:tc>
      </w:tr>
      <w:tr w:rsidR="00FC79C1" w:rsidRPr="009342F9" w14:paraId="658D2830"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3D598A8"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244E29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Soledad  </w:t>
            </w:r>
          </w:p>
        </w:tc>
      </w:tr>
      <w:tr w:rsidR="00FC79C1" w:rsidRPr="009342F9" w14:paraId="70AD62E5"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34B98AB"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362CD3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Galapa  </w:t>
            </w:r>
          </w:p>
        </w:tc>
      </w:tr>
      <w:tr w:rsidR="00FC79C1" w:rsidRPr="009342F9" w14:paraId="1F1EA326"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6B7E254"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177283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Barranquilla  </w:t>
            </w:r>
          </w:p>
        </w:tc>
      </w:tr>
      <w:tr w:rsidR="00FC79C1" w:rsidRPr="009342F9" w14:paraId="5F111C91" w14:textId="77777777" w:rsidTr="00FC79C1">
        <w:trPr>
          <w:trHeight w:val="900"/>
          <w:tblCellSpacing w:w="0" w:type="dxa"/>
          <w:jc w:val="center"/>
        </w:trPr>
        <w:tc>
          <w:tcPr>
            <w:tcW w:w="2160" w:type="dxa"/>
            <w:vMerge w:val="restart"/>
            <w:tcBorders>
              <w:top w:val="outset" w:sz="6" w:space="0" w:color="auto"/>
              <w:left w:val="outset" w:sz="6" w:space="0" w:color="auto"/>
              <w:bottom w:val="outset" w:sz="6" w:space="0" w:color="auto"/>
              <w:right w:val="outset" w:sz="6" w:space="0" w:color="auto"/>
            </w:tcBorders>
            <w:vAlign w:val="center"/>
            <w:hideMark/>
          </w:tcPr>
          <w:p w14:paraId="7565A7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Bogotá  </w:t>
            </w:r>
          </w:p>
        </w:tc>
        <w:tc>
          <w:tcPr>
            <w:tcW w:w="4455" w:type="dxa"/>
            <w:tcBorders>
              <w:top w:val="outset" w:sz="6" w:space="0" w:color="auto"/>
              <w:left w:val="outset" w:sz="6" w:space="0" w:color="auto"/>
              <w:bottom w:val="outset" w:sz="6" w:space="0" w:color="auto"/>
              <w:right w:val="outset" w:sz="6" w:space="0" w:color="auto"/>
            </w:tcBorders>
            <w:vAlign w:val="center"/>
            <w:hideMark/>
          </w:tcPr>
          <w:p w14:paraId="57E3F3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Tabio  </w:t>
            </w:r>
          </w:p>
        </w:tc>
      </w:tr>
      <w:tr w:rsidR="00FC79C1" w:rsidRPr="009342F9" w14:paraId="39A6C341"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E81C83C"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43EB6C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Cajicá  </w:t>
            </w:r>
          </w:p>
        </w:tc>
      </w:tr>
      <w:tr w:rsidR="00FC79C1" w:rsidRPr="009342F9" w14:paraId="33B90A92"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D9D6310"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29EE3D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Cota  </w:t>
            </w:r>
          </w:p>
        </w:tc>
      </w:tr>
      <w:tr w:rsidR="00FC79C1" w:rsidRPr="009342F9" w14:paraId="5F58AC9D"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D7650B"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4E4C47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Sibaté  </w:t>
            </w:r>
          </w:p>
        </w:tc>
      </w:tr>
      <w:tr w:rsidR="00FC79C1" w:rsidRPr="009342F9" w14:paraId="0E6AAA1C"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7E2FA18"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09A15C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Calera  </w:t>
            </w:r>
          </w:p>
        </w:tc>
      </w:tr>
      <w:tr w:rsidR="00FC79C1" w:rsidRPr="009342F9" w14:paraId="70A0DDE4"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D0CBB0E"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5C70DB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Funza  </w:t>
            </w:r>
          </w:p>
        </w:tc>
      </w:tr>
      <w:tr w:rsidR="00FC79C1" w:rsidRPr="009342F9" w14:paraId="357DA253"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66D565B"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0B96DB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Chía  </w:t>
            </w:r>
          </w:p>
        </w:tc>
      </w:tr>
      <w:tr w:rsidR="00FC79C1" w:rsidRPr="009342F9" w14:paraId="7FC798D3"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FC9195A"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50DE6B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Mosquera  </w:t>
            </w:r>
          </w:p>
        </w:tc>
      </w:tr>
      <w:tr w:rsidR="00FC79C1" w:rsidRPr="009342F9" w14:paraId="1CF1722F"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73EE2C5"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328E6C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Facatativá  </w:t>
            </w:r>
          </w:p>
        </w:tc>
      </w:tr>
      <w:tr w:rsidR="00FC79C1" w:rsidRPr="009342F9" w14:paraId="00F0EE9E"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5B629E5"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687238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Zipaquirá  </w:t>
            </w:r>
          </w:p>
        </w:tc>
      </w:tr>
      <w:tr w:rsidR="00FC79C1" w:rsidRPr="009342F9" w14:paraId="10CDCB53"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5FED201"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0BCB49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Madrid  </w:t>
            </w:r>
          </w:p>
        </w:tc>
      </w:tr>
      <w:tr w:rsidR="00FC79C1" w:rsidRPr="009342F9" w14:paraId="02FA547D"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1FDDD02"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431475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Soacha  </w:t>
            </w:r>
          </w:p>
        </w:tc>
      </w:tr>
      <w:tr w:rsidR="00FC79C1" w:rsidRPr="009342F9" w14:paraId="1C4D7D14"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887F189"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724A02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Tocancipá  </w:t>
            </w:r>
          </w:p>
        </w:tc>
      </w:tr>
      <w:tr w:rsidR="00FC79C1" w:rsidRPr="009342F9" w14:paraId="1CC0D2E0"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3C426D4"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771286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Bogotá  </w:t>
            </w:r>
          </w:p>
        </w:tc>
      </w:tr>
      <w:tr w:rsidR="00FC79C1" w:rsidRPr="009342F9" w14:paraId="20D243F3" w14:textId="77777777" w:rsidTr="00FC79C1">
        <w:trPr>
          <w:trHeight w:val="300"/>
          <w:tblCellSpacing w:w="0" w:type="dxa"/>
          <w:jc w:val="center"/>
        </w:trPr>
        <w:tc>
          <w:tcPr>
            <w:tcW w:w="2160" w:type="dxa"/>
            <w:vMerge w:val="restart"/>
            <w:tcBorders>
              <w:top w:val="outset" w:sz="6" w:space="0" w:color="auto"/>
              <w:left w:val="outset" w:sz="6" w:space="0" w:color="auto"/>
              <w:bottom w:val="outset" w:sz="6" w:space="0" w:color="auto"/>
              <w:right w:val="outset" w:sz="6" w:space="0" w:color="auto"/>
            </w:tcBorders>
            <w:vAlign w:val="center"/>
            <w:hideMark/>
          </w:tcPr>
          <w:p w14:paraId="2C6694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Bucaramanga  </w:t>
            </w:r>
          </w:p>
        </w:tc>
        <w:tc>
          <w:tcPr>
            <w:tcW w:w="4455" w:type="dxa"/>
            <w:tcBorders>
              <w:top w:val="outset" w:sz="6" w:space="0" w:color="auto"/>
              <w:left w:val="outset" w:sz="6" w:space="0" w:color="auto"/>
              <w:bottom w:val="outset" w:sz="6" w:space="0" w:color="auto"/>
              <w:right w:val="outset" w:sz="6" w:space="0" w:color="auto"/>
            </w:tcBorders>
            <w:vAlign w:val="center"/>
            <w:hideMark/>
          </w:tcPr>
          <w:p w14:paraId="7657C9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Piedecuesta  </w:t>
            </w:r>
          </w:p>
        </w:tc>
      </w:tr>
      <w:tr w:rsidR="00FC79C1" w:rsidRPr="009342F9" w14:paraId="17380DCC"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D8584F0"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4649C5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Girón  </w:t>
            </w:r>
          </w:p>
        </w:tc>
      </w:tr>
      <w:tr w:rsidR="00FC79C1" w:rsidRPr="009342F9" w14:paraId="461D3B79"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C75F72A"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3497FE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Floridablanca  </w:t>
            </w:r>
          </w:p>
        </w:tc>
      </w:tr>
      <w:tr w:rsidR="00FC79C1" w:rsidRPr="009342F9" w14:paraId="3DF6EE22"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A7F6074"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33A43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Bucaramanga  </w:t>
            </w:r>
          </w:p>
        </w:tc>
      </w:tr>
      <w:tr w:rsidR="00FC79C1" w:rsidRPr="009342F9" w14:paraId="634792C6" w14:textId="77777777" w:rsidTr="00FC79C1">
        <w:trPr>
          <w:trHeight w:val="360"/>
          <w:tblCellSpacing w:w="0" w:type="dxa"/>
          <w:jc w:val="center"/>
        </w:trPr>
        <w:tc>
          <w:tcPr>
            <w:tcW w:w="2160" w:type="dxa"/>
            <w:vMerge w:val="restart"/>
            <w:tcBorders>
              <w:top w:val="outset" w:sz="6" w:space="0" w:color="auto"/>
              <w:left w:val="outset" w:sz="6" w:space="0" w:color="auto"/>
              <w:bottom w:val="outset" w:sz="6" w:space="0" w:color="auto"/>
              <w:right w:val="outset" w:sz="6" w:space="0" w:color="auto"/>
            </w:tcBorders>
            <w:vAlign w:val="center"/>
            <w:hideMark/>
          </w:tcPr>
          <w:p w14:paraId="451A75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Cali  </w:t>
            </w:r>
          </w:p>
        </w:tc>
        <w:tc>
          <w:tcPr>
            <w:tcW w:w="4455" w:type="dxa"/>
            <w:tcBorders>
              <w:top w:val="outset" w:sz="6" w:space="0" w:color="auto"/>
              <w:left w:val="outset" w:sz="6" w:space="0" w:color="auto"/>
              <w:bottom w:val="outset" w:sz="6" w:space="0" w:color="auto"/>
              <w:right w:val="outset" w:sz="6" w:space="0" w:color="auto"/>
            </w:tcBorders>
            <w:vAlign w:val="center"/>
            <w:hideMark/>
          </w:tcPr>
          <w:p w14:paraId="231E7A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Puerto Tejada  </w:t>
            </w:r>
          </w:p>
        </w:tc>
      </w:tr>
      <w:tr w:rsidR="00FC79C1" w:rsidRPr="009342F9" w14:paraId="1D212EA0"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4BD6A0DA"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03E5AC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Candelaria  </w:t>
            </w:r>
          </w:p>
        </w:tc>
      </w:tr>
      <w:tr w:rsidR="00FC79C1" w:rsidRPr="009342F9" w14:paraId="5C8D510D"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1D0660AE"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18B7C1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Yumbo  </w:t>
            </w:r>
          </w:p>
        </w:tc>
      </w:tr>
      <w:tr w:rsidR="00FC79C1" w:rsidRPr="009342F9" w14:paraId="3283113A"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46B45B3"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125DC6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Jamundí  </w:t>
            </w:r>
          </w:p>
        </w:tc>
      </w:tr>
      <w:tr w:rsidR="00FC79C1" w:rsidRPr="009342F9" w14:paraId="237C562A"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69389C42"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3BCF87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Cali  </w:t>
            </w:r>
          </w:p>
        </w:tc>
      </w:tr>
      <w:tr w:rsidR="00FC79C1" w:rsidRPr="009342F9" w14:paraId="3BE4E363" w14:textId="77777777" w:rsidTr="00FC79C1">
        <w:trPr>
          <w:trHeight w:val="240"/>
          <w:tblCellSpacing w:w="0" w:type="dxa"/>
          <w:jc w:val="center"/>
        </w:trPr>
        <w:tc>
          <w:tcPr>
            <w:tcW w:w="2160" w:type="dxa"/>
            <w:vMerge w:val="restart"/>
            <w:tcBorders>
              <w:top w:val="outset" w:sz="6" w:space="0" w:color="auto"/>
              <w:left w:val="outset" w:sz="6" w:space="0" w:color="auto"/>
              <w:bottom w:val="outset" w:sz="6" w:space="0" w:color="auto"/>
              <w:right w:val="outset" w:sz="6" w:space="0" w:color="auto"/>
            </w:tcBorders>
            <w:vAlign w:val="center"/>
            <w:hideMark/>
          </w:tcPr>
          <w:p w14:paraId="740240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Cartagena  </w:t>
            </w:r>
          </w:p>
        </w:tc>
        <w:tc>
          <w:tcPr>
            <w:tcW w:w="4455" w:type="dxa"/>
            <w:tcBorders>
              <w:top w:val="outset" w:sz="6" w:space="0" w:color="auto"/>
              <w:left w:val="outset" w:sz="6" w:space="0" w:color="auto"/>
              <w:bottom w:val="outset" w:sz="6" w:space="0" w:color="auto"/>
              <w:right w:val="outset" w:sz="6" w:space="0" w:color="auto"/>
            </w:tcBorders>
            <w:vAlign w:val="center"/>
            <w:hideMark/>
          </w:tcPr>
          <w:p w14:paraId="156AC3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Clemencia  </w:t>
            </w:r>
          </w:p>
        </w:tc>
      </w:tr>
      <w:tr w:rsidR="00FC79C1" w:rsidRPr="009342F9" w14:paraId="05956AF8"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6F414BF"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6CCCBD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Turbaco  </w:t>
            </w:r>
          </w:p>
        </w:tc>
      </w:tr>
      <w:tr w:rsidR="00FC79C1" w:rsidRPr="009342F9" w14:paraId="2FA22D44"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0356CC2"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2C9A1E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Cartagena  </w:t>
            </w:r>
          </w:p>
        </w:tc>
      </w:tr>
      <w:tr w:rsidR="00FC79C1" w:rsidRPr="009342F9" w14:paraId="1E7EA6C8" w14:textId="77777777" w:rsidTr="00FC79C1">
        <w:trPr>
          <w:trHeight w:val="120"/>
          <w:tblCellSpacing w:w="0" w:type="dxa"/>
          <w:jc w:val="center"/>
        </w:trPr>
        <w:tc>
          <w:tcPr>
            <w:tcW w:w="2160" w:type="dxa"/>
            <w:vMerge w:val="restart"/>
            <w:tcBorders>
              <w:top w:val="outset" w:sz="6" w:space="0" w:color="auto"/>
              <w:left w:val="outset" w:sz="6" w:space="0" w:color="auto"/>
              <w:bottom w:val="outset" w:sz="6" w:space="0" w:color="auto"/>
              <w:right w:val="outset" w:sz="6" w:space="0" w:color="auto"/>
            </w:tcBorders>
            <w:vAlign w:val="center"/>
            <w:hideMark/>
          </w:tcPr>
          <w:p w14:paraId="7BAF4D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Medellín  </w:t>
            </w:r>
          </w:p>
        </w:tc>
        <w:tc>
          <w:tcPr>
            <w:tcW w:w="4455" w:type="dxa"/>
            <w:tcBorders>
              <w:top w:val="outset" w:sz="6" w:space="0" w:color="auto"/>
              <w:left w:val="outset" w:sz="6" w:space="0" w:color="auto"/>
              <w:bottom w:val="outset" w:sz="6" w:space="0" w:color="auto"/>
              <w:right w:val="outset" w:sz="6" w:space="0" w:color="auto"/>
            </w:tcBorders>
            <w:vAlign w:val="center"/>
            <w:hideMark/>
          </w:tcPr>
          <w:p w14:paraId="0F2F23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Girardota  </w:t>
            </w:r>
          </w:p>
        </w:tc>
      </w:tr>
      <w:tr w:rsidR="00FC79C1" w:rsidRPr="009342F9" w14:paraId="132B5BF1"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7BD0F88E"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1ADC5E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Caldas  </w:t>
            </w:r>
          </w:p>
        </w:tc>
      </w:tr>
      <w:tr w:rsidR="00FC79C1" w:rsidRPr="009342F9" w14:paraId="2D8951A7"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172F9E2"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32E8F1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Itagüí  </w:t>
            </w:r>
          </w:p>
        </w:tc>
      </w:tr>
      <w:tr w:rsidR="00FC79C1" w:rsidRPr="009342F9" w14:paraId="4E05286C"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080E3532"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241B7F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Sabaneta  </w:t>
            </w:r>
          </w:p>
        </w:tc>
      </w:tr>
      <w:tr w:rsidR="00FC79C1" w:rsidRPr="009342F9" w14:paraId="3E3FEF48"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6ECA558"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2F8FE4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Estrella  </w:t>
            </w:r>
          </w:p>
        </w:tc>
      </w:tr>
      <w:tr w:rsidR="00FC79C1" w:rsidRPr="009342F9" w14:paraId="5B8F7E1A"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5CB72E0"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5902CD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Envigado  </w:t>
            </w:r>
          </w:p>
        </w:tc>
      </w:tr>
      <w:tr w:rsidR="00FC79C1" w:rsidRPr="009342F9" w14:paraId="2876033A"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2AE58B6E"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4322C8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Copacabana  </w:t>
            </w:r>
          </w:p>
        </w:tc>
      </w:tr>
      <w:tr w:rsidR="00FC79C1" w:rsidRPr="009342F9" w14:paraId="731963E9"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52668EA7"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437B7A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Bello  </w:t>
            </w:r>
          </w:p>
        </w:tc>
      </w:tr>
      <w:tr w:rsidR="00FC79C1" w:rsidRPr="009342F9" w14:paraId="0BFEAAA1" w14:textId="77777777" w:rsidTr="00FC79C1">
        <w:trPr>
          <w:trHeight w:val="120"/>
          <w:tblCellSpacing w:w="0" w:type="dxa"/>
          <w:jc w:val="center"/>
        </w:trPr>
        <w:tc>
          <w:tcPr>
            <w:tcW w:w="0" w:type="auto"/>
            <w:vMerge/>
            <w:tcBorders>
              <w:top w:val="outset" w:sz="6" w:space="0" w:color="auto"/>
              <w:left w:val="outset" w:sz="6" w:space="0" w:color="auto"/>
              <w:bottom w:val="outset" w:sz="6" w:space="0" w:color="auto"/>
              <w:right w:val="outset" w:sz="6" w:space="0" w:color="auto"/>
            </w:tcBorders>
            <w:vAlign w:val="center"/>
            <w:hideMark/>
          </w:tcPr>
          <w:p w14:paraId="301AE90B"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4455" w:type="dxa"/>
            <w:tcBorders>
              <w:top w:val="outset" w:sz="6" w:space="0" w:color="auto"/>
              <w:left w:val="outset" w:sz="6" w:space="0" w:color="auto"/>
              <w:bottom w:val="outset" w:sz="6" w:space="0" w:color="auto"/>
              <w:right w:val="outset" w:sz="6" w:space="0" w:color="auto"/>
            </w:tcBorders>
            <w:vAlign w:val="center"/>
            <w:hideMark/>
          </w:tcPr>
          <w:p w14:paraId="136B07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Medellín  </w:t>
            </w:r>
          </w:p>
        </w:tc>
      </w:tr>
    </w:tbl>
    <w:p w14:paraId="43E4AA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62137C"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7DEB82B"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844" w:name="ver_30072566"/>
      <w:bookmarkEnd w:id="844"/>
      <w:r w:rsidRPr="009342F9">
        <w:rPr>
          <w:rFonts w:ascii="Arial" w:eastAsia="Times New Roman" w:hAnsi="Arial" w:cs="Arial"/>
          <w:b/>
          <w:bCs/>
          <w:color w:val="000000"/>
          <w:lang w:eastAsia="es-CO"/>
        </w:rPr>
        <w:t>PARTE 2.</w:t>
      </w:r>
    </w:p>
    <w:p w14:paraId="664C4420"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ESTRUCTURA DEL SECTOR DESARROLLO TERRITORIAL</w:t>
      </w:r>
    </w:p>
    <w:p w14:paraId="43F09B36"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16DE7F28"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1</w:t>
      </w:r>
    </w:p>
    <w:p w14:paraId="70C0DAD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3198B55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45" w:name="ver_30072567"/>
      <w:bookmarkEnd w:id="845"/>
    </w:p>
    <w:p w14:paraId="4A7088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2.2.1.1. Definiciones. Para efecto de lo dispuesto en el presente decreto, se adoptan las siguientes definiciones: </w:t>
      </w:r>
    </w:p>
    <w:p w14:paraId="5A4164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B7A2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Accesibilidad. Condición que permite, en cualquier espacio o ambiente ya sea interior o exterior, el fácil y seguro desplazamiento de la población en general y el uso en forma confiable, eficiente y autónoma de los servicios instalados en esos ambientes. </w:t>
      </w:r>
    </w:p>
    <w:p w14:paraId="4D43F4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0A6E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Acera o Andén. Franja longitudinal de la vía urbana, destinada exclusivamente a la circulación de peatones, ubicada a los costados de esta. </w:t>
      </w:r>
    </w:p>
    <w:p w14:paraId="40BEE9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0C6B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Actuación de urbanización. Comprende el conjunto de acciones encaminadas a adecuar un predio o conjunto de predios sin urbanizar para dotarlos de la infraestructura de servicios públicos domiciliarios, vías locales, equipamientos y espacios públicos propios de la urbanización que los hagan aptos para adelantar los procesos de construcción. Estas actuaciones podrán desarrollarse en los predios regulados por los tratamientos urbanísticos de desarrollo y de renovación urbana en la modalidad de redesarrollo. Las citadas actuaciones se autorizan mediante las licencias de urbanización, en las cuales se concretan el marco normativo sobre usos, edificabilidad, volumetría, accesibilidad y los demás aspectos técnicos con base en los cuales se expedirán las licencias de construcción. </w:t>
      </w:r>
    </w:p>
    <w:p w14:paraId="6A027E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Aprovechamiento del suelo o aprovechamiento urbanístico. Es el número de metros cuadrados de edificación para un determinado uso que la norma urbanística autoriza en un predio. </w:t>
      </w:r>
    </w:p>
    <w:p w14:paraId="5D9CB328" w14:textId="2FFE84D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91E0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Aprovechamiento urbanístico básico. Es el beneficio urbanístico que indica la superficie máxima construible, según usos para suelo urbano y de expansión, a que tienen derecho los propietarios, en forma proporcional a su participación en las cargas locales. </w:t>
      </w:r>
    </w:p>
    <w:p w14:paraId="5C155EDE" w14:textId="77777777" w:rsidR="00AA5FD1" w:rsidRDefault="00AA5FD1" w:rsidP="00FC79C1">
      <w:pPr>
        <w:spacing w:after="0" w:line="240" w:lineRule="auto"/>
        <w:jc w:val="both"/>
        <w:rPr>
          <w:rFonts w:ascii="Arial" w:eastAsia="Times New Roman" w:hAnsi="Arial" w:cs="Arial"/>
          <w:color w:val="000000"/>
          <w:lang w:eastAsia="es-CO"/>
        </w:rPr>
      </w:pPr>
    </w:p>
    <w:p w14:paraId="589AE044" w14:textId="05B3C1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Aprovechamiento urbanístico adicional. Es la superficie máxima construible por encima del aprovechamiento básico, según los usos establecidos, a que tienen derecho los propietarios cuando participen en las cargas generales. </w:t>
      </w:r>
    </w:p>
    <w:p w14:paraId="6018AD6F" w14:textId="77777777" w:rsidR="00AA5FD1" w:rsidRDefault="00AA5FD1" w:rsidP="00FC79C1">
      <w:pPr>
        <w:spacing w:after="0" w:line="240" w:lineRule="auto"/>
        <w:jc w:val="both"/>
        <w:rPr>
          <w:rFonts w:ascii="Arial" w:eastAsia="Times New Roman" w:hAnsi="Arial" w:cs="Arial"/>
          <w:color w:val="000000"/>
          <w:lang w:eastAsia="es-CO"/>
        </w:rPr>
      </w:pPr>
    </w:p>
    <w:p w14:paraId="1BC515BD" w14:textId="16F56B0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 bruta. Es el área total del predio o predios objeto de la licencia de urbanización o delimitado(s) por un plan parcial. </w:t>
      </w:r>
    </w:p>
    <w:p w14:paraId="09D78292" w14:textId="300D11F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B8DE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 de actividad. Partes del territorio de los municipios o distritos que deben ser delimitadas en la cartografía del Plan de Ordenamiento Territorial y para las cuales se establece el régimen de usos en función de la estructura urbana definida por el modelo de ocupación del territorio. Son áreas de actividad entre otras, la residencial, comercial, de servicios, industrial, institucional o dotacional y mixta. </w:t>
      </w:r>
    </w:p>
    <w:p w14:paraId="6E35F4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5D87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Áreas de actividad industrial. Zonas rurales suburbanas y rurales no suburbanas del territorio municipal o distrital en las cuales se permite la parcelación del suelo para la localización de establecimientos dedicados a la producción, elaboración, fabricación, preparación, recuperación, reproducción, ensamblaje, construcción, reparación, transformación, tratamiento, almacenamiento, bodegaje y manipulación de materias destinadas a producir bienes o productos materiales. Se excluye de esta definición las actividades relacionadas con la explotación de recursos naturales y el desarrollo aislado de usos agroindustriales, ecoturísticos, </w:t>
      </w:r>
      <w:proofErr w:type="spellStart"/>
      <w:r w:rsidRPr="009342F9">
        <w:rPr>
          <w:rFonts w:ascii="Arial" w:eastAsia="Times New Roman" w:hAnsi="Arial" w:cs="Arial"/>
          <w:color w:val="000000"/>
          <w:lang w:eastAsia="es-CO"/>
        </w:rPr>
        <w:t>etnoturísticos</w:t>
      </w:r>
      <w:proofErr w:type="spellEnd"/>
      <w:r w:rsidRPr="009342F9">
        <w:rPr>
          <w:rFonts w:ascii="Arial" w:eastAsia="Times New Roman" w:hAnsi="Arial" w:cs="Arial"/>
          <w:color w:val="000000"/>
          <w:lang w:eastAsia="es-CO"/>
        </w:rPr>
        <w:t xml:space="preserve">, agroturísticos, </w:t>
      </w:r>
      <w:proofErr w:type="spellStart"/>
      <w:r w:rsidRPr="009342F9">
        <w:rPr>
          <w:rFonts w:ascii="Arial" w:eastAsia="Times New Roman" w:hAnsi="Arial" w:cs="Arial"/>
          <w:color w:val="000000"/>
          <w:lang w:eastAsia="es-CO"/>
        </w:rPr>
        <w:t>acuaturísticos</w:t>
      </w:r>
      <w:proofErr w:type="spellEnd"/>
      <w:r w:rsidRPr="009342F9">
        <w:rPr>
          <w:rFonts w:ascii="Arial" w:eastAsia="Times New Roman" w:hAnsi="Arial" w:cs="Arial"/>
          <w:color w:val="000000"/>
          <w:lang w:eastAsia="es-CO"/>
        </w:rPr>
        <w:t xml:space="preserve"> y demás actividades análogas que sean compatibles con la vocación agrícola, pecuaria y forestal del suelo rural. </w:t>
      </w:r>
    </w:p>
    <w:p w14:paraId="57D441D9" w14:textId="77777777" w:rsidR="00AA5FD1" w:rsidRDefault="00AA5FD1" w:rsidP="00FC79C1">
      <w:pPr>
        <w:spacing w:after="0" w:line="240" w:lineRule="auto"/>
        <w:jc w:val="both"/>
        <w:rPr>
          <w:rFonts w:ascii="Arial" w:eastAsia="Times New Roman" w:hAnsi="Arial" w:cs="Arial"/>
          <w:color w:val="000000"/>
          <w:lang w:eastAsia="es-CO"/>
        </w:rPr>
      </w:pPr>
    </w:p>
    <w:p w14:paraId="37F96CC8" w14:textId="1A0BF57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Áreas de cesión pública obligatoria en actuaciones de urbanización en suelo urbano y de expansión urbana. Son cargas locales de la urbanización y comprenden las áreas de terreno con destino a la construcción de redes secundarias y domiciliarias de servicios públicos, vías locales, equipamientos colectivos y espacio público para parques y zonas verdes que se deben transferir a los municipios y distritos para que se incorporen al espacio público, como contraprestación a los derechos de construcción y desarrollo que se otorgan en las licencias de urbanización. </w:t>
      </w:r>
    </w:p>
    <w:p w14:paraId="3602FE60" w14:textId="1931BA4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E56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 neta urbanizable. Es el área resultante de descontar del área bruta, las áreas para la localización de la infraestructura para el sistema vial principal y de transporte, las redes primarias de servicios públicos domiciliarios y las áreas de conservación y protección de los recursos naturales y paisajísticos. </w:t>
      </w:r>
    </w:p>
    <w:p w14:paraId="613C76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8C12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 o predio urbanizable no urbanizado. Son las áreas o predios que no han sido desarrollados y en los cuales se permiten las actuaciones de urbanización, o que aun cuando contaron con licencia urbanística no ejecutaron las obras de urbanización aprobadas en la misma. </w:t>
      </w:r>
    </w:p>
    <w:p w14:paraId="315E9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5F38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 o predio urbanizado. Se consideran urbanizados las áreas o predios en los que se culminaron las obras de infraestructura de redes, vías locales, parques y equipamientos definidas en las licencias urbanísticas y se hizo entrega de ellas a las autoridades competentes. Las áreas útiles de los terrenos urbanizados podrán estar construidas o no y, en este último caso, la expedición de las respectivas licencias de construcción se someterá a lo dispuesto en el parágrafo 4° del artículo de licencias de construcción y sus modalidades contenido en el presente decreto. </w:t>
      </w:r>
    </w:p>
    <w:p w14:paraId="2415FA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46A6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También se consideran urbanizados: (i) Los sectores antiguos de las ciudades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con fundamento en planos de loteo, urbanísticos, topográficos y/o de licencias de construcción expedidas o aprobados por las autoridades competentes deslindaron los espacios públicos y privados y actualmente cuentan con infraestructura vial y de prestación de servicios públicos que posibilita su desarrollo por construcción. (ii) Los terrenos objeto de desarrollo progresivo o programas de mejoramiento integral de barrios que completaron su proceso de mejoramiento en los aspectos atinentes al desarrollo por urbanización, o que lo completen en el futuro. (iii) Los asentamientos, barrios, zonas o desarrollos que han sido objeto de legalización y que completen la construcción de infraestructuras y espacios públicos definidos en los actos de legalización y hagan la entrega de las cesiones exigidas, salvo que no se hubiere hecho tal previsión. </w:t>
      </w:r>
    </w:p>
    <w:p w14:paraId="3ED4E2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0C42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 útil. Es el área resultante de restarle al área neta urbanizable, el área correspondiente a las zonas de cesión obligatoria para vías locales, espacio público y equipamientos propios de la urbanización. </w:t>
      </w:r>
    </w:p>
    <w:p w14:paraId="595C7B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32C3C3" w14:textId="522F2BF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Barreras arquitectónicas. Son los impedimentos al libre desplazamiento de las personas, que se presentan al interior de las edificaciones. </w:t>
      </w:r>
    </w:p>
    <w:p w14:paraId="017B6D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1FFF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Barreras físicas. Son todas aquellas trabas, irregularidades y obstáculos físicos que limitan o impiden la libertad o movimiento de las personas. </w:t>
      </w:r>
    </w:p>
    <w:p w14:paraId="218F17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1C2F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Bordillo o Sardinel. Elemento a nivel superior de la calzada, que sirve para delimitarla. </w:t>
      </w:r>
    </w:p>
    <w:p w14:paraId="695E3C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8678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Calzada. Zona de la vía destinada a la circulación de vehículos. </w:t>
      </w:r>
    </w:p>
    <w:p w14:paraId="238F1686" w14:textId="0281A87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5FD5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Cambio de uso. Es la autorización específica para destinar los inmuebles de una zona a uno o varios usos diferentes a los permitidos bajo la norma anterior. </w:t>
      </w:r>
    </w:p>
    <w:p w14:paraId="4E9D63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2FD8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Carril. Parte de la calzada destinada al tránsito de una sola fila de vehículos. </w:t>
      </w:r>
    </w:p>
    <w:p w14:paraId="7DCDA089" w14:textId="348BCC3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94A5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Ciclorruta. Vía o sección de la calzada destinada al tránsito de bicicletas en forma exclusiva. </w:t>
      </w:r>
    </w:p>
    <w:p w14:paraId="658F92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52F82A" w14:textId="34E8FBF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Cesi</w:t>
      </w:r>
      <w:r w:rsidR="001B62FD">
        <w:rPr>
          <w:rFonts w:ascii="Arial" w:eastAsia="Times New Roman" w:hAnsi="Arial" w:cs="Arial"/>
          <w:color w:val="000000"/>
          <w:lang w:eastAsia="es-CO"/>
        </w:rPr>
        <w:t>ó</w:t>
      </w:r>
      <w:r w:rsidRPr="009342F9">
        <w:rPr>
          <w:rFonts w:ascii="Arial" w:eastAsia="Times New Roman" w:hAnsi="Arial" w:cs="Arial"/>
          <w:color w:val="000000"/>
          <w:lang w:eastAsia="es-CO"/>
        </w:rPr>
        <w:t xml:space="preserve">n obligatoria. Es la </w:t>
      </w:r>
      <w:r w:rsidR="001B62FD" w:rsidRPr="009342F9">
        <w:rPr>
          <w:rFonts w:ascii="Arial" w:eastAsia="Times New Roman" w:hAnsi="Arial" w:cs="Arial"/>
          <w:color w:val="000000"/>
          <w:lang w:eastAsia="es-CO"/>
        </w:rPr>
        <w:t>enajenación</w:t>
      </w:r>
      <w:r w:rsidRPr="009342F9">
        <w:rPr>
          <w:rFonts w:ascii="Arial" w:eastAsia="Times New Roman" w:hAnsi="Arial" w:cs="Arial"/>
          <w:color w:val="000000"/>
          <w:lang w:eastAsia="es-CO"/>
        </w:rPr>
        <w:t xml:space="preserve"> gratuita de tierras en favor de la entidad territorial correspondiente, que da en </w:t>
      </w:r>
      <w:r w:rsidR="001B62FD" w:rsidRPr="009342F9">
        <w:rPr>
          <w:rFonts w:ascii="Arial" w:eastAsia="Times New Roman" w:hAnsi="Arial" w:cs="Arial"/>
          <w:color w:val="000000"/>
          <w:lang w:eastAsia="es-CO"/>
        </w:rPr>
        <w:t>contraprestación</w:t>
      </w:r>
      <w:r w:rsidRPr="009342F9">
        <w:rPr>
          <w:rFonts w:ascii="Arial" w:eastAsia="Times New Roman" w:hAnsi="Arial" w:cs="Arial"/>
          <w:color w:val="000000"/>
          <w:lang w:eastAsia="es-CO"/>
        </w:rPr>
        <w:t xml:space="preserve"> a la </w:t>
      </w:r>
      <w:r w:rsidR="001B62FD" w:rsidRPr="009342F9">
        <w:rPr>
          <w:rFonts w:ascii="Arial" w:eastAsia="Times New Roman" w:hAnsi="Arial" w:cs="Arial"/>
          <w:color w:val="000000"/>
          <w:lang w:eastAsia="es-CO"/>
        </w:rPr>
        <w:t>autorización</w:t>
      </w:r>
      <w:r w:rsidRPr="009342F9">
        <w:rPr>
          <w:rFonts w:ascii="Arial" w:eastAsia="Times New Roman" w:hAnsi="Arial" w:cs="Arial"/>
          <w:color w:val="000000"/>
          <w:lang w:eastAsia="es-CO"/>
        </w:rPr>
        <w:t xml:space="preserve"> para urbanizar o parcelar. </w:t>
      </w:r>
    </w:p>
    <w:p w14:paraId="5E38E0E9" w14:textId="7263FE8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192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Cruces Peatonales a Desnivel. Son construcciones (puentes y túneles) que garantizan la integridad física y continuidad del flujo peatonal para atravesar una vía. </w:t>
      </w:r>
    </w:p>
    <w:p w14:paraId="4AE4FA8A" w14:textId="1BB08AD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6C5194" w14:textId="45ABC68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Delineaci</w:t>
      </w:r>
      <w:r w:rsidR="00AA5FD1">
        <w:rPr>
          <w:rFonts w:ascii="Arial" w:eastAsia="Times New Roman" w:hAnsi="Arial" w:cs="Arial"/>
          <w:color w:val="000000"/>
          <w:lang w:eastAsia="es-CO"/>
        </w:rPr>
        <w:t>ó</w:t>
      </w:r>
      <w:r w:rsidRPr="009342F9">
        <w:rPr>
          <w:rFonts w:ascii="Arial" w:eastAsia="Times New Roman" w:hAnsi="Arial" w:cs="Arial"/>
          <w:color w:val="000000"/>
          <w:lang w:eastAsia="es-CO"/>
        </w:rPr>
        <w:t>n Urbana. Es la informaci</w:t>
      </w:r>
      <w:r w:rsidR="00AA5FD1">
        <w:rPr>
          <w:rFonts w:ascii="Arial" w:eastAsia="Times New Roman" w:hAnsi="Arial" w:cs="Arial"/>
          <w:color w:val="000000"/>
          <w:lang w:eastAsia="es-CO"/>
        </w:rPr>
        <w:t>ó</w:t>
      </w:r>
      <w:r w:rsidRPr="009342F9">
        <w:rPr>
          <w:rFonts w:ascii="Arial" w:eastAsia="Times New Roman" w:hAnsi="Arial" w:cs="Arial"/>
          <w:color w:val="000000"/>
          <w:lang w:eastAsia="es-CO"/>
        </w:rPr>
        <w:t xml:space="preserve">n que la entidad competente suministra a solicitud de un interesado sobre las normas </w:t>
      </w:r>
      <w:r w:rsidR="001B62FD" w:rsidRPr="009342F9">
        <w:rPr>
          <w:rFonts w:ascii="Arial" w:eastAsia="Times New Roman" w:hAnsi="Arial" w:cs="Arial"/>
          <w:color w:val="000000"/>
          <w:lang w:eastAsia="es-CO"/>
        </w:rPr>
        <w:t>urbanísticas</w:t>
      </w:r>
      <w:r w:rsidRPr="009342F9">
        <w:rPr>
          <w:rFonts w:ascii="Arial" w:eastAsia="Times New Roman" w:hAnsi="Arial" w:cs="Arial"/>
          <w:color w:val="000000"/>
          <w:lang w:eastAsia="es-CO"/>
        </w:rPr>
        <w:t xml:space="preserve"> y/o arquitect</w:t>
      </w:r>
      <w:r w:rsidR="00AA5FD1">
        <w:rPr>
          <w:rFonts w:ascii="Arial" w:eastAsia="Times New Roman" w:hAnsi="Arial" w:cs="Arial"/>
          <w:color w:val="000000"/>
          <w:lang w:eastAsia="es-CO"/>
        </w:rPr>
        <w:t>ó</w:t>
      </w:r>
      <w:r w:rsidRPr="009342F9">
        <w:rPr>
          <w:rFonts w:ascii="Arial" w:eastAsia="Times New Roman" w:hAnsi="Arial" w:cs="Arial"/>
          <w:color w:val="000000"/>
          <w:lang w:eastAsia="es-CO"/>
        </w:rPr>
        <w:t>nicas y especificaciones t</w:t>
      </w:r>
      <w:r w:rsidR="00AA5FD1">
        <w:rPr>
          <w:rFonts w:ascii="Arial" w:eastAsia="Times New Roman" w:hAnsi="Arial" w:cs="Arial"/>
          <w:color w:val="000000"/>
          <w:lang w:eastAsia="es-CO"/>
        </w:rPr>
        <w:t>é</w:t>
      </w:r>
      <w:r w:rsidRPr="009342F9">
        <w:rPr>
          <w:rFonts w:ascii="Arial" w:eastAsia="Times New Roman" w:hAnsi="Arial" w:cs="Arial"/>
          <w:color w:val="000000"/>
          <w:lang w:eastAsia="es-CO"/>
        </w:rPr>
        <w:t>cnicas que afectan a un determinado predio. La vigencia de la delineaci</w:t>
      </w:r>
      <w:r w:rsidR="00AA5FD1">
        <w:rPr>
          <w:rFonts w:ascii="Arial" w:eastAsia="Times New Roman" w:hAnsi="Arial" w:cs="Arial"/>
          <w:color w:val="000000"/>
          <w:lang w:eastAsia="es-CO"/>
        </w:rPr>
        <w:t>ó</w:t>
      </w:r>
      <w:r w:rsidRPr="009342F9">
        <w:rPr>
          <w:rFonts w:ascii="Arial" w:eastAsia="Times New Roman" w:hAnsi="Arial" w:cs="Arial"/>
          <w:color w:val="000000"/>
          <w:lang w:eastAsia="es-CO"/>
        </w:rPr>
        <w:t>n urbana ser</w:t>
      </w:r>
      <w:r w:rsidR="00AA5FD1">
        <w:rPr>
          <w:rFonts w:ascii="Arial" w:eastAsia="Times New Roman" w:hAnsi="Arial" w:cs="Arial"/>
          <w:color w:val="000000"/>
          <w:lang w:eastAsia="es-CO"/>
        </w:rPr>
        <w:t>á d</w:t>
      </w:r>
      <w:r w:rsidRPr="009342F9">
        <w:rPr>
          <w:rFonts w:ascii="Arial" w:eastAsia="Times New Roman" w:hAnsi="Arial" w:cs="Arial"/>
          <w:color w:val="000000"/>
          <w:lang w:eastAsia="es-CO"/>
        </w:rPr>
        <w:t>eterminada por la entidad o autoridad competente, conforme a las normas urbanas vigentes. </w:t>
      </w:r>
    </w:p>
    <w:p w14:paraId="626D6E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3EB8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Disponibilidad inmediata de servicios públicos domiciliarios. Es la viabilidad técnica de conectar el predio o predios objeto de la licencia de urbanización a las redes matrices de servicios públicos domiciliarios existentes. Los urbanizadores podrán asumir el costo de las conexiones a las redes matrices que sean necesarias para dotar al proyecto con servicios, de conformidad con lo previsto en la Ley 142 de 1994 y las normas que la adicionen, modifiquen o sustituyan. </w:t>
      </w:r>
    </w:p>
    <w:p w14:paraId="5105E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Edificio abierto al público. Inmueble de propiedad pública o privada de uso institucional, comercial o de servicios donde se brinda atención al público. </w:t>
      </w:r>
    </w:p>
    <w:p w14:paraId="121EFB83" w14:textId="77777777" w:rsidR="00AA5FD1" w:rsidRDefault="00AA5FD1" w:rsidP="00FC79C1">
      <w:pPr>
        <w:spacing w:after="0" w:line="240" w:lineRule="auto"/>
        <w:jc w:val="both"/>
        <w:rPr>
          <w:rFonts w:ascii="Arial" w:eastAsia="Times New Roman" w:hAnsi="Arial" w:cs="Arial"/>
          <w:color w:val="000000"/>
          <w:lang w:eastAsia="es-CO"/>
        </w:rPr>
      </w:pPr>
    </w:p>
    <w:p w14:paraId="32F159C6" w14:textId="1B93DA0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Efecto de plusvalía. Es el incremento en el precio del suelo, resultado de las acciones urbanísticas de que tratan los artículos 74, 75, 76, 77 y 87 de la Ley 388 de 1997. </w:t>
      </w:r>
    </w:p>
    <w:p w14:paraId="5ED0BAF2" w14:textId="77777777" w:rsidR="00AA5FD1" w:rsidRDefault="00AA5FD1" w:rsidP="00FC79C1">
      <w:pPr>
        <w:spacing w:after="0" w:line="240" w:lineRule="auto"/>
        <w:jc w:val="both"/>
        <w:rPr>
          <w:rFonts w:ascii="Arial" w:eastAsia="Times New Roman" w:hAnsi="Arial" w:cs="Arial"/>
          <w:color w:val="000000"/>
          <w:lang w:eastAsia="es-CO"/>
        </w:rPr>
      </w:pPr>
    </w:p>
    <w:p w14:paraId="0F5DEC24" w14:textId="5AB7F8C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Equipamiento. Áreas, edificaciones e instalaciones de uso público o privado, destinadas a proveer a los ciudadanos de los servicios colectivos de carácter educativo, formativo, cultural, de salud, deportivo recreativo, religioso y de bienestar social y a prestar apoyo funcional a la administración pública y a los servicios urbanos básicos del municipio. </w:t>
      </w:r>
    </w:p>
    <w:p w14:paraId="49A282D0" w14:textId="70234C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8145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Estructura Ecológica Principal. Conjunto de elementos bióticos y abióticos que dan sustento a los procesos ecológicos esenciales del territorio, cuya finalidad principal es la preservación, conservación, restauración, uso y manejo sostenible de los recursos naturales renovables, los cuales brindan la capacidad de soporte para el desarrollo socioeconómico de las poblaciones. </w:t>
      </w:r>
    </w:p>
    <w:p w14:paraId="554930E8" w14:textId="758C87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E611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Franja de Amoblamiento. Zona que hace parte de la vía de circulación peatonal y que está destinada a la localización de los elementos de mobiliario urbano y la instalación de la infraestructura de los servicios públicos. </w:t>
      </w:r>
    </w:p>
    <w:p w14:paraId="03F72389" w14:textId="7C5CD3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1B01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Franja de Circulación Peatonal. Zona o sendero de las vías de circulación peatonal, destinada exclusivamente al tránsito de las personas. </w:t>
      </w:r>
    </w:p>
    <w:p w14:paraId="5D7BF969" w14:textId="70B3173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1C18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Gálibo. Altura entre la superficie de rodadura de la calzada y el borde inferior de la superestructura de un puente. </w:t>
      </w:r>
    </w:p>
    <w:p w14:paraId="4D4357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7DC7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Índice de construcción. Es el número máximo de veces que la superficie de un terreno puede convertirse por definición normativa en área construida, y se expresa por el cociente que resulta de dividir el área permitida de construcción por el área total de un predio. </w:t>
      </w:r>
    </w:p>
    <w:p w14:paraId="12C5C816" w14:textId="3D034B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99AC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Índice de ocupación. Es la proporción del área de suelo que puede ser ocupada por edificación en primer piso bajo cubierta, y se expresa por el cociente que resulta de dividir el área que puede ser ocupada por edificación en primer piso bajo cubierta por el área total del predio. </w:t>
      </w:r>
    </w:p>
    <w:p w14:paraId="4066AD84" w14:textId="0A66284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1B78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Infraestructura o red vial local. Es la conformada por el conjunto de vías que permiten la comunicación entre las urbanizaciones y la red vial secundaria, garantizando la accesibilidad interna a cada una de las unidades prediales de la urbanización. </w:t>
      </w:r>
    </w:p>
    <w:p w14:paraId="5B04D37B" w14:textId="3A7B38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31FE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Infraestructura o red vial principal. Es la conformada por la malla vial principal, arterial y demás vías de mayor jerarquía que hacen parte de los sistemas generales o estructurantes del plan de ordenamiento territorial y que soportan los desplazamientos de larga distancia, permitiendo la movilidad dentro del respectivo municipio o distrito a escala regional, metropolitana y/o urbana. </w:t>
      </w:r>
    </w:p>
    <w:p w14:paraId="09BFA15E" w14:textId="1E8B0C4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9E58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Infraestructura o red vial secundaria. Es la conformada por el conjunto de vías que permiten la movilidad y articulación entre la malla vial arterial o principal y la red vial local. </w:t>
      </w:r>
    </w:p>
    <w:p w14:paraId="2D12EC2D" w14:textId="7694C42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FB33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Manzana. Es la superficie comprendida dentro del perímetro delimitado por las vías públicas peatonales o vehiculares. </w:t>
      </w:r>
    </w:p>
    <w:p w14:paraId="60F7EC42" w14:textId="77777777" w:rsidR="00AA5FD1" w:rsidRDefault="00AA5FD1" w:rsidP="00FC79C1">
      <w:pPr>
        <w:spacing w:after="0" w:line="240" w:lineRule="auto"/>
        <w:jc w:val="both"/>
        <w:rPr>
          <w:rFonts w:ascii="Arial" w:eastAsia="Times New Roman" w:hAnsi="Arial" w:cs="Arial"/>
          <w:color w:val="000000"/>
          <w:lang w:eastAsia="es-CO"/>
        </w:rPr>
      </w:pPr>
    </w:p>
    <w:p w14:paraId="06B63BBF" w14:textId="0B5BEF4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Mobiliario Urbano. Conjunto de elementos, objetos y construcciones dispuestos o ubicados en la franja de amoblamiento, destinados a la utilización, disfrute, seguridad y comodidad de las personas y al ornato del espacio público. </w:t>
      </w:r>
    </w:p>
    <w:p w14:paraId="01F5BCB8" w14:textId="17971D9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55A2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Movilidad reducida. Es la restricción para desplazarse que presentan algunas personas debido a una discapacidad o que sin ser discapacitadas presentan algún tipo de limitación en su capacidad de relacionarse con el entorno al tener que acceder a un espacio o moverse dentro del mismo, salvar desniveles, alcanzar objetos situados en alturas normales. </w:t>
      </w:r>
    </w:p>
    <w:p w14:paraId="66954B4B" w14:textId="3B5B20CE"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7675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Núcleo de población. Asentamiento humano agrupado en un conjunto de construcciones independientes, caracterizadas por su proximidad y por compartir circulaciones e infraestructura de servicios comunes. Se consideran como núcleos de población en suelo rural, entre otros, los centros poblados rurales y las parcelaciones destinadas a vivienda campestre. </w:t>
      </w:r>
    </w:p>
    <w:p w14:paraId="6644F000" w14:textId="37C6A2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B825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Paramento. Plano vertical que delimita el inicio de la construcción en un predio. Cuando no existe antejardín coincide con la línea de demarcación. </w:t>
      </w:r>
    </w:p>
    <w:p w14:paraId="73322E58" w14:textId="137EF969"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28E6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Parque, Agrupación o Conjunto Industrial. Conjunto de industrias afines o complementarias con condiciones comunes de ubicación, infraestructura, equipamiento y servicios, que cuenta con un sistema de zonificación interna de los usos permitidos en el predio o predios en que se localizan y que están sometidos al régimen de propiedad horizontal. </w:t>
      </w:r>
    </w:p>
    <w:p w14:paraId="08EF24C2" w14:textId="2A213DB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61EB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Pasos Urbanos. Vía del orden nacional, departamental, municipal o distrital, comprendida dentro del perímetro de la zona urbana de cada municipio o distrito. </w:t>
      </w:r>
    </w:p>
    <w:p w14:paraId="25D30D38" w14:textId="3CB6766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AEF5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Perfil Vial. Representación gráfica de una vía que esquematiza, en el sentido </w:t>
      </w:r>
      <w:proofErr w:type="spellStart"/>
      <w:r w:rsidRPr="009342F9">
        <w:rPr>
          <w:rFonts w:ascii="Arial" w:eastAsia="Times New Roman" w:hAnsi="Arial" w:cs="Arial"/>
          <w:color w:val="000000"/>
          <w:lang w:eastAsia="es-CO"/>
        </w:rPr>
        <w:t>perperdincular</w:t>
      </w:r>
      <w:proofErr w:type="spellEnd"/>
      <w:r w:rsidRPr="009342F9">
        <w:rPr>
          <w:rFonts w:ascii="Arial" w:eastAsia="Times New Roman" w:hAnsi="Arial" w:cs="Arial"/>
          <w:color w:val="000000"/>
          <w:lang w:eastAsia="es-CO"/>
        </w:rPr>
        <w:t xml:space="preserve"> al eje, el conjunto de elementos urbanísticos que la comprenden entre los paramentos de los inmuebles. </w:t>
      </w:r>
    </w:p>
    <w:p w14:paraId="21ACC447" w14:textId="442DBEA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F28F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Plan para la adaptación de los espacios públicos, edificios, servicios e instalaciones dependientes. Es el conjunto de acciones, estrategias, metas, programas, y normas de los municipios o distritos, dirigidas a adecuar los espacios públicos y edificios abiertos al público en lo relacionado con la eliminación de barreras físicas y la accesibilidad dentro de los plazos dispuestos en la Ley 361 de 1997 y sus decretos reglamentarios. </w:t>
      </w:r>
    </w:p>
    <w:p w14:paraId="701CE63B" w14:textId="058A44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B958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Plan parcial. Es el instrumento mediante el cual se desarrollan y complementan las disposiciones de los planes de ordenamiento territorial, para áreas determinadas del suelo urbano y para las áreas incluidas en el suelo de expansión urbana, además de las que deban desarrollarse mediante unidades de actuación urbanística, macroproyectos u otras operaciones urbanas especiales, de acuerdo con las autorizaciones emanadas de las normas urbanísticas generales, en los términos previstos en la Ley 388 de 1997. Mediante el plan parcial se establece el aprovechamiento de los espacios privados, con la asignación de sus usos específicos, intensidades de uso y edificabilidad, así como las obligaciones de cesión y construcción y dotación de equipamientos, espacios y servicios públicos, que permitirán la ejecución asociada de los proyectos específicos de urbanización y construcción de los terrenos incluidos en su ámbito de planificación. </w:t>
      </w:r>
    </w:p>
    <w:p w14:paraId="4B91F4C5" w14:textId="4AA432BE"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6810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Plaza. Espacio libre, tratado como zona dura, que se destina al uso cotidiano al servir de soporte a eventos cívicos. Es lugar de encuentro y relaciones entre los ciudadanos, en este, predominan los elementos arquitectónicos sobre los paisajísticos naturales y el peatón tiene una condición prioritaria. </w:t>
      </w:r>
    </w:p>
    <w:p w14:paraId="5B1485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Predio. Terreno o lote individualizado, de propiedad privada o bien fiscal, identificado con un folio de matrícula inmobiliaria. </w:t>
      </w:r>
    </w:p>
    <w:p w14:paraId="007B762D" w14:textId="0775D20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7156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Programas de reordenamiento de los servicios de alto impacto referidos a la prostitución y actividades afines. Son los que establecen las actuaciones, las actividades y todos los demás aspectos necesarios para la relocalización en sitios permitidos, de los servicios de alto impacto referidos a la prostitución y actividades afines, que resulten incompatibles con los usos dotacionales educativos o de vivienda. </w:t>
      </w:r>
    </w:p>
    <w:p w14:paraId="45CFB190" w14:textId="527FAAA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DBB3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Rampa. Superficie inclinada que supera desniveles entre pisos. </w:t>
      </w:r>
    </w:p>
    <w:p w14:paraId="2CA18577" w14:textId="7DF74C6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89EE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Red Vial Local. Es la conformada por el conjunto de vías que permiten la comunicación entre las urbanizaciones y la red vial secundaria, garantizando la accesibilidad interna a cada una de las unidades prediales de la urbanización. </w:t>
      </w:r>
    </w:p>
    <w:p w14:paraId="099A9CEA" w14:textId="6287DEC8"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826D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Separador. Es el elemento del perfil vial que divide las calzadas o ciclorrutas. </w:t>
      </w:r>
    </w:p>
    <w:p w14:paraId="071306BA" w14:textId="1646735E"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F5BE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Servicios de alto impacto referidos a la prostitución y actividades afines. Son aquellos que comprenden cualquier clase de actividad de explotación o comercio del sexo, realizados en casas de lenocinio, prostíbulos o establecimientos similares, independientemente de la denominación que adopten. </w:t>
      </w:r>
    </w:p>
    <w:p w14:paraId="48CF5576" w14:textId="587258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0E78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Sistemas Generales o Estructurantes. Corresponden a las infraestructuras de la red vial principal y las redes matrices de servicios públicos domiciliarios, así como los equipamientos colectivos y espacios libres destinados para parques y zonas verdes públicas de escala urbana o metropolitana y que sirven a toda la población del municipio o distrito, según lo previsto por el plan de ordenamiento territorial. </w:t>
      </w:r>
    </w:p>
    <w:p w14:paraId="5775DB11" w14:textId="4B7206B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61F5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Tratamiento de consolidación en baja densidad para usos industriales. Son las determinaciones del componente rural del plan de ordenamiento territorial o de los instrumentos que lo desarrollan y complementan para regular el desarrollo de usos industriales existentes en las áreas de actividad industrial, zonas múltiples con actividad industrial u otras destinadas a usos industriales, independientemente de la denominación que adopten en los suelos rurales no suburbanos de los municipios de la Sabana de Bogotá, de conformidad con lo previsto en el presente Decreto. Se aplica a este tipo de áreas, siempre y cuando se encuentren delimitadas en la cartografía oficial de los planes de ordenamiento territorial de los municipios de la Sabana de Bogotá antes del 20 de diciembre de 2007 y presenten un avanzado grado de desarrollo con usos industriales, con el fin de consolidar dichos usos con un patrón de baja ocupación y baja densidad que respete los valores ambientales o paisajísticos y que permita corregir los déficit de infraestructura, equipamientos y espacio público que presentan”. </w:t>
      </w:r>
    </w:p>
    <w:p w14:paraId="4C0CEB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B788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determinaciones del tratamiento de consolidación en baja densidad deberán garantizar el equilibrio en la intensidad de los usos industriales frente a la disposición y dimensión del espacio público, la adecuada articulación y funcionamiento con la red vial proyectada y existente, la superación del déficit en infraestructura de servicios públicos del sector y el cumplimiento de la regulación vigente relacionada con la gestión integral de residuos y tratamiento de aguas. </w:t>
      </w:r>
    </w:p>
    <w:p w14:paraId="69FF65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E550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consolidación implica, en todo caso, la aplicación de patrones de desarrollo de </w:t>
      </w:r>
      <w:proofErr w:type="gramStart"/>
      <w:r w:rsidRPr="009342F9">
        <w:rPr>
          <w:rFonts w:ascii="Arial" w:eastAsia="Times New Roman" w:hAnsi="Arial" w:cs="Arial"/>
          <w:color w:val="000000"/>
          <w:lang w:eastAsia="es-CO"/>
        </w:rPr>
        <w:t>baja ocupación y baja densidad</w:t>
      </w:r>
      <w:proofErr w:type="gramEnd"/>
      <w:r w:rsidRPr="009342F9">
        <w:rPr>
          <w:rFonts w:ascii="Arial" w:eastAsia="Times New Roman" w:hAnsi="Arial" w:cs="Arial"/>
          <w:color w:val="000000"/>
          <w:lang w:eastAsia="es-CO"/>
        </w:rPr>
        <w:t>, con regulaciones y normas específicas dirigidas específicamente a la recuperación y preservación de los valores ambientales y/o paisajísticos del sector y su entorno. </w:t>
      </w:r>
    </w:p>
    <w:p w14:paraId="494BC5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38D3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Tratamiento de Renovación Urbana. Son las determinaciones del componente urbano del Plan de Ordenamiento Territorial, que están encaminadas a recuperar y/o transformar las áreas ya desarrolladas de las ciudades, entre otros fines, para, detener los procesos de deterioro físico y ambiental de los centros urbanos; promover el aprovechamiento intensivo de la infraestructura pública existente; impulsar la densificación racional de áreas para vivienda y otros usos, o garantizar la conveniente rehabilitación de los bienes históricos y culturales, todo con miras a una utilización más eficiente de los inmuebles urbanos y con mayor beneficio para la comunidad. Este tratamiento podrá desarrollarse mediante las modalidades de reactivación y redesarrollo. </w:t>
      </w:r>
    </w:p>
    <w:p w14:paraId="56C08E32" w14:textId="6E7B92BA"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1C07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Tratamiento de Renovación Urbana Modalidad de Reactivación. Corresponde a las zonas en las cuales se promueve el cambio de las estructuras construidas al interior de los predios con el fin de promover la redensificación de los sectores en que se ubican conservando la estructura o trazado de los bienes de uso público y estimulando la generación de nuevos elementos arquitectónicos y naturales de los bienes de propiedad privada tales como antejardines, fachadas, aislamientos, retrocesos y demás. Bajo esta modalidad se pueden cambiar, mantener, complementar y/o modificar los usos existentes con el fin de apoyar la redefinición del carácter del sector. Para esta modalidad, el Plan de Ordenamiento Territorial debe contener normas urbanísticas que permitan el desarrollo individual de los predios mediante licencias de construcción sin que se requiera adelantar el trámite de plan parcial. </w:t>
      </w:r>
    </w:p>
    <w:p w14:paraId="37A5EDC0" w14:textId="79513DD5"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9EB0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Tratamiento de Renovación Urbana Modalidad de Redesarrollo. Corresponde a las zonas en las que se requiere efectuar la sustitución de las estructuras urbanas y arquitectónicas mediante procesos de reurbanización que permitan generar nuevos espacios públicos y/o </w:t>
      </w:r>
      <w:proofErr w:type="gramStart"/>
      <w:r w:rsidRPr="009342F9">
        <w:rPr>
          <w:rFonts w:ascii="Arial" w:eastAsia="Times New Roman" w:hAnsi="Arial" w:cs="Arial"/>
          <w:color w:val="000000"/>
          <w:lang w:eastAsia="es-CO"/>
        </w:rPr>
        <w:t>privados</w:t>
      </w:r>
      <w:proofErr w:type="gramEnd"/>
      <w:r w:rsidRPr="009342F9">
        <w:rPr>
          <w:rFonts w:ascii="Arial" w:eastAsia="Times New Roman" w:hAnsi="Arial" w:cs="Arial"/>
          <w:color w:val="000000"/>
          <w:lang w:eastAsia="es-CO"/>
        </w:rPr>
        <w:t xml:space="preserve"> así como una nueva definición de la normatividad urbanística de usos y aprovechamientos. En esta modalidad, el Plan de Ordenamiento Territorial define las directrices generales y mediante los Planes Parciales se desarrollan y complementan las determinantes previstas en el Plan de Ordenamiento Territorial. En este tratamiento se permite adelantar las actuaciones de urbanización con el fin de urbanizar nuevamente los predios. </w:t>
      </w:r>
    </w:p>
    <w:p w14:paraId="29E5D8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AF4A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tratamiento urbanístico de renovación urbana en la modalidad de redesarrollo está dirigido a promover la transformación de zonas desarrolladas de la ciudad que se encuentran en deterioro físico y social y que por ello presentan condiciones de subutilización de la infraestructura existente. </w:t>
      </w:r>
    </w:p>
    <w:p w14:paraId="6CC5B8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3FBB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aplicación de este tratamiento implica la sustitución y/o reconstrucción total o parcial de las edificaciones existentes, recuperación y el manejo ambiental sostenible del sistema de espacio público, redes de infraestructura y manejo ambiental, en consonancia con las necesidades derivadas de las nuevas condiciones de densidad habitacional y usos del suelo y las características ambientales de la zona. Implica además la formulación de estrategias sociales que permitan atender a las demandas de los grupos sociales actualmente localizados en el área. </w:t>
      </w:r>
    </w:p>
    <w:p w14:paraId="267D6714" w14:textId="07B5233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E83A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Tratamientos urbanísticos. Son las determinaciones del plan de ordenamiento territorial,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atendiendo las características físicas de cada zona considerada, establecen en función de las mismas las normas urbanísticas que definen un manejo diferenciado del territorio para los distintos sectores del suelo urbano y de expansión urbana. Son tratamientos urbanísticos el de desarrollo, renovación urbana, consolidación, conservación y mejoramiento integral. </w:t>
      </w:r>
    </w:p>
    <w:p w14:paraId="086BEDD9" w14:textId="3175A068"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9047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Tratamiento Urbanístico de Desarrollo. Son las determinaciones del componente urbano del plan de ordenamiento territorial o de los instrumentos que lo desarrollen y complementen que regulan la urbanización de predios urbanizables no urbanizados en suelo urbano o de expansión urbana. </w:t>
      </w:r>
    </w:p>
    <w:p w14:paraId="4D1946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30F2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Umbral Máximo de Suburbanización. Porcentaje máximo de suelo que puede ser clasificado como rural suburbano en un municipio o distrito. </w:t>
      </w:r>
    </w:p>
    <w:p w14:paraId="457816CE" w14:textId="03A6F79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0FC3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Unidad Mínima de Actuación. Superficie mínima de terreno definida en el componente rural del plan de ordenamiento territorial que puede incluir una o varias unidades prediales para la ejecución de actuaciones urbanísticas de parcelación y edificación de inmuebles, de conformidad con los usos permitidos en el suelo rural suburbano. </w:t>
      </w:r>
    </w:p>
    <w:p w14:paraId="479246D7" w14:textId="6B3C2D4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B48B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Unidad de Planificación Rural. Instrumento de planificación de escala intermedia que desarrolla y complementa el plan de ordenamiento territorial para el suelo rural. </w:t>
      </w:r>
    </w:p>
    <w:p w14:paraId="3E535AC2" w14:textId="16E8C50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CD87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Uso del suelo. Es la destinación asignada al suelo por el plan de ordenamiento territorial o los instrumentos que lo desarrollen o complementen, de conformidad con las actividades que se puedan desarrollar sobre el mismo. Los usos pueden ser principales, compatibles, complementarios, restringidos y prohibidos. Cuando un uso no haya sido clasificado como principal, compatible, complementario o restringido se entenderá prohibido. </w:t>
      </w:r>
    </w:p>
    <w:p w14:paraId="6EB80D56" w14:textId="627307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E48E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Uso Compatible o Complementario. Uso que no se opone al principal y concuerda con la potencialidad, productividad y protección del suelo y demás recursos naturales conexos. </w:t>
      </w:r>
    </w:p>
    <w:p w14:paraId="6508F749" w14:textId="75A2C96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0385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Uso Condicionado o Restringido. Uso que presenta algún grado de incompatibilidad urbanística y/o ambiental que se puede controlar de acuerdo con las condiciones que impongan las normas urbanísticas y ambientales correspondientes. </w:t>
      </w:r>
    </w:p>
    <w:p w14:paraId="088F069A" w14:textId="3A26CD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FD0A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Uso incompatible. Es aquel que por su impacto negativo no puede ser desarrollado ni coexistir con otros usos definidos como principales, complementarios, compatibles, restringidos o mezclados entre sí en las áreas, zonas o sectores donde estos últimos se permitan. </w:t>
      </w:r>
    </w:p>
    <w:p w14:paraId="1CBD7F15" w14:textId="24C05E8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C100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Uso Principal. Uso deseable que coincide con la función específica de la zona y que ofrece las mayores ventajas para el desarrollo sostenible. </w:t>
      </w:r>
    </w:p>
    <w:p w14:paraId="48726BE4" w14:textId="0E2CD75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A1E0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Uso Prohibido. Uso incompatible con el uso principal de una zona, con los objetivos de conservación ambiental y de planificación ambiental y territorial, y por consiguiente implica graves riesgos de tipo ecológico y/o social. </w:t>
      </w:r>
    </w:p>
    <w:p w14:paraId="6A228C68" w14:textId="6ED1C1B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7170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Usos dotacionales o institucionales educativos. Son los que se desarrollan en inmuebles destinados a la prestación de servicios de educación formal o no formal, de carácter público o privado y de cualquier clase o nivel. </w:t>
      </w:r>
    </w:p>
    <w:p w14:paraId="58653053" w14:textId="0D5C30C0"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FBC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Vado. Rebaje que anula el desnivel entre la calzada y la acera manejando pendientes en las tres caras que lo conforman, a diferencia de la rampa que no presenta pendientes en sus planos laterales. </w:t>
      </w:r>
    </w:p>
    <w:p w14:paraId="38749272" w14:textId="3F9DB416"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230012" w14:textId="3A808E6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Vecinos. Para todos los efectos previstos en el </w:t>
      </w:r>
      <w:r w:rsidR="001B62FD" w:rsidRPr="009342F9">
        <w:rPr>
          <w:rFonts w:ascii="Arial" w:eastAsia="Times New Roman" w:hAnsi="Arial" w:cs="Arial"/>
          <w:color w:val="000000"/>
          <w:lang w:eastAsia="es-CO"/>
        </w:rPr>
        <w:t>artículo</w:t>
      </w:r>
      <w:r w:rsidRPr="009342F9">
        <w:rPr>
          <w:rFonts w:ascii="Arial" w:eastAsia="Times New Roman" w:hAnsi="Arial" w:cs="Arial"/>
          <w:color w:val="000000"/>
          <w:lang w:eastAsia="es-CO"/>
        </w:rPr>
        <w:t xml:space="preserve"> 65 de la Ley 9a de 1989, se entiende por vecinos a los propietarios, a los poseedores y a los tenedores de todos los predios colindantes sin </w:t>
      </w:r>
      <w:r w:rsidR="001B62FD" w:rsidRPr="009342F9">
        <w:rPr>
          <w:rFonts w:ascii="Arial" w:eastAsia="Times New Roman" w:hAnsi="Arial" w:cs="Arial"/>
          <w:color w:val="000000"/>
          <w:lang w:eastAsia="es-CO"/>
        </w:rPr>
        <w:t>distinción</w:t>
      </w:r>
      <w:r w:rsidRPr="009342F9">
        <w:rPr>
          <w:rFonts w:ascii="Arial" w:eastAsia="Times New Roman" w:hAnsi="Arial" w:cs="Arial"/>
          <w:color w:val="000000"/>
          <w:lang w:eastAsia="es-CO"/>
        </w:rPr>
        <w:t xml:space="preserve"> alguna. </w:t>
      </w:r>
    </w:p>
    <w:p w14:paraId="694D4431" w14:textId="4A9DD19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3DEC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Vías Arteriales o de Primer Orden. Vías constituidas por las troncales, transversales y accesos a capitales de departamento que cumplen con la función básica de integrar las principales zonas de producción y consumo del país y de este con los demás países. </w:t>
      </w:r>
    </w:p>
    <w:p w14:paraId="7C0BCE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Vía de Circulación Peatonal. Zona destinada a la circulación peatonal, conformada por las franjas de amoblamiento y de circulación peatonal, tales como andenes, senderos y alamedas. </w:t>
      </w:r>
    </w:p>
    <w:p w14:paraId="1C5E3A44" w14:textId="77777777" w:rsidR="00AA5FD1" w:rsidRDefault="00AA5FD1" w:rsidP="00FC79C1">
      <w:pPr>
        <w:spacing w:after="0" w:line="240" w:lineRule="auto"/>
        <w:jc w:val="both"/>
        <w:rPr>
          <w:rFonts w:ascii="Arial" w:eastAsia="Times New Roman" w:hAnsi="Arial" w:cs="Arial"/>
          <w:color w:val="000000"/>
          <w:lang w:eastAsia="es-CO"/>
        </w:rPr>
      </w:pPr>
    </w:p>
    <w:p w14:paraId="264328D1" w14:textId="367E0A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Vías Intermunicipales o de Segundo Orden. Vías que unen las cabeceras municipales entre sí y/o que provienen de una cabecera municipal y conectan con una vía arterial o de primer orden. </w:t>
      </w:r>
    </w:p>
    <w:p w14:paraId="23B80EAF" w14:textId="278805A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1810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Vías Veredales o de Tercer Orden. Vías de acceso que unen las cabeceras municipales con sus veredas o que unen veredas entre sí. </w:t>
      </w:r>
    </w:p>
    <w:p w14:paraId="799CF622" w14:textId="68BB0A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9B69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Zonas de reserva para sistemas estructurantes o generales. Son las áreas de suelo que de conformidad con el Plan de Ordenamiento Territorial o los instrumentos que lo desarrollen y complementen se requieren para la localización de la infraestructura del sistema vial principal y de transporte, las redes primarias de servicios públicos y las áreas de conservación y protección de los recursos naturales. Con base en estas zonas se definirán las afectaciones de que tratan los artículos 37 de la Ley 9a de 1989 y 122 de la Ley 388 de 1997. </w:t>
      </w:r>
    </w:p>
    <w:p w14:paraId="4CE00363" w14:textId="514EED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EED7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Zona Verde. Espacio de carácter permanente, abierto y empradizado, de dominio o uso público, que hace parte del espacio público efectivo y destinado al uso recreativo. </w:t>
      </w:r>
    </w:p>
    <w:p w14:paraId="2AD34A70" w14:textId="08DA871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46" w:name="ver_30072575"/>
      <w:bookmarkEnd w:id="846"/>
    </w:p>
    <w:p w14:paraId="06DB6B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2.2.1.2. Cuando en el presente decreto se hace referencia al plan o planes de ordenamiento territorial, se entenderá que comprende los planes básicos de ordenamiento territorial y los esquemas de ordenamiento territorial, de acuerdo con lo previsto en el artículo 9 de la Ley 388 de 1997. </w:t>
      </w:r>
    </w:p>
    <w:p w14:paraId="3E06EF20" w14:textId="73A19796" w:rsidR="00683694"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bookmarkStart w:id="847" w:name="ver_30072576"/>
      <w:bookmarkEnd w:id="847"/>
    </w:p>
    <w:p w14:paraId="39B4A683" w14:textId="13D719D6"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TÍTULO 2.</w:t>
      </w:r>
    </w:p>
    <w:p w14:paraId="6264D4D1"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PLANEACIÓN PARA EL ORDENAMIENTO TERRITORIAL</w:t>
      </w:r>
    </w:p>
    <w:p w14:paraId="624B4258"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51453EF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CAPÍTULO 1</w:t>
      </w:r>
    </w:p>
    <w:p w14:paraId="688DC99F"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INSTRUMENTOS DE ORDENAMIENTO TERRITORIAL</w:t>
      </w:r>
    </w:p>
    <w:p w14:paraId="4D926948"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227CB992" w14:textId="04DDC6E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25E7E39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ORDENAMIENTO DEL TERRITORIO</w:t>
      </w:r>
    </w:p>
    <w:p w14:paraId="4C12F19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48" w:name="ver_30072577"/>
      <w:bookmarkEnd w:id="848"/>
    </w:p>
    <w:p w14:paraId="0DCC2B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2.2.2.1.1.1. Ordenamiento del territorio. De conformidad con los artículos 5 y 6 de la Ley 388 de 1997, el ordenamiento del territorio municipal o distrital comprende un conjunto de acciones político-administrativas y de planeación física concertadas y coherentes, emprendidas por los municipios o distritos y áreas metropolitanas para disponer de instrumentos eficaces de orientación del desarrollo del territorio bajo su jurisdicción y de regulación de la utilización, ocupación y transformación de su espacio físico. El ordenamiento territorial debe ser acorde con las estrategias de desarrollo económico del municipio y distrito y armónico con el mismo ambiente y sus tradiciones históricas y culturales. </w:t>
      </w:r>
    </w:p>
    <w:p w14:paraId="6CAC51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C8B3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ordenamiento del territorio tiene por objeto dar a la planeación económica y social su dimensión territorial, racionalizar la intervención sobre el territorio y propiciar su desarrollo y aprovechamiento sostenible. </w:t>
      </w:r>
    </w:p>
    <w:p w14:paraId="13A967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FD0B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ordenamiento del territorio tendrá en consideración las relaciones intermunicipales, metropolitanas y regionales; las condiciones de diversidad étnica y cultural; así como la utilización óptima de los recursos naturales, económicos y humanos para el logro de una mejor calidad de vida. </w:t>
      </w:r>
    </w:p>
    <w:p w14:paraId="0350924B" w14:textId="65B26BD9"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08E6F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49" w:name="ver_30072579"/>
      <w:bookmarkEnd w:id="849"/>
    </w:p>
    <w:p w14:paraId="01907F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2.2.2.1.1.2. Prioridades del ordenamiento del territorio. En la definición del ordenamiento territorial, se tendrán en cuenta las prioridades del plan de desarrollo del municipio o distrito y los determinantes establecidos en normas de superior jerarquía que son: </w:t>
      </w:r>
    </w:p>
    <w:p w14:paraId="1F65E0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756B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relacionadas con la conservación y protección del medio ambiente, los recursos naturales y la prevención de amenazas y riesgos naturales. </w:t>
      </w:r>
    </w:p>
    <w:p w14:paraId="0DBC5D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5259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políticas y normas sobre conservación y uso de las áreas e inmuebles que son patrimonio cultural. </w:t>
      </w:r>
    </w:p>
    <w:p w14:paraId="083B70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45D5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señalamiento y localización de las infraestructuras de la red vial nacional y regional, los puertos y aeropuertos y los sistemas de suministros de agua, energía y servicios de saneamiento básico. </w:t>
      </w:r>
    </w:p>
    <w:p w14:paraId="711422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8439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Los componentes de ordenamiento territorial de los planes integrales de desarrollo metropolitano en cuanto sean aplicables. </w:t>
      </w:r>
    </w:p>
    <w:p w14:paraId="678E2D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E13560" w14:textId="78395CE7" w:rsidR="00FC79C1" w:rsidRPr="009342F9" w:rsidRDefault="00FC79C1" w:rsidP="00FC79C1">
      <w:pPr>
        <w:spacing w:after="0" w:line="240" w:lineRule="auto"/>
        <w:jc w:val="both"/>
        <w:rPr>
          <w:rFonts w:ascii="Arial" w:eastAsia="Times New Roman" w:hAnsi="Arial" w:cs="Arial"/>
          <w:color w:val="000000"/>
          <w:lang w:eastAsia="es-CO"/>
        </w:rPr>
      </w:pPr>
      <w:bookmarkStart w:id="850" w:name="ver_30072580"/>
      <w:bookmarkEnd w:id="850"/>
      <w:r w:rsidRPr="009342F9">
        <w:rPr>
          <w:rFonts w:ascii="Arial" w:eastAsia="Times New Roman" w:hAnsi="Arial" w:cs="Arial"/>
          <w:color w:val="000000"/>
          <w:lang w:eastAsia="es-CO"/>
        </w:rPr>
        <w:t>Artículo 2.2.2.1.1.3. Participación democrática en el ordenamiento del territorio. En el proceso de formulación y ejecución del ordenamiento territorial las administraciones municipales, distritales y metropolitanas fomentarán la concertación entre los intereses sociales, económicos y urbanísticos mediante la participación de los ciudadanos y sus organizaciones. </w:t>
      </w:r>
    </w:p>
    <w:p w14:paraId="2C5CFE10" w14:textId="08A38A3E" w:rsidR="00FC79C1" w:rsidRPr="009342F9" w:rsidRDefault="00FC79C1" w:rsidP="00AA5FD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068B6609" w14:textId="755D9AE6" w:rsidR="00FC79C1" w:rsidRPr="009342F9" w:rsidRDefault="00FC79C1" w:rsidP="00683694">
      <w:pPr>
        <w:spacing w:after="0" w:line="240" w:lineRule="auto"/>
        <w:jc w:val="center"/>
        <w:rPr>
          <w:rFonts w:ascii="Arial" w:eastAsia="Times New Roman" w:hAnsi="Arial" w:cs="Arial"/>
          <w:b/>
          <w:bCs/>
          <w:color w:val="000000"/>
          <w:lang w:eastAsia="es-CO"/>
        </w:rPr>
      </w:pPr>
      <w:bookmarkStart w:id="851" w:name="ver_30072581"/>
      <w:bookmarkEnd w:id="851"/>
      <w:r w:rsidRPr="009342F9">
        <w:rPr>
          <w:rFonts w:ascii="Arial" w:eastAsia="Times New Roman" w:hAnsi="Arial" w:cs="Arial"/>
          <w:b/>
          <w:bCs/>
          <w:color w:val="000000"/>
          <w:lang w:eastAsia="es-CO"/>
        </w:rPr>
        <w:t>SECCIÓN 2</w:t>
      </w:r>
    </w:p>
    <w:p w14:paraId="2CD61FEB"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PLANES DE ORDENAMIENTO TERRITORIAL</w:t>
      </w:r>
    </w:p>
    <w:p w14:paraId="2D933A2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52" w:name="ver_30072582"/>
      <w:bookmarkEnd w:id="852"/>
    </w:p>
    <w:p w14:paraId="042A1A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2.2.2.1.2.1. El plan de ordenamiento territorial. El plan de ordenamiento territorial es un instrumento técnico y normativo para ordenar el territorio municipal o distrital. Comprende el conjunto de objetivos, directrices, políticas, estrategias, metas, programas, actuaciones y normas, destinadas a orientar y administrar el desarrollo físico del territorio y la utilización del suelo. </w:t>
      </w:r>
    </w:p>
    <w:p w14:paraId="5E3F97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9D0A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planes de ordenamiento territorial deberán ser el producto de una efectiva participación de los diferentes actores sociales relacionados con la dinámica territorial. Para ello, la administración municipal o distrital deberá garantizar la participación y la concertación en la formación del plan. </w:t>
      </w:r>
    </w:p>
    <w:p w14:paraId="4B7AEBC4" w14:textId="5215DA9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53" w:name="ver_30072583"/>
      <w:bookmarkEnd w:id="853"/>
    </w:p>
    <w:p w14:paraId="45B3AE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2.2.2.1.2.2. Componentes de los planes de ordenamiento territorial. Los planes de ordenamiento territorial deberán contemplar tres componentes: </w:t>
      </w:r>
    </w:p>
    <w:p w14:paraId="193DE8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168D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componente general, constituido por los objetivos, estrategias y contenidos estructurales de largo plazo. </w:t>
      </w:r>
    </w:p>
    <w:p w14:paraId="374318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1D16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componente urbano, constituido por las políticas, acciones, programas y normas para encauzar y administrar el desarrollo físico urbano. </w:t>
      </w:r>
    </w:p>
    <w:p w14:paraId="0B0155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4929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componente rural, el cual estará constituido por las políticas, acciones, programas y normas para orientar y garantizar la adecuada interacción entre los asentamientos rurales y la cabecera municipal, así como la conveniente utilización del suelo. </w:t>
      </w:r>
    </w:p>
    <w:p w14:paraId="4EA4C80D" w14:textId="052AC70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54" w:name="ver_30072584"/>
      <w:bookmarkEnd w:id="854"/>
    </w:p>
    <w:p w14:paraId="229B7F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2.2.2.1.2.3. Programa de ejecución. Los planes de ordenamiento territorial tendrán un programa de ejecución que define con carácter obligatorio las actuaciones sobre el territorio previstas en aquel durante el período de la correspondiente administración municipal o distrital, de acuerdo con lo definido en el plan de desarrollo, señalando los proyectos prioritarios, la programación de actividades, las entidades responsables y los recursos respectivos. El programa de ejecución se integrará al plan de inversiones del plan de desarrollo de tal manera que </w:t>
      </w:r>
      <w:proofErr w:type="gramStart"/>
      <w:r w:rsidRPr="009342F9">
        <w:rPr>
          <w:rFonts w:ascii="Arial" w:eastAsia="Times New Roman" w:hAnsi="Arial" w:cs="Arial"/>
          <w:color w:val="000000"/>
          <w:lang w:eastAsia="es-CO"/>
        </w:rPr>
        <w:t>conjuntamente con</w:t>
      </w:r>
      <w:proofErr w:type="gramEnd"/>
      <w:r w:rsidRPr="009342F9">
        <w:rPr>
          <w:rFonts w:ascii="Arial" w:eastAsia="Times New Roman" w:hAnsi="Arial" w:cs="Arial"/>
          <w:color w:val="000000"/>
          <w:lang w:eastAsia="es-CO"/>
        </w:rPr>
        <w:t xml:space="preserve"> éste sea puesto a consideración del concejo por el alcalde para su aprobación mediante acuerdo y su vigencia se ajustará a los períodos de las administraciones municipales y distritales. </w:t>
      </w:r>
    </w:p>
    <w:p w14:paraId="7FE77DC0" w14:textId="77777777" w:rsidR="00AA5FD1" w:rsidRDefault="00AA5FD1" w:rsidP="00FC79C1">
      <w:pPr>
        <w:spacing w:after="0" w:line="240" w:lineRule="auto"/>
        <w:jc w:val="both"/>
        <w:rPr>
          <w:rFonts w:ascii="Arial" w:eastAsia="Times New Roman" w:hAnsi="Arial" w:cs="Arial"/>
          <w:color w:val="000000"/>
          <w:lang w:eastAsia="es-CO"/>
        </w:rPr>
      </w:pPr>
      <w:bookmarkStart w:id="855" w:name="ver_30072585"/>
      <w:bookmarkEnd w:id="855"/>
    </w:p>
    <w:p w14:paraId="019D8D66" w14:textId="550A1C2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2.2.2.1.2.4. Vigencia del plan de ordenamiento territorial, de los componentes y contenidos y del programa de ejecución. El plan de ordenamiento territorial tendrá una vigencia mínima equivalente a tres (3) períodos constitucionales de las administraciones municipales y distritales, contándose como la primera de éstas la que termina el treinta y uno (31) de diciembre del año dos mil (2000). En todo caso, el momento previsto para la revisión debe coincidir con el inicio de un nuevo período y de esas administraciones. Mientras se revisa el plan de ordenamiento o se adopta uno nuevo seguirá vigente el ya adoptado. </w:t>
      </w:r>
    </w:p>
    <w:p w14:paraId="144640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3280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planes de ordenamiento señalarán la vigencia de sus componentes y contenidos distinguiendo los de largo plazo con una vigencia mínima equivalente a tres (3) períodos constitucionales de las administraciones municipales y distritales, los del mediano plazo con una vigencia mínima de dos (2) períodos constitucionales de las administraciones municipales y distritales y los de corto plazo, cuya vigencia mínima será de un (1) período constitucional de las administraciones municipales y distritales. Cuando en el curso de la vigencia de un Plan de Ordenamiento Territorial llegue a su término el período de vigencia de los componentes y contenidos de corto y mediano plazo, deberá procederse a su revisión. Mientras se hace esta revisión, seguirán vigentes los componentes y contenidos anteriores. </w:t>
      </w:r>
    </w:p>
    <w:p w14:paraId="3A7A7D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3311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vigencias mínimas de los planes básicos de ordenamiento territorial y de los esquemas de ordenamiento territorial, así como las de sus componentes y contenidos, serán idénticas a las de los planes de ordenamiento territorial. </w:t>
      </w:r>
    </w:p>
    <w:p w14:paraId="538BBCF6" w14:textId="3E58D1C1" w:rsidR="00FC79C1" w:rsidRPr="009342F9" w:rsidRDefault="00FC79C1" w:rsidP="00AA5FD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32DD14E4" w14:textId="230C718D" w:rsidR="00FC79C1" w:rsidRPr="009342F9" w:rsidRDefault="00FC79C1" w:rsidP="00683694">
      <w:pPr>
        <w:spacing w:after="0" w:line="240" w:lineRule="auto"/>
        <w:jc w:val="center"/>
        <w:rPr>
          <w:rFonts w:ascii="Arial" w:eastAsia="Times New Roman" w:hAnsi="Arial" w:cs="Arial"/>
          <w:b/>
          <w:bCs/>
          <w:color w:val="000000"/>
          <w:lang w:eastAsia="es-CO"/>
        </w:rPr>
      </w:pPr>
      <w:bookmarkStart w:id="856" w:name="ver_30072586"/>
      <w:bookmarkEnd w:id="856"/>
      <w:r w:rsidRPr="009342F9">
        <w:rPr>
          <w:rFonts w:ascii="Arial" w:eastAsia="Times New Roman" w:hAnsi="Arial" w:cs="Arial"/>
          <w:b/>
          <w:bCs/>
          <w:color w:val="000000"/>
          <w:lang w:eastAsia="es-CO"/>
        </w:rPr>
        <w:t>SUBSECCIÓN 1</w:t>
      </w:r>
    </w:p>
    <w:p w14:paraId="66773B6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LOS COMPONENTES Y CONTENIDOS DE LOS PLANES DE ORDENAMIENTO TERRITORIAL</w:t>
      </w:r>
    </w:p>
    <w:p w14:paraId="072ED0B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57" w:name="ver_30072592"/>
      <w:bookmarkEnd w:id="857"/>
    </w:p>
    <w:p w14:paraId="2A08A3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2.2.2.1.2.1.1. El componente general. El componente general del plan comprende la totalidad del territorio del municipio o distrito y prevalece sobre los demás componentes. </w:t>
      </w:r>
    </w:p>
    <w:p w14:paraId="2874CB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9E86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componente general deberá señalar en primera instancia los objetivos y estrategias territoriales de mediano y largo plazo, lo cual incluye, entre otros, las acciones necesarias para aprovechar las ventajas comparativas y mejorar la competitividad del municipio o distrito; la definición de acciones estrategias para alcanzar sus objetivos de desarrollo económico y social de conformidad con el plan de desarrollo, y las políticas de largo plazo para la ocupación y manejo del suelo y demás recursos naturales. </w:t>
      </w:r>
    </w:p>
    <w:p w14:paraId="13AD8C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0235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división se materializa en el contenido estructural, que define: </w:t>
      </w:r>
    </w:p>
    <w:p w14:paraId="63CF59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97DD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sistemas de comunicación entre las áreas urbanas y rurales del municipio o distrito y de éste con los sistemas regionales y nacionales. </w:t>
      </w:r>
    </w:p>
    <w:p w14:paraId="7122F8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91DF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Las medidas para la protección del medio como ambiente, conservación de los recursos naturales y defensa del </w:t>
      </w:r>
      <w:proofErr w:type="gramStart"/>
      <w:r w:rsidRPr="009342F9">
        <w:rPr>
          <w:rFonts w:ascii="Arial" w:eastAsia="Times New Roman" w:hAnsi="Arial" w:cs="Arial"/>
          <w:color w:val="000000"/>
          <w:lang w:eastAsia="es-CO"/>
        </w:rPr>
        <w:t>paisaje</w:t>
      </w:r>
      <w:proofErr w:type="gramEnd"/>
      <w:r w:rsidRPr="009342F9">
        <w:rPr>
          <w:rFonts w:ascii="Arial" w:eastAsia="Times New Roman" w:hAnsi="Arial" w:cs="Arial"/>
          <w:color w:val="000000"/>
          <w:lang w:eastAsia="es-CO"/>
        </w:rPr>
        <w:t xml:space="preserve"> así como el señalamiento de áreas de reserva y de conservación y de protección del patrimonio histórico, cultural y arquitectónico y ambiental. </w:t>
      </w:r>
    </w:p>
    <w:p w14:paraId="2846DB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6F48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determinación de zonas de alto riesgo para la localización de asentamientos humanos. </w:t>
      </w:r>
    </w:p>
    <w:p w14:paraId="653640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6803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localización de actividades, infraestructuras y equipamientos básicos, expresados en los planes de ocupación del suelo, el plan vial y de transporte, el plan de vivienda social, los planes maestros de servicios públicos, el plan de determinación y manejo del espacio público. </w:t>
      </w:r>
    </w:p>
    <w:p w14:paraId="4A5C0E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B101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clasificación del territorio en suelo urbano, rural y de expansión urbana, con la correspondiente determinación del perímetro urbano que no podrá ser mayor que el perímetro de servicios públicos. </w:t>
      </w:r>
    </w:p>
    <w:p w14:paraId="49813D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25823A" w14:textId="29020591" w:rsidR="00FC79C1" w:rsidRPr="009342F9" w:rsidRDefault="00B3621E"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w:t>
      </w:r>
      <w:r w:rsidR="00FC79C1" w:rsidRPr="009342F9">
        <w:rPr>
          <w:rFonts w:ascii="Arial" w:eastAsia="Times New Roman" w:hAnsi="Arial" w:cs="Arial"/>
          <w:color w:val="000000"/>
          <w:lang w:eastAsia="es-CO"/>
        </w:rPr>
        <w:t>. Todas las decisiones y definiciones de política del contenido estructural del componente general se traducen en normas urbanísticas estructurales, que prevalecen sobre las demás normas urbanísticas y sólo pueden modificarse con motivo de la revisión general del plan o excepcionalmente a iniciativa del alcalde, cuando por medio de estudios técnicos se demuestre que debido a cambios en las circunstancias y evolución del municipio o distrito dicha modificación se hace necesaria. </w:t>
      </w:r>
    </w:p>
    <w:p w14:paraId="73D7F84B" w14:textId="6A433B6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58" w:name="ver_30072598"/>
      <w:bookmarkEnd w:id="858"/>
    </w:p>
    <w:p w14:paraId="3F5D3C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2.2.2.1.2.1.2. El componente urbano. El componente urbano se refiere a la administración del suelo urbano y de expansión urbana, e integra políticas de mediano y corto plazo, procedimientos e instrumentos de gestión y está insertado y supeditado al componente general del plan. </w:t>
      </w:r>
    </w:p>
    <w:p w14:paraId="76F239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8734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 que se refiere a suelo urbano y áreas de expansión urbana, este componente deberá contener por lo menos, los siguientes elementos: </w:t>
      </w:r>
    </w:p>
    <w:p w14:paraId="6F0480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B1EE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políticas a mediano y corto plazo sobre uso y ocupación, en armonía con el modelo estructural de largo plazo adoptado en el componente general. </w:t>
      </w:r>
    </w:p>
    <w:p w14:paraId="37110A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DCC3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localización y dimensionamiento de la infraestructura para: el sistema vial y de transporte, previendo la adecuada intercomunicación del conjunto de las áreas urbanas y su ampliación a las zonas de expansión; las redes primarias y secundarias de servicios públicos en el corto y mediano plazo; los equipamientos colectivos y espacios libres para parques y zonas verdes públicas; y las cesiones urbanísticas gratuitas para todas las anteriores. </w:t>
      </w:r>
    </w:p>
    <w:p w14:paraId="67497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F2B6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delimitación de las áreas de conservación y protección de recursos naturales y paisajísticos, de conjuntos urbanos históricos y culturales, y de áreas expuestas a amenazas y riesgos naturales. </w:t>
      </w:r>
    </w:p>
    <w:p w14:paraId="054988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F595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determinación de los tratamientos y actuaciones urbanísticas aplicables a cada área, así como las zonas receptoras y generadoras de los derechos transferibles de construcción y desarrollo previstos en el Decreto Ley 151 de 1998. </w:t>
      </w:r>
    </w:p>
    <w:p w14:paraId="1878C2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CACA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estrategia de mediano plazo para el desarrollo de programas de vivienda de interés social, incluyendo las de mejoramiento integral. La estrategia de vivienda incluirá directrices y parámetros para la localización de los terrenos necesarios para atender la demanda de vivienda de interés social, y los instrumentos de gestión correspondientes. También comprende mecanismos para la reubicación de los asentamientos en zonas de alto riesgo. </w:t>
      </w:r>
    </w:p>
    <w:p w14:paraId="5DC458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9209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Las estrategias de crecimiento y reordenamiento de la ciudad, y los parámetros para la identificación y declaración de inmuebles y terrenos de desarrollo y construcción prioritaria. </w:t>
      </w:r>
    </w:p>
    <w:p w14:paraId="0D7022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E309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La determinación de las características de las unidades de actuación urbanística. </w:t>
      </w:r>
    </w:p>
    <w:p w14:paraId="1DF7EF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AD87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8. La determinación de las áreas morfológicas </w:t>
      </w:r>
      <w:proofErr w:type="spellStart"/>
      <w:r w:rsidRPr="009342F9">
        <w:rPr>
          <w:rFonts w:ascii="Arial" w:eastAsia="Times New Roman" w:hAnsi="Arial" w:cs="Arial"/>
          <w:color w:val="000000"/>
          <w:lang w:eastAsia="es-CO"/>
        </w:rPr>
        <w:t>homógeneas</w:t>
      </w:r>
      <w:proofErr w:type="spellEnd"/>
      <w:r w:rsidRPr="009342F9">
        <w:rPr>
          <w:rFonts w:ascii="Arial" w:eastAsia="Times New Roman" w:hAnsi="Arial" w:cs="Arial"/>
          <w:color w:val="000000"/>
          <w:lang w:eastAsia="es-CO"/>
        </w:rPr>
        <w:t xml:space="preserve"> entendidas como las zonas que tiene características análogas en cuanto a las tipologías de edificación, así como por los usos e índices derivados de su trama urbana original. </w:t>
      </w:r>
    </w:p>
    <w:p w14:paraId="5B2D87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B6AE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La especificación, si es el caso, de la naturaleza, alcance y área de operación de los macroproyectos urbanos cuya promoción y ejecución se contemple a corto y mediano plazo. Lo anterior comprende la definición de sus directrices generales de gestión o financiamiento y las autorizaciones indispensables para emprenderlos. </w:t>
      </w:r>
    </w:p>
    <w:p w14:paraId="075702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07CD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La adopción de directrices y parámetros para los planes parciales, incluyendo la definición de acciones urbanísticas, actuaciones, instrumentos de financiación y otros procedimientos aplicables. </w:t>
      </w:r>
    </w:p>
    <w:p w14:paraId="3660C2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0496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La definición de los procedimientos e instrumentos de gestión en actuaciones urbanísticas requeridos para la administración y ejecución de las políticas y disposiciones adoptadas. </w:t>
      </w:r>
    </w:p>
    <w:p w14:paraId="7FFB5D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377B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La adopción de instrumentos para financiar el desarrollo urbano, tales como la participación municipal o distrital en la plusvalía y la emisión de títulos de derechos adicionales de construcción y desarrollo y los demás contemplados en la Ley, determinando las zonas o subzonas beneficiarias de una o varias de las acciones urbanísticas generadoras de la participación en plusvalía. </w:t>
      </w:r>
    </w:p>
    <w:p w14:paraId="1D625A0E" w14:textId="377AFE0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59" w:name="ver_30072601"/>
      <w:bookmarkEnd w:id="859"/>
    </w:p>
    <w:p w14:paraId="61258F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2.2.2.1.2.1.3. El componente rural. El componente rural del Plan es un instrumento para garantizar la adecuada interacción entre los asentamientos rurales y su cabecera municipal, y la conveniente utilización del suelo rural, y enmarcar las actuaciones públicas tendientes a suministrar infraestructura y equipamiento básico para el servicio de la población rural. </w:t>
      </w:r>
    </w:p>
    <w:p w14:paraId="78FBEE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084D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Este componente está insertado y supeditado al componente general del Plan y deberá contener por lo menos, los siguientes elementos: </w:t>
      </w:r>
    </w:p>
    <w:p w14:paraId="7D8BB2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3F9C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políticas de mediano y corto plazo sobre ocupación del suelo en relación con los asentamientos humanos localizados en estas áreas. </w:t>
      </w:r>
    </w:p>
    <w:p w14:paraId="6A5461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4031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señalamiento de las condiciones de protección, conservación y mejoramiento de las zonas de producción agropecuaria, forestal o minera. </w:t>
      </w:r>
    </w:p>
    <w:p w14:paraId="33B043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1EEC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delimitación de las áreas de conservación y protección de los recursos naturales, paisajísticos, geográficos y ambientales, de las zonas de amenaza y riesgo de las que forman parte del sistema de provisión de servicios públicos domiciliarios o de disposición de desechos. </w:t>
      </w:r>
    </w:p>
    <w:p w14:paraId="196E42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0352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La localización y dimensionamiento de zonas determinadas como suburbanos con precisión de índices máximos de ocupación y usos admitidos, teniendo en cuenta su carácter de desarrollo de </w:t>
      </w:r>
      <w:proofErr w:type="gramStart"/>
      <w:r w:rsidRPr="009342F9">
        <w:rPr>
          <w:rFonts w:ascii="Arial" w:eastAsia="Times New Roman" w:hAnsi="Arial" w:cs="Arial"/>
          <w:color w:val="000000"/>
          <w:lang w:eastAsia="es-CO"/>
        </w:rPr>
        <w:t>baja ocupación y baja densidad</w:t>
      </w:r>
      <w:proofErr w:type="gramEnd"/>
      <w:r w:rsidRPr="009342F9">
        <w:rPr>
          <w:rFonts w:ascii="Arial" w:eastAsia="Times New Roman" w:hAnsi="Arial" w:cs="Arial"/>
          <w:color w:val="000000"/>
          <w:lang w:eastAsia="es-CO"/>
        </w:rPr>
        <w:t>, las posibilidades de suministro de agua potable y saneamiento básico y las normas de conservación y protección del medio ambiente. </w:t>
      </w:r>
    </w:p>
    <w:p w14:paraId="388302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F57F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identificación de los centros poblados rurales y la adopción de las previsiones necesarias para orientar la ocupación de sus suelos y la adecuada dotación de infraestructura de servicios básicos y de equipamiento social. </w:t>
      </w:r>
    </w:p>
    <w:p w14:paraId="291933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D2EA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determinación de los sistemas de aprovisionamiento de los servicios de agua potable y saneamiento básico de las zonas rurales a corto y mediano plazo y la localización prevista para los equipamientos de salud y educación. </w:t>
      </w:r>
    </w:p>
    <w:p w14:paraId="246E46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932591"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7. La expedición de normas para la parcelación de predios rurales destinados a vivienda campestre, las cuales deberán tener en cuenta la legislación agraria y ambiental. </w:t>
      </w:r>
    </w:p>
    <w:p w14:paraId="50DDC8B7" w14:textId="397BB4EA" w:rsidR="00FC79C1" w:rsidRPr="009342F9" w:rsidRDefault="00FC79C1" w:rsidP="007C7D4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676A04F2"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PLANES BÁSICOS DE ORDENAMIENTO TERRITORIAL Y ESQUEMAS DE ORDENAMIENTO TERRITORIAL</w:t>
      </w:r>
    </w:p>
    <w:p w14:paraId="694CAA6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60" w:name="ver_30072604"/>
      <w:bookmarkEnd w:id="860"/>
    </w:p>
    <w:p w14:paraId="3D3220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2.2.2.1.2.2.1. Planes Básicos de Ordenamiento Territorial. Los municipios con población entre treinta mil (30.000) y cien mil (100.000) habitantes deberán adoptar Planes Básicos de Ordenamiento Territorial, en los términos del artículo 23 de la Ley 388 de 1997 y demás normas concordantes. </w:t>
      </w:r>
    </w:p>
    <w:p w14:paraId="470B90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B0EF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Planes Básicos de Ordenamiento Territorial contemplarán los componentes general, urbano y rural, señalados en el artículo 11 de la Ley 388 de 1997. </w:t>
      </w:r>
    </w:p>
    <w:p w14:paraId="5DAA06E8" w14:textId="57ABB2C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61" w:name="ver_30072606"/>
      <w:bookmarkEnd w:id="861"/>
    </w:p>
    <w:p w14:paraId="5ED7ECF0" w14:textId="3097C03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2.2.2.1.2.2.2. El componente general de los Planes Básicos de Ordenamiento Territorial. El componente general de los Planes Básicos de Ordenamiento Territorial señalará los objetivos estrategias territoriales de mediano y largo plazo que permitan localizar acciones necesarias para aprovechar las ventajas comparativas y mejorar la competitividad del territorio municipal, y desarrollar un modelo de ocupación del territorio que posibilite identificar, delimitar y definir la localización de los siguientes aspectos estructurantes: </w:t>
      </w:r>
    </w:p>
    <w:p w14:paraId="1CA99A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90E0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Áreas de reserva para la conservación y protección del medio ambiente y los recursos naturales. </w:t>
      </w:r>
    </w:p>
    <w:p w14:paraId="1DFAA9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2E8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2.Áreas de reserva para la conservación y protección del patrimonio histórico, cultural y arquitectónico. </w:t>
      </w:r>
    </w:p>
    <w:p w14:paraId="20132A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5AEA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Áreas expuestas a amenazas y riesgos. </w:t>
      </w:r>
    </w:p>
    <w:p w14:paraId="2CF359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B477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Sistemas de comunicación entre el área urbana y rural y de éstas con el contexto regional. </w:t>
      </w:r>
    </w:p>
    <w:p w14:paraId="3C5440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29B9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Actividades, infraestructura y equipamientos. </w:t>
      </w:r>
    </w:p>
    <w:p w14:paraId="66B451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B2C385" w14:textId="48B6C24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La clasificación del territorio en suelo urbano, de expansión urbana y rural y para el primero de éstos, así como para las </w:t>
      </w:r>
      <w:proofErr w:type="spellStart"/>
      <w:r w:rsidRPr="009342F9">
        <w:rPr>
          <w:rFonts w:ascii="Arial" w:eastAsia="Times New Roman" w:hAnsi="Arial" w:cs="Arial"/>
          <w:color w:val="000000"/>
          <w:lang w:eastAsia="es-CO"/>
        </w:rPr>
        <w:t>cabeceracorregimentales</w:t>
      </w:r>
      <w:proofErr w:type="spellEnd"/>
      <w:r w:rsidRPr="009342F9">
        <w:rPr>
          <w:rFonts w:ascii="Arial" w:eastAsia="Times New Roman" w:hAnsi="Arial" w:cs="Arial"/>
          <w:color w:val="000000"/>
          <w:lang w:eastAsia="es-CO"/>
        </w:rPr>
        <w:t>, la determinación del correspondiente perímetro urbano, el cual a su vez no podrá ser mayor que el perímetro de servicios o sanitario. </w:t>
      </w:r>
    </w:p>
    <w:p w14:paraId="1B0398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0EFD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Todas las decisiones de aspectos estructurales del componente general se traducen en normas urbanísticas estructurales. </w:t>
      </w:r>
    </w:p>
    <w:p w14:paraId="3632428B" w14:textId="6D45857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62" w:name="ver_30072609"/>
      <w:bookmarkEnd w:id="862"/>
    </w:p>
    <w:p w14:paraId="412FAF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2.2.2.1.2.2.3. El componente urbano de los Planes Básicos de Ordenamiento Territorial. El componente urbano de los Planes de Ordenamiento Territorial deberá identificar, señalar y delimitar en forma detallada por lo menos la localización de los siguientes aspectos: </w:t>
      </w:r>
    </w:p>
    <w:p w14:paraId="5D6AD0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D282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Áreas de conservación y protección de los recursos naturales. </w:t>
      </w:r>
    </w:p>
    <w:p w14:paraId="57D278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6742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Conjuntos urbanos, históricos y culturales. </w:t>
      </w:r>
    </w:p>
    <w:p w14:paraId="5480C8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A1A7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Áreas expuestas a amenazas y riesgos. </w:t>
      </w:r>
    </w:p>
    <w:p w14:paraId="339CB2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6B79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Infraestructura para vías y transporte. </w:t>
      </w:r>
    </w:p>
    <w:p w14:paraId="3F1C57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5D69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Redes de servicios públicos. </w:t>
      </w:r>
    </w:p>
    <w:p w14:paraId="43A867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8902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Equipamientos colectivos y espacios públicos libres para parques y zonas verdes y el señalamiento de las cesiones urbanísticas gratuitas correspondientes a dichas infraestructuras. </w:t>
      </w:r>
    </w:p>
    <w:p w14:paraId="59440E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E0E0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La estrategia de mediano plazo para programas de vivienda de interés social. </w:t>
      </w:r>
    </w:p>
    <w:p w14:paraId="282421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2332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Planes Parciales y Unidades de Actuación Urbanística. </w:t>
      </w:r>
    </w:p>
    <w:p w14:paraId="7ABDAA01" w14:textId="70B778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63" w:name="ver_30072610"/>
      <w:bookmarkEnd w:id="863"/>
    </w:p>
    <w:p w14:paraId="592FF3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2.2.2.1.2.2.4. El componente rural de los Planes Básicos de Ordenamiento Territorial. El componente rural de los Planes Básicos de Ordenamiento Territorial deberá identificar, señalar y delimitar en forma detallada, por lo menos la localización de los siguientes aspectos: </w:t>
      </w:r>
    </w:p>
    <w:p w14:paraId="1FA341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0C4B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Áreas de conservación y protección de los recursos naturales </w:t>
      </w:r>
    </w:p>
    <w:p w14:paraId="53B5D6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EC56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Áreas expuestas a amenazas y riesgos. </w:t>
      </w:r>
    </w:p>
    <w:p w14:paraId="62CE44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30E8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Áreas que forman parte de los sistemas de aprovisionamiento de los servicios públicos y para la disposición final de residuos sólidos y líquidos. </w:t>
      </w:r>
    </w:p>
    <w:p w14:paraId="5547D0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065E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Áreas de producción agropecuaria, forestal y minera. </w:t>
      </w:r>
    </w:p>
    <w:p w14:paraId="727414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32C0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Centros poblados y áreas suburbanas. </w:t>
      </w:r>
    </w:p>
    <w:p w14:paraId="3820C5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4A70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Equipamiento de salud y educación. </w:t>
      </w:r>
    </w:p>
    <w:p w14:paraId="2EC7F5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2677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Expedición de normas para la parcelación de predios rurales destinados a vivienda campestre, las cuales deben tener en cuenta la legislación agraria y ambiental. </w:t>
      </w:r>
    </w:p>
    <w:p w14:paraId="0C60CE5D" w14:textId="790F84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64" w:name="ver_30072616"/>
      <w:bookmarkEnd w:id="864"/>
    </w:p>
    <w:p w14:paraId="78D96BFF" w14:textId="27434E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2.2.2.1.2.2.5. Esquemas de Ordenamiento Territorial. Los municipios con población inferior a los treinta mil (30.000) habitantes deberán adoptar Esquemas de Ordenamiento Territorial en los términos del artículo 23 de la Ley 388 de 1997 y demás normas concordantes. No obstante, los municipios con estas características que presenten dinámicas importantes de crecimiento </w:t>
      </w:r>
      <w:r w:rsidR="005565AB" w:rsidRPr="009342F9">
        <w:rPr>
          <w:rFonts w:ascii="Arial" w:eastAsia="Times New Roman" w:hAnsi="Arial" w:cs="Arial"/>
          <w:color w:val="000000"/>
          <w:lang w:eastAsia="es-CO"/>
        </w:rPr>
        <w:t>urbano</w:t>
      </w:r>
      <w:r w:rsidRPr="009342F9">
        <w:rPr>
          <w:rFonts w:ascii="Arial" w:eastAsia="Times New Roman" w:hAnsi="Arial" w:cs="Arial"/>
          <w:color w:val="000000"/>
          <w:lang w:eastAsia="es-CO"/>
        </w:rPr>
        <w:t xml:space="preserve"> podrán adoptar Planes Básicos de Ordenamiento Territorial. </w:t>
      </w:r>
    </w:p>
    <w:p w14:paraId="481107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6902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esquemas de Ordenamiento Territorial deberán contemplar los componentes general, urbano y rural. </w:t>
      </w:r>
    </w:p>
    <w:p w14:paraId="67A15D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9BC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componente general de los esquemas de ordenamiento territorial señalará como mínimo los siguientes aspectos: </w:t>
      </w:r>
    </w:p>
    <w:p w14:paraId="56E079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AD4B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objetivos, estrategias y políticas territoriales de largo plazo, para la ocupación y el aprovechamiento del suelo municipal. </w:t>
      </w:r>
    </w:p>
    <w:p w14:paraId="1F4280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456D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clasificación del territorio municipal en suelo urbano y suelo rural. Esta definición incluye la determinación del perímetro urbano para las cabeceras de los corregimientos. </w:t>
      </w:r>
    </w:p>
    <w:p w14:paraId="63869F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94FC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delimitación de las áreas de reserva para la conservación y protección del medio ambiente y los recursos naturales. </w:t>
      </w:r>
    </w:p>
    <w:p w14:paraId="749576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EA44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determinación de las áreas expuestas a amenazas y riesgos. </w:t>
      </w:r>
    </w:p>
    <w:p w14:paraId="4A4FA2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0A82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componente urbano de los esquemas de ordenamiento territorial deberá identificar y definir la estructura general del suelo urbano, en especial, los siguientes aspectos: </w:t>
      </w:r>
    </w:p>
    <w:p w14:paraId="6A2F1F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CAFC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Plan de vías. </w:t>
      </w:r>
    </w:p>
    <w:p w14:paraId="023453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6A47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plan de servicios públicos domiciliarios. </w:t>
      </w:r>
    </w:p>
    <w:p w14:paraId="043907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E94F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expedición de normas urbanísticas para las actuaciones de parcelación, urbanización y construcción. </w:t>
      </w:r>
    </w:p>
    <w:p w14:paraId="038949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D020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componente rural de los esquemas de ordenamiento territorial deberá identificar, señalar y delimitar en forma detallada, por lo menos la localización de los siguientes aspectos: </w:t>
      </w:r>
    </w:p>
    <w:p w14:paraId="7F7791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1931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Áreas de conservación y protección de los recursos naturales. </w:t>
      </w:r>
    </w:p>
    <w:p w14:paraId="469E77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5FCC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Áreas expuestas a amenazas y riesgos. </w:t>
      </w:r>
    </w:p>
    <w:p w14:paraId="1E3AFD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2996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Áreas que forman parte de los sistemas de aprovisionamiento de los servicios públicos y para la disposición final de residuos sólidos y líquidos. </w:t>
      </w:r>
    </w:p>
    <w:p w14:paraId="4E823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1D5D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Áreas de producción agropecuaria, forestal y minera. </w:t>
      </w:r>
    </w:p>
    <w:p w14:paraId="02A3E7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F3E5BF"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5. Equipamiento de salud y educación. </w:t>
      </w:r>
    </w:p>
    <w:p w14:paraId="71C853B7" w14:textId="79FD005A"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65" w:name="ver_30072621"/>
      <w:bookmarkEnd w:id="865"/>
    </w:p>
    <w:p w14:paraId="7AAA3330" w14:textId="7A038702"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6E7AC440"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PRESENTACIÓN DE LOS PLANES ORDENAMIENTO TERRITORIAL</w:t>
      </w:r>
    </w:p>
    <w:p w14:paraId="76C7C95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66" w:name="ver_30072622"/>
      <w:bookmarkEnd w:id="866"/>
    </w:p>
    <w:p w14:paraId="698476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2.2.2.1.2.3.1. Proceso de planificación. Los resultados del proceso de planificación del ordenamiento territorial se consignarán en los siguientes documentos, que formarán parte integrante del Plan: </w:t>
      </w:r>
    </w:p>
    <w:p w14:paraId="19C339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9358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Documento técnico de soporte. </w:t>
      </w:r>
    </w:p>
    <w:p w14:paraId="3CC840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525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Documento resumen, y </w:t>
      </w:r>
    </w:p>
    <w:p w14:paraId="16AD1C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272D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Acuerdo que adopta el Plan. </w:t>
      </w:r>
    </w:p>
    <w:p w14:paraId="4E4D97D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67" w:name="ver_30072640"/>
      <w:bookmarkEnd w:id="867"/>
      <w:r w:rsidRPr="009342F9">
        <w:rPr>
          <w:rFonts w:ascii="Arial" w:eastAsia="Times New Roman" w:hAnsi="Arial" w:cs="Arial"/>
          <w:color w:val="000000"/>
          <w:lang w:eastAsia="es-CO"/>
        </w:rPr>
        <w:t>Artículo 2.2.2.1.2.3.2. Documento técnico de soporte. El documento técnico de soporte contiene el desarrollo, la descripción y la aplicación de los distintos procesos técnicos empleados para la formulación del Plan. Este documento incluirá como mínimo las siguientes partes: </w:t>
      </w:r>
    </w:p>
    <w:p w14:paraId="11C809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1986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planificación, referida a la planificación territorial del municipio o distrito en los tres (3) componentes, general urbano y rural, sobre las cuales se soportan las definiciones y decisiones de ordenamiento que incorpora el Plan. </w:t>
      </w:r>
    </w:p>
    <w:p w14:paraId="6854FF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EBDD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planos generales, que corresponden a los documentos gráficos del Plan de Ordenamiento Territorial e incorporan e ilustran todos los temas que componen el análisis espacial del territorio y el modelo de ocupación adoptado. </w:t>
      </w:r>
    </w:p>
    <w:p w14:paraId="36A9CB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F4DE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gestión y financiación, que contiene la formulación y adopción de los instrumentos, y procesos de implementación del Plan. </w:t>
      </w:r>
    </w:p>
    <w:p w14:paraId="0F1B56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C0BE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programa de ejecución, que define con carácter obligatorio las actuaciones que se realizarán en el corto plazo por parte de la administración municipal o distrital y expone las prioridades, la programación de actividades, las entidades responsables, los recursos respectivos y el esquema de gestión, financiación, ejecución y seguimiento de esas iniciativas en concordancia con el plan de inversiones del municipio o distrito. </w:t>
      </w:r>
    </w:p>
    <w:p w14:paraId="4604A26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68" w:name="ver_30072643"/>
      <w:bookmarkEnd w:id="868"/>
    </w:p>
    <w:p w14:paraId="3AD71F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2.2.2.1.2.3.3. Documento resumen. El Plan de Ordenamiento Territorial deberá tener un documento de resumen o memoria explicativa como medio de divulgación y socialización para que la ciudadanía conozca la síntesis y conclusiones generales del mismo. La memoria debe contener una explicación didáctica de los objetivos, estrategias y políticas del Plan y de las principales líneas de acción emanadas de sus diagnósticos, de forma tal que se presenten sintéticamente los problemas a resolver y las propuestas para la organización del territorio urbano y rural. </w:t>
      </w:r>
    </w:p>
    <w:p w14:paraId="0BD2315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69" w:name="ver_30072645"/>
      <w:bookmarkEnd w:id="869"/>
    </w:p>
    <w:p w14:paraId="19BBE6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2.2.2.1.2.3.4. Acuerdo que adopta el Plan. El acuerdo que adopta el Plan aprobará en toda su extensión el documento técnico de soporte y los planos generales. También incluirá en su articulado sus componentes y contenidos de acuerdo con la siguiente clasificación: </w:t>
      </w:r>
    </w:p>
    <w:p w14:paraId="588279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8E11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Una primera parte que contienen los objetivos, estrategias y políticas de largo y mediano plazo para el manejo de la totalidad del territorio. </w:t>
      </w:r>
    </w:p>
    <w:p w14:paraId="05484F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2AF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Una segunda parte que adopta la clasificación del suelo de acuerdo con lo establecido en la ley en urbano, de expansión urbana, suburbano, rural y de protección, así como la definición de cada uno de los respectivos perímetros. Como suelo urbano también deberán definirse las áreas de las cabeceras corregimentales. </w:t>
      </w:r>
    </w:p>
    <w:p w14:paraId="04CA33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1A52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Una tercera parte donde se determine los usos generales del suelo y los parámetros o rangos para la determinación posterior de las áreas de cesión. </w:t>
      </w:r>
    </w:p>
    <w:p w14:paraId="78DF2D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DD3A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Una cuarta parte que determinan las características básicas, dimensiones y localización de los sistemas estructurantes del territorio municipal, tanto en su parte urbana como rural y describe sus respectivos planes, programas y proyectos para su desarrollo: el plan vial y de transporte, los planes para cada uno de los servicios públicos domiciliarios el plan del espacio público y su articulación con el sistema de soporte ambiental municipal, la estructura y la localización de equipamientos colectivos y los programas de vivienda necesarios para atender la demanda municipal. </w:t>
      </w:r>
    </w:p>
    <w:p w14:paraId="561C42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3813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Una quinta parte que define tanto para los suelos urbanos, como de expansión y suburbanos los distintos tratamientos o potencialidades de utilización a partir de la siguiente categorización: desarrollo, consolidación, renovación urbana, conservación y mejoramiento integral, estableciendo para cada uno de ellos, sus particularidades en cuanto a localización, usos principales, complementarios y compatibles, densidades, índices básicos de edificabilidad y demás contenidos técnicos de planificación y gestión que permitan su aplicación real. </w:t>
      </w:r>
    </w:p>
    <w:p w14:paraId="235FC8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8E4E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Una sexta parte que establece los planes parciales prioritarios, su delimitación, objetivos y estrategias básicas de diseño e instrumentos para su implementación y la delimitación de las unidades de actuación urbanística a través de las cuales se desarrollarán los planes parciales. </w:t>
      </w:r>
    </w:p>
    <w:p w14:paraId="6A56C4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CEED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Una séptima parte que adoptará el programa de ejecución correspondiente a la vigencia del período de la administración municipal. </w:t>
      </w:r>
    </w:p>
    <w:p w14:paraId="2686BD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1CD4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planos generales que se deben adoptar como mínimo, son los siguientes: </w:t>
      </w:r>
    </w:p>
    <w:p w14:paraId="5F1732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0219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plano que define la estructura general del territorio a largo plazo que contiene los elementos estructurantes del municipio, es decir: los sistemas de comunicación entre las áreas urbanas y rurales del municipio y de éste con los sistemas regionales y nacionales, el señalamiento de áreas de reserva, de conservación y de protección ambiental; la determinación de zonas de alto riesgo para la localización de asentamientos urbanos; la localización de infraestructura y equipamientos básicos; la clasificación del territorio en suelo urbano, rural y de expansión urbana, con la correspondiente determinación de los perímetros. </w:t>
      </w:r>
    </w:p>
    <w:p w14:paraId="23A7C6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8255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planos de detalle del suelo urbano, que deberán contener como mínimo los usos y tratamientos del suelo, los sistemas estructurantes del territorio, el señalamiento de áreas de reserva, de conservación y de protección del patrimonio histórico, cultural y arquitectónico, y ambiental, las zonas de amenaza y riesgo, la localización de actividades, infraestructuras y equipamientos básicos; el sistema de espacio público y la determinación de planes parciales, la determinación de las áreas morfológicas homogéneas y, la determinación de las zonas o subzonas beneficiarias de las acciones urbanísticas generadoras de la participación en plusvalía. </w:t>
      </w:r>
    </w:p>
    <w:p w14:paraId="012378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C1D3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planos de detalle del suelo rural, que deberán contener como mínimo la determinación de los usos, el señalamiento de las áreas de reserva, de conservación y de protección del patrimonio histórico, cultural y arquitectónico, y ambiental, la localización de actividades, infraestructura y equipamientos básicos; y las zonas de amenaza y riesgo. </w:t>
      </w:r>
    </w:p>
    <w:p w14:paraId="4EE57A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88B3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plano que refleje el programa de ejecución, que deberá contener como mínimo los programas y proyectos de infraestructura de transporte y servicios públicos domiciliarios que se ejecutarán en el período correspondiente; la localización de los terrenos necesarios para atender la demanda de vivienda de interés social y las zonas de mejoramiento integral; así como los inmuebles y terrenos cuyo desarrollo o construcción se consideren prioritarios. </w:t>
      </w:r>
    </w:p>
    <w:p w14:paraId="1FDEE43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187967F" w14:textId="745F63EA" w:rsidR="00FC79C1" w:rsidRPr="009342F9" w:rsidRDefault="00FC79C1" w:rsidP="00683694">
      <w:pPr>
        <w:spacing w:after="0" w:line="240" w:lineRule="auto"/>
        <w:jc w:val="center"/>
        <w:rPr>
          <w:rFonts w:ascii="Arial" w:eastAsia="Times New Roman" w:hAnsi="Arial" w:cs="Arial"/>
          <w:b/>
          <w:bCs/>
          <w:color w:val="000000"/>
          <w:lang w:eastAsia="es-CO"/>
        </w:rPr>
      </w:pPr>
      <w:bookmarkStart w:id="870" w:name="ver_30072647"/>
      <w:bookmarkEnd w:id="870"/>
      <w:r w:rsidRPr="009342F9">
        <w:rPr>
          <w:rFonts w:ascii="Arial" w:eastAsia="Times New Roman" w:hAnsi="Arial" w:cs="Arial"/>
          <w:b/>
          <w:bCs/>
          <w:color w:val="000000"/>
          <w:lang w:eastAsia="es-CO"/>
        </w:rPr>
        <w:t>SUBSECCIÓN 4</w:t>
      </w:r>
    </w:p>
    <w:p w14:paraId="59A576F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FORMULACIÓN DE LOS PLANES ORDENAMIENTO TERRITORIAL</w:t>
      </w:r>
    </w:p>
    <w:p w14:paraId="3BD243C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71" w:name="ver_30072654"/>
      <w:bookmarkEnd w:id="871"/>
    </w:p>
    <w:p w14:paraId="0C7F76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2.2.2.1.2.4.1. Formulación de los planes de ordenamiento territorial. Los municipios o distritos deberán formular el Plan de Ordenamiento Territorial obedeciendo una secuencia de cinco (5) etapas, alrededor de las cuales se articulen los desarrollos temáticos y los procesos del plan: </w:t>
      </w:r>
    </w:p>
    <w:p w14:paraId="10F599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1786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Etapa preliminar. </w:t>
      </w:r>
    </w:p>
    <w:p w14:paraId="567FA3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B8F7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Diagnóstico. </w:t>
      </w:r>
    </w:p>
    <w:p w14:paraId="47EB92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58A4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Formulación. </w:t>
      </w:r>
    </w:p>
    <w:p w14:paraId="6AB1B7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DC1D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Instrumentos de implementación. </w:t>
      </w:r>
    </w:p>
    <w:p w14:paraId="1D5735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9C77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Seguimiento. </w:t>
      </w:r>
    </w:p>
    <w:p w14:paraId="32E6D32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72" w:name="ver_30072656"/>
      <w:bookmarkEnd w:id="872"/>
    </w:p>
    <w:p w14:paraId="5C4068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2.2.2.1.2.4.2. Etapa preliminar. Esta etapa comprende: Un análisis de la factibilidad técnica, institucional y financiera y de los procesos participativos requeridos para la elaboración del plan; la identificación de los recursos y actividades necesarias para la elaboración del plan; la definición de los temas estratégicos y prioritarios de la proyección espacial de actividades en el territorio en función de la vocación del municipio o distrito acorde con las políticas sociales y económicas definidas en el Plan de Desarrollo y; y; la formulación de la estrategia de articulación con el Plan de Desarrollo y otros planes sectoriales. </w:t>
      </w:r>
    </w:p>
    <w:p w14:paraId="2DEC1F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7745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Como resultado de esta etapa debe obtenerse: </w:t>
      </w:r>
    </w:p>
    <w:p w14:paraId="38B7A6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813B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cartografía que contenga la especialización de la información de fuentes secundarias, como Plan de Desarrollo, proyectos de inversión, dimensiones y atributos y la visión urbano-regional. </w:t>
      </w:r>
    </w:p>
    <w:p w14:paraId="10C4ED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CB88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Escenarios de ordenamiento del territorio para el futuro desarrollo del municipio o distrito. </w:t>
      </w:r>
    </w:p>
    <w:p w14:paraId="344915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DBBE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Documento síntesis de la primera valoración sobre información secundaria, la cual contendrá: el estado general de la información existente, los vacíos y entidades responsables, y las conclusiones que permitan una aproximación a los problemas y conflictos del municipio o distrito. </w:t>
      </w:r>
    </w:p>
    <w:p w14:paraId="06977D3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73" w:name="ver_30072658"/>
      <w:bookmarkEnd w:id="873"/>
    </w:p>
    <w:p w14:paraId="7CAA64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2.2.2.1.2.4.3. Diagnóstico. El diagnóstico deberá permitir consolidar la imagen actual del territorio para confrontarlo con la imagen deseada de tal manera que permita formular adecuadamente el propósito general de desarrollo del municipio o distrito en términos espaciales. Dicho diagnóstico deberá incluir el análisis de la visión urbano-regional del municipio o distrito. También incorporará las dimensiones del desarrollo territorial en lo urbano o rural, en lo ambiental, lo económico y social, así como lo cultural y lo institucional. Igualmente, incorporará los atributos o elementos estructurantes del territorio. </w:t>
      </w:r>
    </w:p>
    <w:p w14:paraId="2FEE53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1878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Como resultado de esta etapa debe obtenerse: </w:t>
      </w:r>
    </w:p>
    <w:p w14:paraId="76C49F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1FC0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presentación del diagnóstico por cada uno de los temas. </w:t>
      </w:r>
    </w:p>
    <w:p w14:paraId="0D387B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DAEA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planos técnicos y de percepción social de la visión urbano-regional, las dimensiones y los atributos. </w:t>
      </w:r>
    </w:p>
    <w:p w14:paraId="4B6FB3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4C42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 documento síntesis. </w:t>
      </w:r>
    </w:p>
    <w:p w14:paraId="30C1E81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74" w:name="ver_30072661"/>
      <w:bookmarkEnd w:id="874"/>
    </w:p>
    <w:p w14:paraId="19F24D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2.2.2.1.2.4.4. Formulación. La formulación del plan comprende el proceso de la toma de las decisiones fundamentales acerca del ordenamiento del territorio, las cuales se traducen en los componentes generales y su contenido estructural, urbano y rural. Igualmente deberá incluir las acciones y actuaciones que serán incorporadas en el programa de ejecución. El resultado de esta etapa son los documentos enunciados en la sección anterior, los cuales serán sometidos a la aprobación de las instancias competentes. </w:t>
      </w:r>
    </w:p>
    <w:p w14:paraId="6330057C" w14:textId="5A0C574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75" w:name="ver_30072663"/>
      <w:bookmarkEnd w:id="875"/>
    </w:p>
    <w:p w14:paraId="444F42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2.2.2.1.2.4.5. Implementación. La etapa de implementación comprende las acciones necesarias para hacer realidad los propósitos del Plan de Ordenamiento en aspectos tales como los financieros, de capacidad institucional, de desarrollo técnico y de capacidad de convocatoria y de concertación. </w:t>
      </w:r>
    </w:p>
    <w:p w14:paraId="625C0AF1" w14:textId="24D6C0A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76" w:name="ver_30072666"/>
      <w:bookmarkEnd w:id="876"/>
    </w:p>
    <w:p w14:paraId="001C9B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2.2.2.1.2.4.6. Evaluación y seguimiento. La etapa de evaluación y seguimiento se desarrollará de manera permanente a lo largo de la vigencia del Plan de Ordenamiento con la participación de todas las partes interesadas y en especial del Consejo Consultivo de Ordenamiento Territorial. </w:t>
      </w:r>
    </w:p>
    <w:p w14:paraId="4E9E49D5" w14:textId="53F76CE6"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77" w:name="ver_30072668"/>
      <w:bookmarkEnd w:id="877"/>
    </w:p>
    <w:p w14:paraId="250ADE6B" w14:textId="0A890285"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5</w:t>
      </w:r>
    </w:p>
    <w:p w14:paraId="2D036379"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 DE ADOPCIÓN DE LOS PLANES</w:t>
      </w:r>
    </w:p>
    <w:p w14:paraId="760BE01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78" w:name="ver_30072670"/>
      <w:bookmarkEnd w:id="878"/>
    </w:p>
    <w:p w14:paraId="409FAE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2.2.2.1.2.5.1. Procedimientos. Para asegurar la participación comunal en el ordenamiento territorial, para la concertación y consulta del Plan y para la aprobación del Plan de Ordenamiento Territorial, se seguirá lo dispuesto por los artículos 22, 24 y 25 de la Ley 388 de 1997. </w:t>
      </w:r>
    </w:p>
    <w:p w14:paraId="353348FF" w14:textId="4A2771B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79" w:name="ver_30072672"/>
      <w:bookmarkEnd w:id="879"/>
    </w:p>
    <w:p w14:paraId="0B8435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2.2.2.1.2.5.2. Adopción del plan de Ordenamiento Territorial. De conformidad con el artículo 26 de la Ley 388 de 1997, transcurridos sesenta (60) días desde la presentación del proyecto del Plan de Ordenamiento Territorial sin que el Concejo Municipal o Distrital adopte el plan, el alcalde podrá adoptarlo mediante decreto. </w:t>
      </w:r>
    </w:p>
    <w:p w14:paraId="15EA7D78" w14:textId="7E9ED59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0" w:name="ver_30072674"/>
      <w:bookmarkEnd w:id="880"/>
    </w:p>
    <w:p w14:paraId="5FDC2A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2.2.2.1.2.5.3. Regulación de aprovechamientos, cesiones y volumetrías. En desarrollo de lo dispuesto en el numeral 2 del artículo 15 de la Ley 388 de 1997, los municipios y distritos deberán adoptar una norma urbanística general, donde se desarrolle la regulación referente a los aprovechamientos, cesiones específicas y volumetrías básicas para la totalidad del suelo urbano, de expansión urbana y suburbano. Esta norma será parte integrante del Plan y su revisión sólo podrá hacerse con ocasión de la revisión del componente urbano del plan, salvo en el caso de la formulación de planes parciales y unidades de actuación urbanística. </w:t>
      </w:r>
    </w:p>
    <w:p w14:paraId="163CB70D" w14:textId="2A47E7E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1" w:name="ver_30072677"/>
      <w:bookmarkEnd w:id="881"/>
    </w:p>
    <w:p w14:paraId="324734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2.2.2.1.2.5.4. Consejo consultivo de ordenamiento. El Consejo Consultivo de Ordenamiento será una instancia asesora de la administración municipal o distrital en materia de ordenamiento territorial, que deberán conformar los alcaldes de municipios con población superior a los treinta mil (30.000) habitantes. Estará integrado por funcionarios de la administración y por representantes de las organizaciones gremiales, profesionales, ecológicas, cívicas y comunitarias vinculadas con el desarrollo urbano. Así mismo los curadores urbanos forman parte de este consejo en las ciudades donde exista esta institución. </w:t>
      </w:r>
    </w:p>
    <w:p w14:paraId="70B152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A728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Serán funciones de este Consejo, además de las previstas en la Ley y este Decreto, el seguimiento del Plan de Ordenamiento y proponer sus ajustes y revisiones cuando sea del caso. </w:t>
      </w:r>
    </w:p>
    <w:p w14:paraId="70D9ED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7C2C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miembros de este Consejo podrán ser escogidos entre los integrantes del Consejo Territorial de Planeación. </w:t>
      </w:r>
    </w:p>
    <w:p w14:paraId="47D54738" w14:textId="005F290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2" w:name="ver_30072682"/>
      <w:bookmarkEnd w:id="882"/>
    </w:p>
    <w:p w14:paraId="5C1A06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2.2.2.1.2.5.5. Aprobación y adopción de POT. Cuando los municipios o distritos no hayan aprobado y adoptado los Planes de Ordenamiento Territorial o se encuentren en proceso de formulación conforme a lo dispuesto en las Leyes 388 de 1997, 507 y 546 de 1999, los gobernadores darán instrucciones a las oficinas de planeación de los departamentos respectivos para que, en coordinación con los municipios o distritos correspondientes, acometan su elaboración, siguiendo los procedimientos de concertación y aprobación, establecidos en las Leyes 388 de 1997 y 507 de 1999, así como en sus decretos reglamentarios. </w:t>
      </w:r>
    </w:p>
    <w:p w14:paraId="7C74B8D6" w14:textId="77777777" w:rsidR="00AA5FD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3" w:name="ver_30072685"/>
      <w:bookmarkEnd w:id="883"/>
    </w:p>
    <w:p w14:paraId="7B68966A" w14:textId="0D226B22"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2.2.2.1.2.5.6. Régimen de transición para expedición de licencias urbanísticas. Mientras se expiden los planes de ordenamiento territorial de los municipios y distritos, las licencias urbanísticas continuarán expidiéndose de conformidad con los planes de desarrollo, los planes maestros de infraestructura, los códigos de urbanismo y normas urbanísticas vigentes en las materias correspondientes. </w:t>
      </w:r>
    </w:p>
    <w:p w14:paraId="2F04DE06" w14:textId="59652F22"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4" w:name="ver_30072688"/>
      <w:bookmarkEnd w:id="884"/>
    </w:p>
    <w:p w14:paraId="3627510E" w14:textId="19CE1CF2"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6</w:t>
      </w:r>
    </w:p>
    <w:p w14:paraId="1D5D463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REVISIÓN Y AJUSTE DE LOS POT</w:t>
      </w:r>
    </w:p>
    <w:p w14:paraId="1E5BE5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85" w:name="ver_30072689"/>
      <w:bookmarkEnd w:id="885"/>
    </w:p>
    <w:p w14:paraId="4671F6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2.2.2.1.2.6.1. Revisión de los planes de ordenamiento territorial. Los Concejos municipales o distritales, por iniciativa del alcalde y en el comienzo del período constitucional de éste, podrán revisar y ajustar los contenidos de largo, mediano o corto plazo de los Planes de Ordenamiento Territorial, siempre y cuando haya vencido el término de vigencia de cada uno de ellos, según lo establecido en dichos planes. </w:t>
      </w:r>
    </w:p>
    <w:p w14:paraId="1D08CD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C76A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Tales revisiones se harán por los motivos y condiciones contemplados en los mismos Planes de Ordenamiento Territorial para su revisión, según los criterios que establece el artículo 28 de la Ley 388 de 1997. </w:t>
      </w:r>
    </w:p>
    <w:p w14:paraId="7E522A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3581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Por razones de excepcional interés público, o de fuerza mayor o caso fortuito, el alcalde municipal o distrital podrá iniciar en cualquier momento el proceso de revisión del Plan o de alguno de sus contenidos. Serán circunstancias de excepcional interés público, o de fuerza mayor o caso fortuito, que justifiquen la revisión del Plan de Ordenamiento las siguientes: </w:t>
      </w:r>
    </w:p>
    <w:p w14:paraId="6CB55E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EA75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declaratoria de desastre o calamidad pública de que tratan los artículos 18 y 48 del Decreto Ley 919 de 1989, por la ocurrencia súbita de desastres de origen natural o antrópico. </w:t>
      </w:r>
    </w:p>
    <w:p w14:paraId="31ADA6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DC40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resultados de estudios técnicos detallados sobre amenazas, riesgos y vulnerabilidad que justifiquen la recalificación de áreas de riesgo no mitigable y otras condiciones de restricción diferentes de las originalmente adoptadas en el Plan de Ordenamiento Territorial vigente. </w:t>
      </w:r>
    </w:p>
    <w:p w14:paraId="452A95B6" w14:textId="5F3DA8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6" w:name="ver_30072693"/>
      <w:bookmarkEnd w:id="886"/>
    </w:p>
    <w:p w14:paraId="0DBE34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2.2.2.1.2.6.2. Modificación excepcional de normas urbanísticas. De conformidad con lo establecido en el artículo 15 de la Ley 388 de 1997, adicionado por el artículo 1° de la Ley 902 de 2004, la modificación excepcional de alguna o algunas de las normas urbanísticas de carácter estructural o general del Plan de Ordenamiento Territorial, que tengan por objeto asegurar la consecución de los objetivos y estrategias territoriales de largo y mediano plazo definidas en los componentes General y Urbano del Plan de Ordenamiento Territorial, podrá emprenderse en cualquier momento, a iniciativa del Alcalde municipal o distrital, siempre y cuando se demuestren y soporten técnicamente los motivos que dan lugar a su modificación. </w:t>
      </w:r>
    </w:p>
    <w:p w14:paraId="5502DD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F33F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modificación excepcional de estas normas se sujetará en todo a las previsiones vigentes en el Plan de Ordenamiento Territorial, de acuerdo con la jerarquía de prevalencia de los componentes, contenidos y demás normas urbanísticas que lo integran. </w:t>
      </w:r>
    </w:p>
    <w:p w14:paraId="69CE32CA" w14:textId="42212D3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7" w:name="ver_30072695"/>
      <w:bookmarkEnd w:id="887"/>
    </w:p>
    <w:p w14:paraId="267F57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2.2.2.1.2.6.3. Procedimiento para aprobar y adoptar las revisiones. Todo proyecto de revisión y modificación del Plan de Ordenamiento Territorial o de alguno de sus contenidos se someterá a los mismos trámites de concertación, consulta y aprobación previstos en los artículos 24 y 25 de la Ley 388 de 1997. </w:t>
      </w:r>
    </w:p>
    <w:p w14:paraId="7E4B08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9DB6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Ante la declaratoria de desastre o calamidad pública, los trámites de concertación interinstitucional y consulta ciudadana del proyecto de revisión podrán ser adelantados paralelamente ante las instancias y autoridades competentes. </w:t>
      </w:r>
    </w:p>
    <w:p w14:paraId="62E2ACE3" w14:textId="6B0FF26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0F77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todo caso, la revisión y ajuste de los Planes de Ordenamiento o de alguno de sus contenidos procederá cuando se cumplan las condiciones y requisitos que para tal efecto se determinan en la Ley 388 de 1997 y en sus decretos reglamentarios. </w:t>
      </w:r>
    </w:p>
    <w:p w14:paraId="5FC45F03" w14:textId="2A81628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8" w:name="ver_30072697"/>
      <w:bookmarkEnd w:id="888"/>
    </w:p>
    <w:p w14:paraId="0B7DE1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2.2.2.1.2.6.4. Adopción por decreto. Transcurridos noventa (90) días desde la presentación del proyecto de revisión del Plan de Ordenamiento Territorial o de alguno de sus contenidos al Concejo Municipal o Distrital sin que este la adopte,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podrá adoptarlo por decreto. </w:t>
      </w:r>
    </w:p>
    <w:p w14:paraId="7430CB94" w14:textId="461A588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89" w:name="ver_30072699"/>
      <w:bookmarkEnd w:id="889"/>
    </w:p>
    <w:p w14:paraId="0EFEEB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2.2.2.1.2.6.5. Documentos. El proyecto de revisión del Plan de Ordenamiento Territorial o de alguno de sus contenidos deberá acompañarse, por lo menos, de los siguientes documentos y estudios técnicos, sin perjuicio de aquellos que sean necesarios para la correcta sustentación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a juicio de las distintas instancias y autoridades de consulta, concertación y aprobación: </w:t>
      </w:r>
    </w:p>
    <w:p w14:paraId="64A4DA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506B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Memoria justificativa indicando con precisión la necesidad, la conveniencia y el propósito de las modificaciones que se pretenden efectuar. Adicionalmente, se anexará la descripción técnica y la evaluación de sus impactos sobre el Plan de Ordenamiento vigente. </w:t>
      </w:r>
    </w:p>
    <w:p w14:paraId="5F2D1C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B5E0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Proyecto de Acuerdo con los anexos, planos y demás documentación requerida para la aprobación de la revisión. </w:t>
      </w:r>
    </w:p>
    <w:p w14:paraId="3C6AB3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856F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Documento de seguimiento y evaluación de los resultados obtenidos respecto de los objetivos planteados en el Plan de Ordenamiento Territorial vigente. </w:t>
      </w:r>
    </w:p>
    <w:p w14:paraId="1ACC6774" w14:textId="76915649"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90" w:name="ver_30072709"/>
      <w:bookmarkEnd w:id="890"/>
    </w:p>
    <w:p w14:paraId="4D148148" w14:textId="1339317B"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7</w:t>
      </w:r>
    </w:p>
    <w:p w14:paraId="26B09467"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SERVICIOS DE ALTO IMPACTO REFERIDOS A LA PROSTITUCIÓN Y ACTIVIDADES AFINES</w:t>
      </w:r>
    </w:p>
    <w:p w14:paraId="5F3A06D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91" w:name="ver_30072710"/>
      <w:bookmarkEnd w:id="891"/>
    </w:p>
    <w:p w14:paraId="502439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2.2.2.1.2.7.1. Incompatibilidad y localización. En los Planes de Ordenamiento Territorial o en los instrumentos que los desarrollen o complementen no se podrán establecer como permitidos, los usos que comprendan servicios de alto impacto referidos a la prostitución y actividades afines, en las áreas, zonas o sectores en donde se prevea el desenvolvimiento del uso residencial o cualquier tipo de uso dotacional educativo, independientemente de que alguno de estos últimos se contemple con carácter de principal, complementario, compatible o restringido, o mezclado con otros usos. </w:t>
      </w:r>
    </w:p>
    <w:p w14:paraId="18C91D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6E1C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desarrollo de los servicios de alto impacto referidos a la prostitución y actividades </w:t>
      </w:r>
      <w:proofErr w:type="gramStart"/>
      <w:r w:rsidRPr="009342F9">
        <w:rPr>
          <w:rFonts w:ascii="Arial" w:eastAsia="Times New Roman" w:hAnsi="Arial" w:cs="Arial"/>
          <w:color w:val="000000"/>
          <w:lang w:eastAsia="es-CO"/>
        </w:rPr>
        <w:t>afines,</w:t>
      </w:r>
      <w:proofErr w:type="gramEnd"/>
      <w:r w:rsidRPr="009342F9">
        <w:rPr>
          <w:rFonts w:ascii="Arial" w:eastAsia="Times New Roman" w:hAnsi="Arial" w:cs="Arial"/>
          <w:color w:val="000000"/>
          <w:lang w:eastAsia="es-CO"/>
        </w:rPr>
        <w:t xml:space="preserve"> deberá regularse de manera especial en los Planes de Ordenamiento Territorial o en los instrumentos que los desarrollen o reglamenten, los cuales precisarán los sitios específicos para su localización, las condiciones y restricciones a las que deben sujetarse. </w:t>
      </w:r>
    </w:p>
    <w:p w14:paraId="794655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5839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presentarse colindancia entre las áreas, zonas o sectores donde se permitan los usos residencial e institucional educativo con aquellas áreas, zonas o sectores donde se prevea la ubicación de los usos de alto impacto referidos a la prostitución y actividades afines, los Planes de Ordenamiento o los instrumentos que los desarrollen o complementen, deberán prever las situaciones en las que priman los usos residencial e institucional educativo sobre los usos incompatibles enunciados en el presente artículo. </w:t>
      </w:r>
    </w:p>
    <w:p w14:paraId="459846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CFD4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la delimitación de las áreas, las zonas o los sectores en los que se permitan los servicios de alto impacto referidos a la prostitución y actividades afines se tendrán en cuenta las características y las formas de convivencia de cada municipio o distrito. </w:t>
      </w:r>
    </w:p>
    <w:p w14:paraId="37027487" w14:textId="74E1F5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92" w:name="ver_30072711"/>
      <w:bookmarkEnd w:id="892"/>
    </w:p>
    <w:p w14:paraId="743D1F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2.2.2.1.2.7.2. Condiciones para el desarrollo de servicios de alto impacto referidos a la prostitución. Además de la normatividad especial que regule la materia, los inmuebles en los que se presten servicios de alto impacto referidos a la prostitución y actividades afines, deberán cumplir con las siguientes condiciones: </w:t>
      </w:r>
    </w:p>
    <w:p w14:paraId="67F073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8B41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Contar con la respectiva licencia de construcción autorizando el uso en el inmueble. </w:t>
      </w:r>
    </w:p>
    <w:p w14:paraId="0F5403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1652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Desarrollar y localizar la actividad y sus servicios complementarios, incluidos los estacionamientos que exigieran las normas urbanísticas, exclusivamente al interior del predio. </w:t>
      </w:r>
    </w:p>
    <w:p w14:paraId="64673F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0982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Las demás que determinen las autoridades locales. </w:t>
      </w:r>
    </w:p>
    <w:p w14:paraId="5ECB5256" w14:textId="666530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93" w:name="ver_30072712"/>
      <w:bookmarkEnd w:id="893"/>
    </w:p>
    <w:p w14:paraId="3922A1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2.2.2.1.2.7.3. Programas de reordenamiento. En los actos modificatorios de los Planes de Ordenamiento Territorial, que resulten de los procesos de revisión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se contemplarán las condiciones para la relocalización de los usos incompatibles mencionados en este decreto. Dicha relocalización se sujetará, como mínimo, a las siguientes reglas: </w:t>
      </w:r>
    </w:p>
    <w:p w14:paraId="0098D4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27B6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municipios y distritos fijarán términos máximos improrrogables, que no podrán ser inferiores a uno (1) ni superiores a dos (2) períodos constitucionales del alcalde, para la relocalización de los establecimientos existentes permitidos por las normas anteriores al respectivo acto de revisión de sus Planes de Ordenamiento Territorial, en los que se desenvuelvan los usos incompatibles mencionados en el presente capítulo. </w:t>
      </w:r>
    </w:p>
    <w:p w14:paraId="489F8E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2637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Podrán establecerse beneficios para fomentar la relocalización concertada, sin perjuicio del término máximo señalado en el numeral anterior. </w:t>
      </w:r>
    </w:p>
    <w:p w14:paraId="512193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2BF5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Vencido el término máximo de relocalización previsto en el presente artículo, el desarrollo de los usos incompatibles de alto impacto referidos a la prostitución y actividades afines acarreará las sanciones previstas en el artículo 104, numeral 4, de la Ley 388 de 1997, modificado por el artículo 2° de la Ley 810 de 2003. </w:t>
      </w:r>
    </w:p>
    <w:p w14:paraId="0176D1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5786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Los alcaldes municipales o distritales adoptarán mecanismos ágiles para informar a los propietarios o administradores de los establecimientos objeto de relocalización, sobre los sitios exactos en donde pueden ubicarlos, los plazos y las condiciones para ello, de acuerdo con las normas del respectivo Plan de Ordenamiento Territorial, o los instrumentos que lo desarrollen y reglamenten. </w:t>
      </w:r>
    </w:p>
    <w:p w14:paraId="26CE2C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9A2B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los programas de reordenamiento se debe garantizar, por lo menos, la participación de las autoridades competentes en el municipio o distrito en materia de bienestar social, salubridad, seguridad y medio ambiente. </w:t>
      </w:r>
    </w:p>
    <w:p w14:paraId="38C3530B" w14:textId="5579D7F9"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94" w:name="ver_30072713"/>
      <w:bookmarkEnd w:id="894"/>
    </w:p>
    <w:p w14:paraId="7D7EADC8" w14:textId="142BECB1"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8</w:t>
      </w:r>
    </w:p>
    <w:p w14:paraId="7FDDBE60"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ARMONIZACIÓN DE USOS DEL SUELO EN LOS POT Y EL DESARROLLO DE PROYECTOS, OBRAS O ACTIVIDADES DE UTILIDAD PÚBLICA Y DE INTERÉS SOCIAL</w:t>
      </w:r>
    </w:p>
    <w:p w14:paraId="78DD584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95" w:name="ver_30072714"/>
      <w:bookmarkEnd w:id="895"/>
    </w:p>
    <w:p w14:paraId="5E9112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2.2.2.1.2.8.1. Requisito previo para los proyectos, obras o actividades de utilidad pública. Los proyectos, obras o actividades considerados por el legislador de utilidad pública e interés social cuya ejecución corresponda a la Nación, podrán ser adelantados por esta en todo el territorio nacional, de manera directa o indirecta a través de cualquier modalidad contractual, previa la expedición de la respectiva licencia o del correspondiente instrumento administrativo de manejo y control ambiental por parte de la autoridad ambiental correspondiente. </w:t>
      </w:r>
    </w:p>
    <w:p w14:paraId="7E920A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9705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igual manera, se podrán ejecutar los proyectos, obras o actividades que sean considerados de utilidad pública e interés social que no requieran de la obtención previa de licencias o demás instrumentos administrativos de manejo y control ambiental. </w:t>
      </w:r>
    </w:p>
    <w:p w14:paraId="5FA256A8" w14:textId="71FE802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96" w:name="ver_30072715"/>
      <w:bookmarkEnd w:id="896"/>
    </w:p>
    <w:p w14:paraId="71E34C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2.2.2.1.2.8.2. Oponibilidad de los planes de ordenamiento territorial. Los planes, planes básicos o esquemas de ordenamiento territorial de los municipios y distritos en ningún caso serán oponibles a la ejecución de proyectos, obras o actividades a los que se refiere la presente subsección. </w:t>
      </w:r>
    </w:p>
    <w:p w14:paraId="2F88911E" w14:textId="0296C81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97" w:name="ver_30072716"/>
      <w:bookmarkEnd w:id="897"/>
    </w:p>
    <w:p w14:paraId="253401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2.2.2.1.2.8.3. Información de los proyectos, obras o actividades de utilidad pública. La decisión sobre la ejecución de los proyectos, obras o actividades a que se refiere la presente subsección, deberán ser informados por la autoridad correspondiente al municipio o distrito en cuya jurisdicción se pretenda realizar. </w:t>
      </w:r>
    </w:p>
    <w:p w14:paraId="57263C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F899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interesados en los proyectos, obras o actividades deberán entregar a los municipios y distritos la información pertinente sobre tales actividades, con el fin de que sea incorporados en el proceso de formulación, concertación, adopción, revisión y ajuste de los planes, planes básicos o esquemas de ordenamiento territorial de los municipios y distritos. </w:t>
      </w:r>
    </w:p>
    <w:p w14:paraId="48EB518B" w14:textId="16B3F996"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898" w:name="ver_30072717"/>
      <w:bookmarkEnd w:id="898"/>
    </w:p>
    <w:p w14:paraId="7F0CA824" w14:textId="7423EDD5"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239B7287"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INCORPORACIÓN DE LA GESTIÓN DEL RIESGO EN LOS PLANES DE ORDENAMIENTO TERRITORIAL</w:t>
      </w:r>
    </w:p>
    <w:p w14:paraId="2BD598B6"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1D856BDA" w14:textId="3C504AFF"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228756A0"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3D12F61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899" w:name="ver_30072718"/>
      <w:bookmarkEnd w:id="899"/>
    </w:p>
    <w:p w14:paraId="1B77B2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2.2.2.1.3.1.1. Objeto y ámbito de aplicación. Las disposiciones contenidas en el presente capítulo establecen las condiciones y escalas de detalle para incorporar de manera gradual la gestión del riesgo en la revisión de los contenidos de mediano y largo plazo de los planes de ordenamiento territorial municipal y distrital o en la expedición de un nuevo plan. </w:t>
      </w:r>
    </w:p>
    <w:p w14:paraId="5A0823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600A30" w14:textId="77777777" w:rsidR="005565AB"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De conformidad con lo previsto por la Ley 388 de 1997 y el artículo 189 del Decreto-ley 019 de 2012, los estudios básicos de que trata en el artículo denominado Estudios básicos para la revisión o expedición de Planes de Ordenamiento Territorial (POT) contenido en la presente subsección, deben hacer parte de los proyectos de revisión de los contenidos de mediano y largo plazo de los planes de ordenamiento territorial o la expedición de un nuevo plan. </w:t>
      </w:r>
    </w:p>
    <w:p w14:paraId="42781DBA" w14:textId="77777777" w:rsidR="005565AB" w:rsidRDefault="005565AB" w:rsidP="00FC79C1">
      <w:pPr>
        <w:spacing w:after="0" w:line="240" w:lineRule="auto"/>
        <w:jc w:val="both"/>
        <w:rPr>
          <w:rFonts w:ascii="Arial" w:eastAsia="Times New Roman" w:hAnsi="Arial" w:cs="Arial"/>
          <w:color w:val="000000"/>
          <w:lang w:eastAsia="es-CO"/>
        </w:rPr>
      </w:pPr>
    </w:p>
    <w:p w14:paraId="05460200" w14:textId="6F73A46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municipal o Distrital no podrá someter a consideración de la Corporación Autónoma Regional o autoridad ambiental correspondiente, los proyectos de revisión referidos sin el cumplimiento de este requisito. </w:t>
      </w:r>
    </w:p>
    <w:p w14:paraId="69C765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7DC1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ningún caso los concejos municipales o distritales podrán conferir autorizaciones con el fin de que los </w:t>
      </w:r>
      <w:proofErr w:type="gramStart"/>
      <w:r w:rsidRPr="009342F9">
        <w:rPr>
          <w:rFonts w:ascii="Arial" w:eastAsia="Times New Roman" w:hAnsi="Arial" w:cs="Arial"/>
          <w:color w:val="000000"/>
          <w:lang w:eastAsia="es-CO"/>
        </w:rPr>
        <w:t>Alcaldes</w:t>
      </w:r>
      <w:proofErr w:type="gramEnd"/>
      <w:r w:rsidRPr="009342F9">
        <w:rPr>
          <w:rFonts w:ascii="Arial" w:eastAsia="Times New Roman" w:hAnsi="Arial" w:cs="Arial"/>
          <w:color w:val="000000"/>
          <w:lang w:eastAsia="es-CO"/>
        </w:rPr>
        <w:t xml:space="preserve"> condicionen la realización de los estudios de que trata el artículo denominado Estudios básicos para la revisión o expedición de Planes de Ordenamiento Territorial (POT) contenido en la presente subsección, con posterioridad a la revisión del Plan, ni sujetos a autorizaciones posteriores del alcalde municipal o distrital. </w:t>
      </w:r>
    </w:p>
    <w:p w14:paraId="2F128BF9" w14:textId="14089C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0" w:name="ver_30072719"/>
      <w:bookmarkEnd w:id="900"/>
    </w:p>
    <w:p w14:paraId="7590A1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2.2.2.1.3.1.2. Estudios técnicos para la incorporación de la gestión del riesgo en la planificación territorial. Teniendo en cuenta el principio de gradualidad de que trata la Ley 1523 de 2012, se deben realizar los estudios básicos para la revisión de los contenidos de mediano y largo plazo de los planes de ordenamiento territorial o la expedición de nuevos planes y en su ejecución se deben realizar los estudios detallados. </w:t>
      </w:r>
    </w:p>
    <w:p w14:paraId="659DE4AA" w14:textId="02FF23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1" w:name="ver_30072720"/>
      <w:bookmarkEnd w:id="901"/>
    </w:p>
    <w:p w14:paraId="755A2D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2.2.2.1.3.1.3. Estudios básicos para la revisión o expedición de Planes de Ordenamiento Territorial (POT). De conformidad con lo dispuesto en el artículo anterior para la revisión de los contenidos de mediano y largo plazo de los planes de ordenamiento territorial o la expedición de nuevos planes, se deben elaborar estudios en los suelos urbanos, de expansión urbana y rural para los fenómenos de inundación, avenidas torrenciales y movimientos en masa, que contienen: </w:t>
      </w:r>
    </w:p>
    <w:p w14:paraId="1F9F76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8DD0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delimitación y zonificación de las áreas de amenaza. </w:t>
      </w:r>
    </w:p>
    <w:p w14:paraId="3278B6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0E74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delimitación y zonificación de las áreas con condición de amenaza en las que se requiere adelantar los estudios detallados a que se refiere el siguiente artículo. </w:t>
      </w:r>
    </w:p>
    <w:p w14:paraId="31A184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5C56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delimitación y zonificación de las áreas con condición de riesgo en las que se requiere adelantar los estudios detallados a que se refiere el siguiente artículo. </w:t>
      </w:r>
    </w:p>
    <w:p w14:paraId="1D7B13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B44A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determinación de las medidas de intervención, orientadas a establecer restricciones y condicionamientos mediante la determinación de normas urbanísticas. </w:t>
      </w:r>
    </w:p>
    <w:p w14:paraId="408FDB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D813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efectos de la aplicación de lo dispuesto en la presente sección, se adoptan las siguientes definiciones: </w:t>
      </w:r>
    </w:p>
    <w:p w14:paraId="217E8F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5309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Áreas con condición de amenaza, son las zonas o áreas del territorio municipal zonificadas como de amenaza alta y media en las que se establezca en la revisión o expedición de un nuevo POT la necesidad de clasificarlas como suelo urbano, de expansión urbana, rural suburbano o centros poblados rurales para permitir su desarrollo. </w:t>
      </w:r>
    </w:p>
    <w:p w14:paraId="7FAAAB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778F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Áreas con condición de riesgo, corresponden a las zonas o áreas del territorio municipal clasificadas como de amenaza alta que estén urbanizadas, ocupadas o </w:t>
      </w:r>
      <w:proofErr w:type="gramStart"/>
      <w:r w:rsidRPr="009342F9">
        <w:rPr>
          <w:rFonts w:ascii="Arial" w:eastAsia="Times New Roman" w:hAnsi="Arial" w:cs="Arial"/>
          <w:color w:val="000000"/>
          <w:lang w:eastAsia="es-CO"/>
        </w:rPr>
        <w:t>edificadas</w:t>
      </w:r>
      <w:proofErr w:type="gramEnd"/>
      <w:r w:rsidRPr="009342F9">
        <w:rPr>
          <w:rFonts w:ascii="Arial" w:eastAsia="Times New Roman" w:hAnsi="Arial" w:cs="Arial"/>
          <w:color w:val="000000"/>
          <w:lang w:eastAsia="es-CO"/>
        </w:rPr>
        <w:t xml:space="preserve"> así como en las que se encuentren elementos del sistema vial, equipamientos (salud, educación, otros) e infraestructura de servicios públicos. </w:t>
      </w:r>
    </w:p>
    <w:p w14:paraId="72D00E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CF13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Delimitación, consiste en la identificación del límite de un área determinada, mediante un polígono. Debe realizarse bajo el sistema de coordenadas oficial definido por la autoridad cartográfica nacional y su precisión estará dada en función de la escala de trabajo. </w:t>
      </w:r>
    </w:p>
    <w:p w14:paraId="4D3D58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68A1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Zonificación, es la representación cartográfica de áreas con características homogéneas. Debe realizarse bajo el sistema de coordenadas oficial definido por la autoridad cartográfica nacional y su precisión estará dada en función de la escala de trabajo. </w:t>
      </w:r>
    </w:p>
    <w:p w14:paraId="5A1AB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A47C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Aquellos municipios o distritos que se encuentren expuestos a amenazas por otros fenómenos naturales (sísmicos, volcánicos, tsunami, entre otros) o de origen tecnológico, deben evaluarlas con base en la información disponible generada por las autoridades y sectores competentes y de acuerdo con la situación de cada municipio o distrito. </w:t>
      </w:r>
    </w:p>
    <w:p w14:paraId="175659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B7B7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los casos en que un municipio o distrito esté expuesto a más de un tipo de fenómeno amenazante y que éstos se superpongan o que tengan incidencia uno en otro, se deberá contemplar su efecto en los estudios y zonificaciones respectivas. </w:t>
      </w:r>
    </w:p>
    <w:p w14:paraId="310CFA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0042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Si al momento de la revisión de los contenidos de mediano y largo plazo de los planes de ordenamiento territorial o la expedición de un nuevo POT, se cuenta con un Plan de Ordenación y Manejo de Cuencas Hidrográficas aprobado y el mismo incluye los análisis de amenazas, éstos sirven de insumo para la elaboración de los estudios básicos en suelo rural. </w:t>
      </w:r>
    </w:p>
    <w:p w14:paraId="06D00FD4" w14:textId="4616163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2" w:name="ver_30072722"/>
      <w:bookmarkEnd w:id="902"/>
    </w:p>
    <w:p w14:paraId="76FBFF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2.2.2.1.3.1.4. Estudios detallados. Los estudios detallados están orientados a determinar la categorización del riesgo y establecer las medidas de mitigación correspondientes. </w:t>
      </w:r>
    </w:p>
    <w:p w14:paraId="3C7450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486E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revisión de los contenidos de mediano y largo plazo de los planes de ordenamiento territorial o en la expedición de un nuevo POT, se debe establecer la priorización de los estudios detallados identificados en los estudios básicos y en el programa de ejecución se debe definir la programación de actividades, las entidades responsables y los recursos respectivos de los estudios que se ejecutarán en el período del alcalde que adelanta la revisión del plan o la expedición de uno nuevo. </w:t>
      </w:r>
    </w:p>
    <w:p w14:paraId="66B8076F" w14:textId="626AC1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3" w:name="ver_30072723"/>
      <w:bookmarkEnd w:id="903"/>
    </w:p>
    <w:p w14:paraId="3D0227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2.2.2.1.3.1.5. Escala de trabajo. De conformidad con las clases de suelo establecidas en la Ley 388 de 1997, los estudios se elaboran, como mínimo, en las siguientes escalas: </w:t>
      </w:r>
    </w:p>
    <w:p w14:paraId="16A7F0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C5380E" w14:textId="0848E219"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0139BEAD" wp14:editId="7F76F8AC">
            <wp:extent cx="5581013" cy="1362710"/>
            <wp:effectExtent l="0" t="0" r="635" b="8890"/>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5"/>
                    <pic:cNvPicPr/>
                  </pic:nvPicPr>
                  <pic:blipFill>
                    <a:blip r:embed="rId15">
                      <a:extLst>
                        <a:ext uri="{28A0092B-C50C-407E-A947-70E740481C1C}">
                          <a14:useLocalDpi xmlns:a14="http://schemas.microsoft.com/office/drawing/2010/main" val="0"/>
                        </a:ext>
                      </a:extLst>
                    </a:blip>
                    <a:stretch>
                      <a:fillRect/>
                    </a:stretch>
                  </pic:blipFill>
                  <pic:spPr>
                    <a:xfrm>
                      <a:off x="0" y="0"/>
                      <a:ext cx="5581013" cy="136271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000446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061F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municipios o distritos que cuenten con información a una escala de mayor detalle deben emplearla para el desarrollo de los respectivos estudios. </w:t>
      </w:r>
    </w:p>
    <w:p w14:paraId="69034A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5B2B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Aquellos municipios o distritos con centros poblados rurales que por su alto grado de exposición a la ocurrencia de fenómenos naturales han sido afectados o tienen la posibilidad de ser afectados, deben adelantar los estudios básicos como mínimo a escala 1:5.000. </w:t>
      </w:r>
    </w:p>
    <w:p w14:paraId="61465D93" w14:textId="38C4DAE3"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4" w:name="ver_30072725"/>
      <w:bookmarkEnd w:id="904"/>
    </w:p>
    <w:p w14:paraId="0A4A952D" w14:textId="6F59DA0C"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6A498AF5"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TÉCNICAS PARA LA ELABORACIÓN DE ESTUDIOS BÁSICOS Y DETALLADOS</w:t>
      </w:r>
    </w:p>
    <w:p w14:paraId="2264BEE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05" w:name="ver_30072726"/>
      <w:bookmarkEnd w:id="905"/>
    </w:p>
    <w:p w14:paraId="0DFC49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2.2.2.1.3.2.1. Análisis de la información disponible. Para la elaboración de los estudios básicos y detallados se deben realizar los análisis de la información técnica disponible, considerando entre otros, los siguientes aspectos: </w:t>
      </w:r>
    </w:p>
    <w:p w14:paraId="229527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1FF8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Recopilar y analizar la información contenida en el plan de ordenamiento territorial, estudios regionales, técnicos o informes técnicos, cartografía base, la información de las bases de datos institucionales y la información de redes de monitoreo de amenazas existentes. </w:t>
      </w:r>
    </w:p>
    <w:p w14:paraId="1895F2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8321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Verificar si se cuenta con la delimitación y zonificación de amenaza y/o riesgo para el municipio o distrito (suelo urbano, expansión urbana y suelo rural) y que la misma cumpla como mínimo con los siguientes aspectos: </w:t>
      </w:r>
    </w:p>
    <w:p w14:paraId="00B3E7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B584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Que corresponda al análisis del área urbana, expansión urbana y rural del municipio o distrito, se ajuste a las condiciones técnicas establecidas en el presente capítulo y esté acorde con su situación actual. La información se podrá emplear siempre y cuando se verifique su pertinencia y se actualice cuando se requiera. </w:t>
      </w:r>
    </w:p>
    <w:p w14:paraId="1E9886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5F3C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Que la información técnica disponible corresponda al análisis de las áreas en las que se hayan evidenciado afectaciones en el municipio o distrito. </w:t>
      </w:r>
    </w:p>
    <w:p w14:paraId="4C9F0B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9323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w:t>
      </w: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se cuente con estudios detallados que permitan establecer el nivel de riesgo, se deberá verificar que los mismos cumplan con las condiciones técnicas establecidas en el presente decreto. </w:t>
      </w:r>
    </w:p>
    <w:p w14:paraId="03BD93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D018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base en este análisis se deberá establecer la información técnica disponible correspondiente a la delimitación y zonificación de las áreas de amenaza y de las áreas con condiciones de riesgo. En los casos de ausencia total o parcial de la información, se deben establecer las acciones técnicas, institucionales y financieras necesarias para elaborar esta información. </w:t>
      </w:r>
    </w:p>
    <w:p w14:paraId="2AA2861B" w14:textId="7E85131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6" w:name="ver_30072728"/>
      <w:bookmarkEnd w:id="906"/>
    </w:p>
    <w:p w14:paraId="37FF86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 Asesoría para el análisis de los estudios. Los alcaldes municipales podrán solicitar al departamento asesoría sobre los análisis que se deben adelantar para el estudio de los eventos que se presentan en su territorio según lo dispuesto en la presente sección. </w:t>
      </w:r>
    </w:p>
    <w:p w14:paraId="5E3A4E37" w14:textId="25AAB842"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7" w:name="ver_30072729"/>
      <w:bookmarkEnd w:id="907"/>
    </w:p>
    <w:p w14:paraId="109CF6CC" w14:textId="650EEE2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1</w:t>
      </w:r>
    </w:p>
    <w:p w14:paraId="70B497E5"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TÉCNICAS PARA LA ELABORACIÓN DE ESTUDIOS BÁSICOS</w:t>
      </w:r>
    </w:p>
    <w:p w14:paraId="5B34175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08" w:name="ver_30072731"/>
      <w:bookmarkEnd w:id="908"/>
    </w:p>
    <w:p w14:paraId="787034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2.2.2.1.3.2.1.1. Estudios básicos de amenaza por movimientos en masa. Para determinar las condiciones de amenaza por movimientos en masa en suelos urbanos, de expansión urbana y rural, los estudios básicos tienen las siguientes especificaciones mínimas: </w:t>
      </w:r>
    </w:p>
    <w:p w14:paraId="03A87D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E8CC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Área de estudio: Se adelantará </w:t>
      </w:r>
      <w:proofErr w:type="gramStart"/>
      <w:r w:rsidRPr="009342F9">
        <w:rPr>
          <w:rFonts w:ascii="Arial" w:eastAsia="Times New Roman" w:hAnsi="Arial" w:cs="Arial"/>
          <w:color w:val="000000"/>
          <w:lang w:eastAsia="es-CO"/>
        </w:rPr>
        <w:t>éste</w:t>
      </w:r>
      <w:proofErr w:type="gramEnd"/>
      <w:r w:rsidRPr="009342F9">
        <w:rPr>
          <w:rFonts w:ascii="Arial" w:eastAsia="Times New Roman" w:hAnsi="Arial" w:cs="Arial"/>
          <w:color w:val="000000"/>
          <w:lang w:eastAsia="es-CO"/>
        </w:rPr>
        <w:t xml:space="preserve"> tipo de estudios en todas las zonas de relieve escarpado, montañoso y ondulado, con pendientes iguales o superiores a 5 grados más los taludes marginales de cauces, así como las zonas planas que puedan recibir los efectos de los movimientos en masa. </w:t>
      </w:r>
    </w:p>
    <w:p w14:paraId="0AFB29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784C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Adicionalmente, se consideran aquellas áreas urbanas y de expansión urbana que teniendo una pendiente menor a 5 grados hayan presentado problemas de inestabilidad y subsidencia debido a problemas </w:t>
      </w:r>
      <w:proofErr w:type="spellStart"/>
      <w:r w:rsidRPr="009342F9">
        <w:rPr>
          <w:rFonts w:ascii="Arial" w:eastAsia="Times New Roman" w:hAnsi="Arial" w:cs="Arial"/>
          <w:color w:val="000000"/>
          <w:lang w:eastAsia="es-CO"/>
        </w:rPr>
        <w:t>geoténicos</w:t>
      </w:r>
      <w:proofErr w:type="spellEnd"/>
      <w:r w:rsidRPr="009342F9">
        <w:rPr>
          <w:rFonts w:ascii="Arial" w:eastAsia="Times New Roman" w:hAnsi="Arial" w:cs="Arial"/>
          <w:color w:val="000000"/>
          <w:lang w:eastAsia="es-CO"/>
        </w:rPr>
        <w:t xml:space="preserve"> o al desarrollo de actividades antrópicas. </w:t>
      </w:r>
    </w:p>
    <w:p w14:paraId="021A68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2E30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Insumos: Para suelos urbanos, de expansión urbana y rural, se deben utilizar como mínimo los siguientes insumos que son elaborados o ajustados y evaluados a la escala de trabajo correspondiente: </w:t>
      </w:r>
    </w:p>
    <w:p w14:paraId="68F92A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EC9A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Cartografía base que contenga entre otros: coordenadas, curvas de nivel, drenajes, red vial, infraestructura y equipamientos, asentamientos humanos. </w:t>
      </w:r>
    </w:p>
    <w:p w14:paraId="44DE9D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4AE5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Inventario de procesos morfodinámicos. </w:t>
      </w:r>
    </w:p>
    <w:p w14:paraId="7345A8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54FA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elaboración de los estudios para suelos urbanos y de expansión urbana, adicionalmente se elabora: la geología para ingeniería y la geomorfología aplicada a movimientos en masa a nivel de elementos geomorfológicos. </w:t>
      </w:r>
    </w:p>
    <w:p w14:paraId="2125F9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DA5B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elaboración de los estudios para suelos rurales, adicionalmente se realiza: la geología, unidades geológicas superficiales, la geomorfología aplicada a movimientos en masa a nivel de subunidades geomorfológicas y cobertura y uso del suelo. </w:t>
      </w:r>
    </w:p>
    <w:p w14:paraId="7BF1B3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8C4F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Alcance: La determinación de las condiciones de amenaza por movimientos en masa deberá integrar las diferentes variables que inciden en la ocurrencia tanto actual como futura de estos fenómenos. Se deben considerar dentro de los agentes detonantes los siguientes factores: agua, sismo y procesos antrópicos (cortes, excavaciones, rellenos y construcciones en general). </w:t>
      </w:r>
    </w:p>
    <w:p w14:paraId="5BD709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845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suelo urbano y de expansión urbana se utilizará, como mínimo, alguno de los siguientes análisis: estadísticos, determinísticos o probabilísticos. </w:t>
      </w:r>
    </w:p>
    <w:p w14:paraId="67E40E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0CFA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suelos rurales se utilizará, como mínimo, alguno de los siguientes análisis: de inventarios, heurísticos o estadísticos. </w:t>
      </w:r>
    </w:p>
    <w:p w14:paraId="13E27F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5067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análisis se realizarán en función de la magnitud de la amenaza, su intensidad, consecuencias y la disponibilidad de información. </w:t>
      </w:r>
    </w:p>
    <w:p w14:paraId="6E9029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87E6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Zonificación: Para la zonificación de la amenaza, ésta se categorizará en alta, media y baja, que se establece según el método empleado. En todo caso las áreas con procesos activos se consideran en la categoría alta. </w:t>
      </w:r>
    </w:p>
    <w:p w14:paraId="179470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BC43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Productos: Como resultado de los estudios, se elaboran los mapas de zonificación de amenaza por movimientos en masa, según lo dispuesto en el presente artículo. La leyenda deberá incluir la descripción de las características físicas de las unidades según la categoría establecida, los tipos de procesos predominantes y los posibles daños que se pueden generar. </w:t>
      </w:r>
    </w:p>
    <w:p w14:paraId="3583FE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CD1B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deberá elaborar un documento técnico que contenga la metodología empleada y los resultados obtenidos. </w:t>
      </w:r>
    </w:p>
    <w:p w14:paraId="32673D86" w14:textId="481D2A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09" w:name="ver_30072733"/>
      <w:bookmarkEnd w:id="909"/>
    </w:p>
    <w:p w14:paraId="3DB004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2.2.2.1.3.2.1.2. Estudios básicos de amenaza de inundación. Para determinar las condiciones de amenaza por inundación en suelos urbanos, de expansión urbana y rural, los estudios básicos tienen las siguientes especificaciones mínimas: </w:t>
      </w:r>
    </w:p>
    <w:p w14:paraId="249A9C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213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 de estudio: Las zonas en las cuales exista la posibilidad de presentarse una inundación sean aledañas o no a ríos, caños, quebradas, humedales y otros cuerpos de agua o aquellas que hagan parte de su área de influencia. </w:t>
      </w:r>
    </w:p>
    <w:p w14:paraId="656774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F420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análisis se deben considerar los casos en los que existan precedentes de mecanismos generadores de inundaciones tales como encharcamiento por lluvias intensas sobre áreas planas, encharcamiento por deficiencia de drenaje, inundaciones costeras entre otros. </w:t>
      </w:r>
    </w:p>
    <w:p w14:paraId="4C97B6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3BFC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municipios o distritos con un suelo rural superior a 1.500 km2, para los cuales no exista base cartográfica e insumos a 1:25.000, podrán realizar los estudios para esta clase de suelo a escala 1:100.000 o 1:50.000. En aquellas áreas rurales donde se presenten inundaciones recurrentes, con presencia de elementos expuestos, deben realizar los estudios básicos a 1:25.000. </w:t>
      </w:r>
    </w:p>
    <w:p w14:paraId="5F4833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E249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Insumos: Se debe utilizar como mínimo los siguientes insumos: </w:t>
      </w:r>
    </w:p>
    <w:p w14:paraId="572AC9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7B8C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Geomorfología. Identificación de las diferentes subunidades geomorfológicas asociadas a los paisajes aluviales, con especial énfasis en las geoformas correspondientes a la llanura de inundación. </w:t>
      </w:r>
    </w:p>
    <w:p w14:paraId="61D113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E9E8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Modelo de elevación digital del terreno. </w:t>
      </w:r>
    </w:p>
    <w:p w14:paraId="249192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A60A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Identificación de las zonas inundables e inundadas (registro de eventos). A partir de información de las diferentes entidades a nivel nacional, regional o local, interrelacionada con la información de la comunidad identificar cuales áreas han sufrido afectaciones por inundación y en qué fecha. </w:t>
      </w:r>
    </w:p>
    <w:p w14:paraId="1FF1C1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97AE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2.4 Hidrología. Caracterización del comportamiento del régimen hidrológico en la región a la cual pertenece el municipio mediante un análisis de los eventos </w:t>
      </w:r>
      <w:proofErr w:type="spellStart"/>
      <w:r w:rsidRPr="009342F9">
        <w:rPr>
          <w:rFonts w:ascii="Arial" w:eastAsia="Times New Roman" w:hAnsi="Arial" w:cs="Arial"/>
          <w:color w:val="000000"/>
          <w:lang w:eastAsia="es-CO"/>
        </w:rPr>
        <w:t>hidroclimáticos</w:t>
      </w:r>
      <w:proofErr w:type="spellEnd"/>
      <w:r w:rsidRPr="009342F9">
        <w:rPr>
          <w:rFonts w:ascii="Arial" w:eastAsia="Times New Roman" w:hAnsi="Arial" w:cs="Arial"/>
          <w:color w:val="000000"/>
          <w:lang w:eastAsia="es-CO"/>
        </w:rPr>
        <w:t xml:space="preserve"> máximos identificando para cuales períodos de retorno se están presentando las afectaciones y las áreas afectadas para los mismos. </w:t>
      </w:r>
    </w:p>
    <w:p w14:paraId="0DFED3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159C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Alcance: Para la zonificación de la amenaza se emplean tres categorías: alta, media y baja, teniendo en cuenta el registro de eventos, la recurrencia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y la intensidad (niveles alcanzados) de la inundación. </w:t>
      </w:r>
    </w:p>
    <w:p w14:paraId="4C2AF6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4CA3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suelo urbano, de expansión urbana y rural se utilizará, como mínimo, análisis de tipo histórico y geomorfológico. De acuerdo con la información disponible se podrán complementar con análisis hidrológico-hidráulicos y métodos asistidos por sensores remotos y sistemas de información geográfica. </w:t>
      </w:r>
    </w:p>
    <w:p w14:paraId="42348F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6258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análisis se realizan en función de la magnitud de la amenaza, su intensidad, consecuencias y la disponibilidad de información. </w:t>
      </w:r>
    </w:p>
    <w:p w14:paraId="58DF47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CC3C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Productos: Como resultado de los estudios, se elaboran mapas de zonificación de amenaza por inundaciones, según lo dispuesto en el presente artículo. </w:t>
      </w:r>
    </w:p>
    <w:p w14:paraId="1E3E2B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1001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 elaborar un documento técnico que contenga la metodología empleada y los resultados obtenidos. </w:t>
      </w:r>
    </w:p>
    <w:p w14:paraId="55F366D3" w14:textId="778E81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0" w:name="ver_30072734"/>
      <w:bookmarkEnd w:id="910"/>
    </w:p>
    <w:p w14:paraId="75BC83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2.2.2.1.3.2.1.3. Estudios básicos de amenaza por avenidas torrenciales. Para determinar las condiciones de amenaza por avenida torrencial en suelos urbanos, de expansión urbana y rural, los estudios básicos tienen las siguientes especificaciones mínimas: </w:t>
      </w:r>
    </w:p>
    <w:p w14:paraId="5C07A6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99CC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 de estudio: Todos los cauces presentes o con influencia en el municipio o distrito, que por sus condiciones topográficas puedan tener un comportamiento torrencial. </w:t>
      </w:r>
    </w:p>
    <w:p w14:paraId="234323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B778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Insumos: Se debe utilizar como mínimo los siguientes insumos: </w:t>
      </w:r>
    </w:p>
    <w:p w14:paraId="568605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9104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Geomorfología. </w:t>
      </w:r>
    </w:p>
    <w:p w14:paraId="4C55B8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A5F6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Estudio hidrológico de la cuenca, orientado al flujo torrencial, considerando el ciclo de sedimentos. </w:t>
      </w:r>
    </w:p>
    <w:p w14:paraId="6CE703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9048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Análisis hidráulico del área a zonificar, teniendo en cuenta factores detonantes como precipitación o movimientos en masa. </w:t>
      </w:r>
    </w:p>
    <w:p w14:paraId="3B2886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507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La base cartográfica que se emplee en la zonificación corresponderá a una escala 1:2.000. </w:t>
      </w:r>
    </w:p>
    <w:p w14:paraId="4DC35E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FDA3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Alcance: Para la zonificación de la amenaza, ésta se categorizará en alta, media y baja, dependiendo de la frecuencia de presentación de los eventos y sus características: la profundidad de la lámina de agua, los materiales de arrastre y la velocidad del flujo. </w:t>
      </w:r>
    </w:p>
    <w:p w14:paraId="4F64E5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C5D0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utiliza, como mínimo, alguno de los siguientes análisis: estadísticos, determinísticos o probabilísticos. </w:t>
      </w:r>
    </w:p>
    <w:p w14:paraId="7BE9CA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152C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análisis se realizan en función de la magnitud de la amenaza, su intensidad, consecuencias y la disponibilidad de información. </w:t>
      </w:r>
    </w:p>
    <w:p w14:paraId="6E49CC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3213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Productos: Mapa de amenaza por avenidas torrenciales, en el cual se delimitan y zonifican los diferentes niveles de amenaza que presenta el territorio estudiado, según lo dispuesto en el presente artículo. </w:t>
      </w:r>
    </w:p>
    <w:p w14:paraId="3C2ACD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1719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deberá elaborar un documento técnico que contenga la metodología empleada y los resultados obtenidos. </w:t>
      </w:r>
    </w:p>
    <w:p w14:paraId="7DDB7453" w14:textId="4AF7BA0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1" w:name="ver_30072735"/>
      <w:bookmarkEnd w:id="911"/>
    </w:p>
    <w:p w14:paraId="670A99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2.2.2.1.3.2.1.4. Delimitación y zonificación de las áreas con condición de amenaza. Con fundamento en la delimitación y zonificación de amenazas, se delimitan y zonifican aquellas áreas sin ocupar del suelo urbano, de expansión urbana, rural suburbano o centros poblados rurales en las que en la revisión o en la expedición de un nuevo POT se proponga su desarrollo. </w:t>
      </w:r>
    </w:p>
    <w:p w14:paraId="1CB92F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5FDF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identificación de estas áreas se realizará a partir del análisis de las áreas zonificadas como de amenaza alta y media sin ocupar en los estudios básicos con aquellas que se consideren como objeto de desarrollo. En todo caso el desarrollo de las zonas de amenaza media y alta sin ocupar quedará sujeto a los resultados de los estudios detallados. </w:t>
      </w:r>
    </w:p>
    <w:p w14:paraId="040731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10EC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esta información se elabora el mapa con la delimitación y zonificación de las áreas con condición de amenaza y se establecen los criterios para la caracterización y delimitación de las unidades de análisis en las áreas que serán objeto de estudios detallados. </w:t>
      </w:r>
    </w:p>
    <w:p w14:paraId="6993D07D" w14:textId="477459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2" w:name="ver_30072736"/>
      <w:bookmarkEnd w:id="912"/>
    </w:p>
    <w:p w14:paraId="66B228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2.2.2.1.3.2.1.5. Delimitación y zonificación de las áreas con condición de riesgo. Con fundamento en la delimitación y zonificación de amenazas, se delimitan y zonifican las áreas con condición de riesgo, a fin de priorizar las áreas en las cuales se deben realizar estudios detallados. </w:t>
      </w:r>
    </w:p>
    <w:p w14:paraId="5BB635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215A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identificación de las áreas con condición de riesgo se realizará a partir del análisis de las áreas zonificadas como de amenaza alta en los estudios básicos, con la información cartográfica (predial o catastral, entre otras) disponible que permita identificar la existencia de elementos expuestos, de áreas urbanizadas, ocupadas o </w:t>
      </w:r>
      <w:proofErr w:type="gramStart"/>
      <w:r w:rsidRPr="009342F9">
        <w:rPr>
          <w:rFonts w:ascii="Arial" w:eastAsia="Times New Roman" w:hAnsi="Arial" w:cs="Arial"/>
          <w:color w:val="000000"/>
          <w:lang w:eastAsia="es-CO"/>
        </w:rPr>
        <w:t>edificadas</w:t>
      </w:r>
      <w:proofErr w:type="gramEnd"/>
      <w:r w:rsidRPr="009342F9">
        <w:rPr>
          <w:rFonts w:ascii="Arial" w:eastAsia="Times New Roman" w:hAnsi="Arial" w:cs="Arial"/>
          <w:color w:val="000000"/>
          <w:lang w:eastAsia="es-CO"/>
        </w:rPr>
        <w:t xml:space="preserve"> así como de aquellas en las que se encuentren edificaciones indispensables y líneas vitales. </w:t>
      </w:r>
    </w:p>
    <w:p w14:paraId="32898D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0098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esta información se elabora el mapa con la delimitación y zonificación de las áreas con condición de riesgo y se establecen los criterios para la caracterización y delimitación de las unidades de análisis que dependen del fenómeno a estudiar y la priorización para la realización de los estudios detallados que permitirán categorizar el riesgo. </w:t>
      </w:r>
    </w:p>
    <w:p w14:paraId="4BEDFC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02DB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zonas de amenaza media para las cuales en la revisión o expedición de un nuevo POT se proponga el cambio de densidad o un cambio en los usos del suelo que pueda generar o incrementar el riesgo en la zona, se consideran como áreas con condición de riesgo. </w:t>
      </w:r>
    </w:p>
    <w:p w14:paraId="5A23557F" w14:textId="40E5B95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3" w:name="ver_30072737"/>
      <w:bookmarkEnd w:id="913"/>
    </w:p>
    <w:p w14:paraId="1893CF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2.2.2.1.3.2.1.6. Determinación de medidas de intervención. Con base en los resultados de los estudios básicos, se deben determinar las medidas de mitigación no estructurales orientadas a establecer el modelo de ocupación del territorio y las restricciones o condicionamientos para el uso del suelo cuando sea viable, mediante la determinación de normas urbanísticas. </w:t>
      </w:r>
    </w:p>
    <w:p w14:paraId="4D633A09" w14:textId="3C7AF899" w:rsidR="00683694" w:rsidRPr="009342F9" w:rsidRDefault="00FC79C1" w:rsidP="00AA5FD1">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914" w:name="ver_30072756"/>
      <w:bookmarkEnd w:id="914"/>
    </w:p>
    <w:p w14:paraId="4DA10C17" w14:textId="08D3284F"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2</w:t>
      </w:r>
    </w:p>
    <w:p w14:paraId="3659A26D"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TÉCNICAS PARA LA ELABORACIÓN DE ESTUDIOS DETALLADOS</w:t>
      </w:r>
    </w:p>
    <w:p w14:paraId="27B901C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15" w:name="ver_30072758"/>
      <w:bookmarkEnd w:id="915"/>
    </w:p>
    <w:p w14:paraId="7F86AC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2.2.2.1.3.2.2.1. Estudios detallados. Los estudios detallados deben contener lo siguiente para cada uno de los eventos analizados: </w:t>
      </w:r>
    </w:p>
    <w:p w14:paraId="6C9674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11F6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Análisis detallado de amenaza. </w:t>
      </w:r>
    </w:p>
    <w:p w14:paraId="431E2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4292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Evaluación de vulnerabilidad. </w:t>
      </w:r>
    </w:p>
    <w:p w14:paraId="730E1E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B5C5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Evaluación del riesgo. </w:t>
      </w:r>
    </w:p>
    <w:p w14:paraId="7B569E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1344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Determinación de medidas de mitigación. </w:t>
      </w:r>
    </w:p>
    <w:p w14:paraId="0F420A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909E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las zonas no ocupadas, esto es, que no hay elementos expuestos, se deben considerar las alternativas de intervención conducentes a la reducción de la amenaza, siempre y cuando sean viables desde el punto de vista ambiental, técnico, financiero y urbanístico. </w:t>
      </w:r>
    </w:p>
    <w:p w14:paraId="63713B75" w14:textId="16C314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6" w:name="ver_30072761"/>
      <w:bookmarkEnd w:id="916"/>
    </w:p>
    <w:p w14:paraId="0A02D3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2.2.2.1.3.2.2.2. Análisis detallado de amenaza por movimientos en masa. Para determinar la categorización del riesgo por movimientos en masa, los estudios de amenaza tienen las siguientes especificaciones mínimas: </w:t>
      </w:r>
    </w:p>
    <w:p w14:paraId="297C2A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814B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 de estudio. Se referirá a las áreas con condiciones de riesgo y amenaza, por movimientos en masa delimitadas en el plan de ordenamiento territorial, a partir de los estudios básicos de que tratan los artículos anteriores. Estas áreas podrán ser precisadas con base en la geoforma de la zona objeto de análisis. </w:t>
      </w:r>
    </w:p>
    <w:p w14:paraId="4A4178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B4DC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Insumos. Se consideran como insumos mínimos que se elaboran y evalúan a la escala de trabajo, los siguientes: </w:t>
      </w:r>
    </w:p>
    <w:p w14:paraId="51803A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577E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Geología para ingeniería. </w:t>
      </w:r>
    </w:p>
    <w:p w14:paraId="1A9BC5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ED9A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Geomorfología a nivel de elementos. </w:t>
      </w:r>
    </w:p>
    <w:p w14:paraId="0A54C2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C61E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Hidrogeología, con énfasis en comportamiento de los niveles freáticos. </w:t>
      </w:r>
    </w:p>
    <w:p w14:paraId="7B7E24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4E77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Evaluación del drenaje superficial. </w:t>
      </w:r>
    </w:p>
    <w:p w14:paraId="2A4FBC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F57A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Sismología. </w:t>
      </w:r>
    </w:p>
    <w:p w14:paraId="175D00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E99E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 Uso del Suelo. </w:t>
      </w:r>
    </w:p>
    <w:p w14:paraId="4E751F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58AA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2.7 Exploración del subsuelo. </w:t>
      </w:r>
    </w:p>
    <w:p w14:paraId="2AA383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05E5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2.8 Levantamiento topográfico, incluyendo la información predial o catastral. </w:t>
      </w:r>
    </w:p>
    <w:p w14:paraId="234774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59E8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Alcance. El análisis de la amenaza a nivel detallado se realiza empleando por lo menos métodos determinísticos y modelos matemáticos, en función de la dinámica del movimiento en masa objeto de análisis. </w:t>
      </w:r>
    </w:p>
    <w:p w14:paraId="1F325C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160B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Como parte del análisis de amenaza se debe tener en cuenta las causas de la inestabilidad del terreno, considerando dentro de los agentes detonantes los siguientes factores: agua, sismo y procesos antrópicos (cortes, excavaciones, rellenos y construcciones en general), mediante el análisis mínimo de tres escenarios. </w:t>
      </w:r>
    </w:p>
    <w:p w14:paraId="6AB6C7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0724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Productos: Mapas de zonificación de amenaza por movimientos en masa, según lo dispuesto en el presente artículo. </w:t>
      </w:r>
    </w:p>
    <w:p w14:paraId="0A22D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374C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 elaborar un documento técnico que contenga la metodología empleada y los resultados obtenidos. </w:t>
      </w:r>
    </w:p>
    <w:p w14:paraId="7FD2CD77" w14:textId="7B536AD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7" w:name="ver_30072762"/>
      <w:bookmarkEnd w:id="917"/>
    </w:p>
    <w:p w14:paraId="55213A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2.2.2.1.3.2.2.3. Análisis detallado de amenaza de inundación. Para determinar las condiciones de amenaza por inundación, los estudios tienen las siguientes especificaciones mínimas: </w:t>
      </w:r>
    </w:p>
    <w:p w14:paraId="76D9AB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A695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 de estudio. Se referirá a las áreas con condiciones de riesgo y amenaza por inundación delimitadas en el plan de ordenamiento territorial, a partir de los estudios básicos de que trata la presente subsección con los análisis del Plan de Ordenación y Manejo de Cuencas Hidrográficas (POMCA) aprobado. </w:t>
      </w:r>
    </w:p>
    <w:p w14:paraId="6CC3D0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23E5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Insumos: Se deben utilizar como mínimo los siguientes insumos: </w:t>
      </w:r>
    </w:p>
    <w:p w14:paraId="0F3573CD" w14:textId="27BE25E2"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Información de hidrología e hidráulica.</w:t>
      </w:r>
    </w:p>
    <w:p w14:paraId="1865D474" w14:textId="77777777" w:rsidR="007C7D44" w:rsidRPr="009342F9" w:rsidRDefault="007C7D44" w:rsidP="00FC79C1">
      <w:pPr>
        <w:spacing w:after="0" w:line="240" w:lineRule="auto"/>
        <w:jc w:val="both"/>
        <w:rPr>
          <w:rFonts w:ascii="Arial" w:eastAsia="Times New Roman" w:hAnsi="Arial" w:cs="Arial"/>
          <w:color w:val="000000"/>
          <w:lang w:eastAsia="es-CO"/>
        </w:rPr>
      </w:pPr>
    </w:p>
    <w:p w14:paraId="10A83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Información topográfica y batimétrica detallada de los tramos de cauce analizados, incluyendo aquellos elementos o tramos que estén asociados con el origen de la inundación. </w:t>
      </w:r>
    </w:p>
    <w:p w14:paraId="20F677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56DE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Alcance: El análisis de la amenaza a nivel detallado se realizará teniendo en cuenta criterios históricos, geomorfológicos, hidrológico-hidráulicos empleando métodos asistidos por sensores remotos y sistemas de información geográfica. </w:t>
      </w:r>
    </w:p>
    <w:p w14:paraId="61A3D8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C30E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Productos: Mapa o mapas de zonificación de amenaza por inundación por desbordamiento, el cual delimita y caracteriza los diferentes niveles de amenaza que presenta el territorio estudiado, según lo dispuesto en el presente artículo. </w:t>
      </w:r>
    </w:p>
    <w:p w14:paraId="06FE96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E3C3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 elaborar un documento técnico que contenga la metodología empleada y los resultados obtenidos. </w:t>
      </w:r>
    </w:p>
    <w:p w14:paraId="3C8105F8" w14:textId="7378CB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8" w:name="ver_30072765"/>
      <w:bookmarkEnd w:id="918"/>
    </w:p>
    <w:p w14:paraId="3CCEDB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2.2.2.1.3.2.2.4. Evaluación de vulnerabilidad. Para evaluar la vulnerabilidad se consideran los siguientes aspectos: </w:t>
      </w:r>
    </w:p>
    <w:p w14:paraId="66B75B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4D1A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 acuerdo con los resultados del estudio detallado de amenazas para cada fenómeno analizado, se deben identificar y localizar en la cartografía correspondiente los elementos expuestos. </w:t>
      </w:r>
    </w:p>
    <w:p w14:paraId="6000CC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C14B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Se debe establecer las características de los elementos expuestos a las amenazas identificadas, en cuanto al tipo de elemento, grado de exposición, resistencia que ofrece el elemento y distribución espacial. </w:t>
      </w:r>
    </w:p>
    <w:p w14:paraId="276A08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D890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Se deben identificar los diferentes tipos de daño o efecto esperado sobre los elementos expuestos que se pueden presentar como resultado del fenómeno natural. </w:t>
      </w:r>
    </w:p>
    <w:p w14:paraId="7422C9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A0F2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Esta información debe zonificarse en un mapa a la misma escala del mapa de amenazas detallados estableciendo categorías de vulnerabilidad alta, media y baja,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las características de los elementos expuestos. </w:t>
      </w:r>
    </w:p>
    <w:p w14:paraId="2B4E3CAC" w14:textId="7E8063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19" w:name="ver_30072768"/>
      <w:bookmarkEnd w:id="919"/>
    </w:p>
    <w:p w14:paraId="737A63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2.2.2.1.3.2.2.5. Evaluación del riesgo. La evaluación de riesgo es el resultado de relacionar la zonificación detallada de amenaza y la evaluación de la vulnerabilidad. </w:t>
      </w:r>
    </w:p>
    <w:p w14:paraId="394D0C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F1E5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base en ello, se categorizará el riesgo en alto, medio y bajo, en función del nivel de afectación esperada. </w:t>
      </w:r>
    </w:p>
    <w:p w14:paraId="6A0C99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6760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las zonas en alto riesgo se definirá la </w:t>
      </w:r>
      <w:proofErr w:type="spellStart"/>
      <w:r w:rsidRPr="009342F9">
        <w:rPr>
          <w:rFonts w:ascii="Arial" w:eastAsia="Times New Roman" w:hAnsi="Arial" w:cs="Arial"/>
          <w:color w:val="000000"/>
          <w:lang w:eastAsia="es-CO"/>
        </w:rPr>
        <w:t>mitigabilidad</w:t>
      </w:r>
      <w:proofErr w:type="spellEnd"/>
      <w:r w:rsidRPr="009342F9">
        <w:rPr>
          <w:rFonts w:ascii="Arial" w:eastAsia="Times New Roman" w:hAnsi="Arial" w:cs="Arial"/>
          <w:color w:val="000000"/>
          <w:lang w:eastAsia="es-CO"/>
        </w:rPr>
        <w:t xml:space="preserve"> o no </w:t>
      </w:r>
      <w:proofErr w:type="spellStart"/>
      <w:r w:rsidRPr="009342F9">
        <w:rPr>
          <w:rFonts w:ascii="Arial" w:eastAsia="Times New Roman" w:hAnsi="Arial" w:cs="Arial"/>
          <w:color w:val="000000"/>
          <w:lang w:eastAsia="es-CO"/>
        </w:rPr>
        <w:t>mitigabilidad</w:t>
      </w:r>
      <w:proofErr w:type="spellEnd"/>
      <w:r w:rsidRPr="009342F9">
        <w:rPr>
          <w:rFonts w:ascii="Arial" w:eastAsia="Times New Roman" w:hAnsi="Arial" w:cs="Arial"/>
          <w:color w:val="000000"/>
          <w:lang w:eastAsia="es-CO"/>
        </w:rPr>
        <w:t>, a partir de las alternativas de intervención física para reducir y evitar el incremento de la amenaza y/o vulnerabilidad. </w:t>
      </w:r>
    </w:p>
    <w:p w14:paraId="18EB81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C4A9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estas alternativas se deberá evaluar su viabilidad de ejecución desde el punto de vista técnico, financiero y urbanístico. Bajo estas evaluaciones se obtendrá la definición del riesgo alto mitigable o riesgo alto no mitigable. </w:t>
      </w:r>
    </w:p>
    <w:p w14:paraId="11CCBC68" w14:textId="1B62DB6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20" w:name="ver_30072770"/>
      <w:bookmarkEnd w:id="920"/>
    </w:p>
    <w:p w14:paraId="7664A6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2.2.2.1.3.2.2.6. Contenidos de la evaluación del riesgo. Los estudios de evaluación de riesgo deben acompañarse de los siguientes documentos por cada fenómeno analizado: </w:t>
      </w:r>
    </w:p>
    <w:p w14:paraId="0E4879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66F2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Documento técnico que contenga metodología de evaluación empleada y los resultados. </w:t>
      </w:r>
    </w:p>
    <w:p w14:paraId="418483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BDD8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Fichas de evaluación de vulnerabilidad. </w:t>
      </w:r>
    </w:p>
    <w:p w14:paraId="7539AB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86DE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Mapa de vulnerabilidad categorizada en alta, media y baja. </w:t>
      </w:r>
    </w:p>
    <w:p w14:paraId="111672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3411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Mapa de riesgo, categorizado en alto, medio y bajo, señalando para el riesgo alto si es mitigable o no mitigable. </w:t>
      </w:r>
    </w:p>
    <w:p w14:paraId="598153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630C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Mapas de localización y dimensionamiento de las medidas de intervención propuestas. </w:t>
      </w:r>
    </w:p>
    <w:p w14:paraId="5FE34C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0C5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Presupuestos estimados de costos de las alternativas planteadas. </w:t>
      </w:r>
    </w:p>
    <w:p w14:paraId="2A8A82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B56A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Inventario de viviendas en alto riesgo no mitigable </w:t>
      </w:r>
    </w:p>
    <w:p w14:paraId="3E77548D" w14:textId="1ED8693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21" w:name="ver_30072772"/>
      <w:bookmarkEnd w:id="921"/>
    </w:p>
    <w:p w14:paraId="02F38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2.2.2.1.3.2.2.7. Medidas de Intervención. Para la prevención, mitigación del riesgo y/o reducción de la amenaza y/o vulnerabilidad de conformidad con lo previsto en el artículo anterior, el estudio de evaluación de riesgo planteará medidas que podrán ser estructurales y no estructurales. </w:t>
      </w:r>
    </w:p>
    <w:p w14:paraId="52BD36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D5C6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medidas estructurales, son medidas físicas encaminadas a la realización de acciones y obras para atender las condiciones de riesgo ya existentes. Entre otras se consideran las siguientes: obras de estabilización y de reforzamiento de edificaciones e infraestructura, las cuales deben ser predimensionadas sobre la cartografía a nivel de prediseño, con el estimativo de costos correspondiente. </w:t>
      </w:r>
    </w:p>
    <w:p w14:paraId="0739A4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6CB6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determinación de este tipo de medidas se deben considerar los potenciales efectos que producirán aguas abajo. </w:t>
      </w:r>
    </w:p>
    <w:p w14:paraId="6A97F3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5864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las zonas donde se define que el riesgo es no mitigable se deben identificar en detalle las viviendas y construcciones que serán objeto de reasentamiento, además de las obras de estabilización necesarias para evitar que aumente la influencia del fenómeno en estudio. </w:t>
      </w:r>
    </w:p>
    <w:p w14:paraId="74071A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8F09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medidas no estructurales, orientadas a regular el uso, la ocupación y el aprovechamiento del suelo mediante la determinación de normas urbanísticas, proyectos para la implementación de sistemas de alertas tempranas en los casos que aplique, así como la socialización y apropiación cultural de los principios de responsabilidad y precaución. </w:t>
      </w:r>
    </w:p>
    <w:p w14:paraId="1E8719F6" w14:textId="6E9A52E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22" w:name="ver_30072774"/>
      <w:bookmarkEnd w:id="922"/>
    </w:p>
    <w:p w14:paraId="3FFBA6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2.2.2.1.3.2.2.8. Incorporación de los resultados de estudios detallados al POT. Con base en los resultados de los estudios detallados y mediante acto administrativo, el alcalde municipal o distrital o la dependencia delegada para el efecto, podrá realizar la precisión cartográfica y la definición de las normas urbanísticas a que haya lugar en el área objeto de estudio, de conformidad con lo previsto en el Plan de Ordenamiento Territorial y deberá registrarse en todos los planos de la cartografía oficial. </w:t>
      </w:r>
    </w:p>
    <w:p w14:paraId="342FFF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7BF4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cuando los resultados de los estudios detallados generen la modificación de los usos del suelo o de normas urbanísticas del Plan de Ordenamiento Territorial deberá emprenderse su revisión, ajuste o modificación en los términos de la Ley 388 de 1997 y las normas que la adicionen, modifiquen o complementen. </w:t>
      </w:r>
    </w:p>
    <w:p w14:paraId="3F282E5D" w14:textId="31D51BFD" w:rsidR="00FC79C1" w:rsidRPr="009342F9" w:rsidRDefault="00FC79C1" w:rsidP="00AA5FD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877823" w14:textId="159423CF" w:rsidR="00FC79C1" w:rsidRPr="00AA5FD1" w:rsidRDefault="00FC79C1" w:rsidP="00AA5FD1">
      <w:pPr>
        <w:spacing w:after="0" w:line="240" w:lineRule="auto"/>
        <w:jc w:val="center"/>
        <w:rPr>
          <w:rFonts w:ascii="Arial" w:eastAsia="Times New Roman" w:hAnsi="Arial" w:cs="Arial"/>
          <w:b/>
          <w:bCs/>
          <w:color w:val="000000"/>
          <w:lang w:eastAsia="es-CO"/>
        </w:rPr>
      </w:pPr>
      <w:bookmarkStart w:id="923" w:name="ver_30072778"/>
      <w:bookmarkEnd w:id="923"/>
      <w:r w:rsidRPr="00AA5FD1">
        <w:rPr>
          <w:rFonts w:ascii="Arial" w:eastAsia="Times New Roman" w:hAnsi="Arial" w:cs="Arial"/>
          <w:b/>
          <w:bCs/>
          <w:color w:val="000000"/>
          <w:lang w:eastAsia="es-CO"/>
        </w:rPr>
        <w:t>SUBSECCIÓN 3</w:t>
      </w:r>
    </w:p>
    <w:p w14:paraId="7F187BBA" w14:textId="77777777" w:rsidR="00FC79C1" w:rsidRPr="00AA5FD1" w:rsidRDefault="00FC79C1" w:rsidP="00AA5FD1">
      <w:pPr>
        <w:spacing w:after="0" w:line="240" w:lineRule="auto"/>
        <w:jc w:val="center"/>
        <w:rPr>
          <w:rFonts w:ascii="Arial" w:eastAsia="Times New Roman" w:hAnsi="Arial" w:cs="Arial"/>
          <w:b/>
          <w:bCs/>
          <w:color w:val="000000"/>
          <w:lang w:eastAsia="es-CO"/>
        </w:rPr>
      </w:pPr>
      <w:r w:rsidRPr="00AA5FD1">
        <w:rPr>
          <w:rFonts w:ascii="Arial" w:eastAsia="Times New Roman" w:hAnsi="Arial" w:cs="Arial"/>
          <w:b/>
          <w:bCs/>
          <w:color w:val="000000"/>
          <w:lang w:eastAsia="es-CO"/>
        </w:rPr>
        <w:t>INCORPORACIÓN DEL RIESGO EN EL ORDENAMIENTO TERRITORIAL</w:t>
      </w:r>
    </w:p>
    <w:p w14:paraId="694F846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24" w:name="ver_30072779"/>
      <w:bookmarkEnd w:id="924"/>
    </w:p>
    <w:p w14:paraId="2A9865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2.2.2.1.3.3.1 Documento Técnico de Soporte. Los estudios básicos, y cuando se disponga de estudios detallados, deben integrarse al Documento Técnico de Soporte que contiene la justificación, la descripción, el desarrollo y la aplicación de las determinaciones de planificación de los componentes y contenidos del Plan de Ordenamiento Territorial. </w:t>
      </w:r>
    </w:p>
    <w:p w14:paraId="5911BFA0" w14:textId="201FD76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25" w:name="ver_30072781"/>
      <w:bookmarkEnd w:id="925"/>
    </w:p>
    <w:p w14:paraId="18F150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2.2.2.1.3.3.2 Componente General. En relación con la gestión del riesgo, en el componente general del POT se deberá considerar como mínimo: </w:t>
      </w:r>
    </w:p>
    <w:p w14:paraId="7CAD87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2786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Objetivos y estrategias territoriales de mediano y largo plazo. Se deben establecer los objetivos y estrategias de mediano y largo plazo garantizando la incorporación de la gestión del riesgo en el plan de ordenamiento territorial y la definición de medidas para el conocimiento y la reducción (prevención y mitigación) del riesgo, procurando el desarrollo seguro del territorio, de acuerdo con los análisis efectuados en los estudios básicos, así como con los análisis de estudios detallados cuando se disponga de estos. </w:t>
      </w:r>
    </w:p>
    <w:p w14:paraId="0F5C6B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A227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Contenido estructural. En el contenido estructural se deben especificar y ubicar en planos: </w:t>
      </w:r>
    </w:p>
    <w:p w14:paraId="52CF07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621B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Las áreas con condición de riesgo y con restricción por amenazas identificadas en los estudios básicos y su priorización para la elaboración de los estudios detallados en el corto, mediano y largo plazo, en función de los objetivos, estrategias y prioridades adoptados para la concreción del modelo de ocupación territorial y de acuerdo con la programación prevista en el respectivo plan. </w:t>
      </w:r>
    </w:p>
    <w:p w14:paraId="2DC1C3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7EFF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determinación y ubicación en planos de las zonas que presenten alto riesgo para la localización de asentamientos humanos, por amenazas o por riesgos naturales, siempre y cuando se cuente con los estudios detallados que permitan su caracterización. </w:t>
      </w:r>
    </w:p>
    <w:p w14:paraId="0C209D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64A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En la determinación de los suelos de protección deben considerarse las áreas que cumplan las siguientes condiciones y que por tanto tienen restringida la posibilidad de urbanizarse: </w:t>
      </w:r>
    </w:p>
    <w:p w14:paraId="3B69C2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4FBE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3.1.1. Las áreas sin ocupar zonificadas en los estudios básicos como amenaza alta, en las que la información sobre intensidad y recurrencia o registros históricos de los fenómenos por movimientos en masa, avenidas torrenciales o inundación evidencian que </w:t>
      </w:r>
      <w:proofErr w:type="gramStart"/>
      <w:r w:rsidRPr="009342F9">
        <w:rPr>
          <w:rFonts w:ascii="Arial" w:eastAsia="Times New Roman" w:hAnsi="Arial" w:cs="Arial"/>
          <w:color w:val="000000"/>
          <w:lang w:eastAsia="es-CO"/>
        </w:rPr>
        <w:t>la determinación de las medidas de reducción son</w:t>
      </w:r>
      <w:proofErr w:type="gramEnd"/>
      <w:r w:rsidRPr="009342F9">
        <w:rPr>
          <w:rFonts w:ascii="Arial" w:eastAsia="Times New Roman" w:hAnsi="Arial" w:cs="Arial"/>
          <w:color w:val="000000"/>
          <w:lang w:eastAsia="es-CO"/>
        </w:rPr>
        <w:t xml:space="preserve"> insuficientes en el tiempo para garantizar el desarrollo de procesos de urbanización; </w:t>
      </w:r>
    </w:p>
    <w:p w14:paraId="05573B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9D06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3.1.2. Las áreas zonificadas como riesgo alto no mitigable en suelo urbano, de expansión urbana y rural, de acuerdo con los estudios detallados, cuando se cuente con ellos. </w:t>
      </w:r>
    </w:p>
    <w:p w14:paraId="73369B0A" w14:textId="3022A47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26" w:name="ver_30072785"/>
      <w:bookmarkEnd w:id="926"/>
    </w:p>
    <w:p w14:paraId="10E6C5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2.2.2.1.3.3.3 El Componente Urbano. </w:t>
      </w:r>
      <w:proofErr w:type="gramStart"/>
      <w:r w:rsidRPr="009342F9">
        <w:rPr>
          <w:rFonts w:ascii="Arial" w:eastAsia="Times New Roman" w:hAnsi="Arial" w:cs="Arial"/>
          <w:color w:val="000000"/>
          <w:lang w:eastAsia="es-CO"/>
        </w:rPr>
        <w:t>En relación al</w:t>
      </w:r>
      <w:proofErr w:type="gramEnd"/>
      <w:r w:rsidRPr="009342F9">
        <w:rPr>
          <w:rFonts w:ascii="Arial" w:eastAsia="Times New Roman" w:hAnsi="Arial" w:cs="Arial"/>
          <w:color w:val="000000"/>
          <w:lang w:eastAsia="es-CO"/>
        </w:rPr>
        <w:t xml:space="preserve"> suelo urbano y de expansión urbana, este componente deberá contemplar por lo menos, los siguientes contenidos para adelantar la delimitación de las áreas expuestas a amenazas y riesgos naturales, de conformidad con lo previsto en el componente general del plan de ordenamiento territorial: </w:t>
      </w:r>
    </w:p>
    <w:p w14:paraId="002F89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C5B2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las áreas con condición de amenaza: La asignación del régimen general de usos y tratamientos que se podrán desarrollar en estas áreas, estableciendo los condicionamientos o restricciones de usos, densidades, ocupación y edificabilidad que eviten la generación de situaciones de riesgo. </w:t>
      </w:r>
    </w:p>
    <w:p w14:paraId="4D5F66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DDA3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desarrollo de estas áreas se condiciona a la elaboración de los estudios detallados de que trata la presente subsección, para lo cual se deben señalar los criterios para la caracterización y delimitación de las unidades de análisis y para la realización de los estudios detallados. </w:t>
      </w:r>
    </w:p>
    <w:p w14:paraId="54D669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9835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las áreas de amenaza media ocupadas. La determinación de las acciones requeridas para estas áreas relacionadas con el manejo de aguas y adecuación de taludes, entre otros, así como de las acciones para realizar seguimiento y monitoreo a fin de garantizar que no se generen condiciones de riesgo. </w:t>
      </w:r>
    </w:p>
    <w:p w14:paraId="2A4CF9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1582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Para las áreas con condición riesgo: La definición de las condiciones técnicas que se estimen convenientes para la elaboración de los estudios detallados que permitan establecer la categorización del riesgo. </w:t>
      </w:r>
    </w:p>
    <w:p w14:paraId="6232D3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D95D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asignación del régimen general de usos y tratamientos, y normas de densidades, ocupación y edificabilidad que se podrán desarrollar condicionados a los resultados de los estudios detallados. </w:t>
      </w:r>
    </w:p>
    <w:p w14:paraId="77F6BE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F8D7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Para las áreas de riesgo que cuenten con estudios detallados: </w:t>
      </w:r>
    </w:p>
    <w:p w14:paraId="18697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E08D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La delimitación y zonificación de las zonas de riesgo alto, medio y bajo con la determinación de aquellas zonas de riesgo alto que se consideren como mitigables y no mitigables. </w:t>
      </w:r>
    </w:p>
    <w:p w14:paraId="3E9113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AFA4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La definición de las medidas de intervención para el desarrollo de las zonas de riesgo mitigable. Igualmente, se contemplará la asignación de usos y tratamientos y las demás normas urbanísticas de carácter general para el desarrollo de estas áreas (densidades, ocupación y edificabilidad). </w:t>
      </w:r>
    </w:p>
    <w:p w14:paraId="134BC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F792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4.3 Cuando las zonas de alto riesgo se definan como no mitigables, se establecen las medidas para su manejo y para evitar la ocupación de estas áreas, de acuerdo con el régimen aplicable al suelo de protección. </w:t>
      </w:r>
    </w:p>
    <w:p w14:paraId="7DBF75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194B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desarrollo urbanístico de áreas con condición de amenaza estará sujeto a la realización de los estudios detallados, así como a la ejecución de las medidas de reducción (prevención y mitigación) que se determinen en los mismos. </w:t>
      </w:r>
    </w:p>
    <w:p w14:paraId="268340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45DA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efecto, en el plan de ordenamiento territorial o los instrumentos que lo desarrollen y complementen se deben, si es del caso, fijar criterios diferenciales para la caracterización y </w:t>
      </w:r>
      <w:proofErr w:type="spellStart"/>
      <w:r w:rsidRPr="009342F9">
        <w:rPr>
          <w:rFonts w:ascii="Arial" w:eastAsia="Times New Roman" w:hAnsi="Arial" w:cs="Arial"/>
          <w:color w:val="000000"/>
          <w:lang w:eastAsia="es-CO"/>
        </w:rPr>
        <w:t>redelimitación</w:t>
      </w:r>
      <w:proofErr w:type="spellEnd"/>
      <w:r w:rsidRPr="009342F9">
        <w:rPr>
          <w:rFonts w:ascii="Arial" w:eastAsia="Times New Roman" w:hAnsi="Arial" w:cs="Arial"/>
          <w:color w:val="000000"/>
          <w:lang w:eastAsia="es-CO"/>
        </w:rPr>
        <w:t xml:space="preserve"> de las unidades de análisis en las áreas objeto de los estudios detallados. </w:t>
      </w:r>
    </w:p>
    <w:p w14:paraId="56ECAE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00C6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Como mínimo se deben considerar los predios que pueden ser afectados por la ocurrencia del fenómeno natural objeto de análisis y se deben señalar las condiciones y parámetros para la realización de los estudios, de conformidad con lo establecido para el trámite de licencias de urbanización contempladas en el presente Decreto. </w:t>
      </w:r>
    </w:p>
    <w:p w14:paraId="25C4FF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793F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estudios podrán estar a cargo del gestor y/o promotor y/o urbanizador dentro del trámite de los instrumentos de planeamiento intermedio y de licenciamiento urbanístico. </w:t>
      </w:r>
    </w:p>
    <w:p w14:paraId="711ED6A0" w14:textId="5D6AA1B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27" w:name="ver_30072787"/>
      <w:bookmarkEnd w:id="927"/>
    </w:p>
    <w:p w14:paraId="471CB2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2.2.2.1.3.3.4 El Componente Rural. </w:t>
      </w:r>
      <w:proofErr w:type="gramStart"/>
      <w:r w:rsidRPr="009342F9">
        <w:rPr>
          <w:rFonts w:ascii="Arial" w:eastAsia="Times New Roman" w:hAnsi="Arial" w:cs="Arial"/>
          <w:color w:val="000000"/>
          <w:lang w:eastAsia="es-CO"/>
        </w:rPr>
        <w:t>En relación al</w:t>
      </w:r>
      <w:proofErr w:type="gramEnd"/>
      <w:r w:rsidRPr="009342F9">
        <w:rPr>
          <w:rFonts w:ascii="Arial" w:eastAsia="Times New Roman" w:hAnsi="Arial" w:cs="Arial"/>
          <w:color w:val="000000"/>
          <w:lang w:eastAsia="es-CO"/>
        </w:rPr>
        <w:t xml:space="preserve"> suelo rural y rural suburbano, este componente deberá contemplar por lo menos, los siguientes contenidos para adelantar la delimitación de las áreas expuestas a amenazas y riesgos naturales, de conformidad con lo previsto en el componente general del plan de ordenamiento territorial: </w:t>
      </w:r>
    </w:p>
    <w:p w14:paraId="32EF6A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E189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las áreas de amenaza alta y media: La definición de medidas de manejo especial para las zonas calificadas como de amenaza alta y media en los suelos rurales no suburbanos mediante el desarrollo, entre otros, de usos agroforestales, la implementación de prácticas culturales de conservación y manejo de cultivos, las medidas para el control de erosión y prácticas mecánicas de conservación tales como el manejo de escorrentías, así como determinar la necesidad de adelantar estudios detallados en las áreas de restricción por amenaza. </w:t>
      </w:r>
    </w:p>
    <w:p w14:paraId="5861E8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2512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las áreas con condición riesgo: La definición de las condiciones técnicas para la elaboración de los estudios detallados que permitan establecer las categorías de riesgo en estas áreas y la asignación del régimen general de usos. </w:t>
      </w:r>
    </w:p>
    <w:p w14:paraId="0C4ECE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4501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Para las áreas de riesgo que cuenten con estudios detallados: La delimitación y zonificación de las áreas de riesgo alto, medio y bajo con la determinación de aquellas zonas de riesgo alto que se consideren como mitigables y no mitigables. </w:t>
      </w:r>
    </w:p>
    <w:p w14:paraId="606101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9035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asignación de usos y las demás condiciones para orientar la ocupación de las áreas calificadas como de riesgo mitigable y para las clasificadas como de riesgo no mitigable se aplicará el régimen del suelo de protección. </w:t>
      </w:r>
    </w:p>
    <w:p w14:paraId="2B604E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BB10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desarrollo por parcelación en áreas con condición de riesgo en suelo suburbano y centros poblados rurales que no cuenten con estudios detallados al momento de adoptar la revisión del plan de ordenamiento </w:t>
      </w:r>
      <w:proofErr w:type="gramStart"/>
      <w:r w:rsidRPr="009342F9">
        <w:rPr>
          <w:rFonts w:ascii="Arial" w:eastAsia="Times New Roman" w:hAnsi="Arial" w:cs="Arial"/>
          <w:color w:val="000000"/>
          <w:lang w:eastAsia="es-CO"/>
        </w:rPr>
        <w:t>territorial,</w:t>
      </w:r>
      <w:proofErr w:type="gramEnd"/>
      <w:r w:rsidRPr="009342F9">
        <w:rPr>
          <w:rFonts w:ascii="Arial" w:eastAsia="Times New Roman" w:hAnsi="Arial" w:cs="Arial"/>
          <w:color w:val="000000"/>
          <w:lang w:eastAsia="es-CO"/>
        </w:rPr>
        <w:t xml:space="preserve"> estará condicionado a su realización, así como a la ejecución de las medidas de reducción (prevención y mitigación) que se determinen en estos estudios. </w:t>
      </w:r>
    </w:p>
    <w:p w14:paraId="18A5EDCE" w14:textId="49E164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28" w:name="ver_30072789"/>
      <w:bookmarkEnd w:id="928"/>
    </w:p>
    <w:p w14:paraId="30A0C7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2.2.2.1.3.3.5 Programa de ejecución. En el programa de ejecución se incluyen con carácter obligatorio, los programas y proyectos para el conocimiento y la reducción (prevención y mitigación) del riesgo que se ejecutarán durante el periodo de la administración municipal o distrital correspondiente, de acuerdo con lo definido en el correspondiente Plan de Desarrollo y según la vigencia del plan de ordenamiento territorial, señalando las prioridades, la programación de actividades, las entidades responsables y los recursos respectivos. </w:t>
      </w:r>
    </w:p>
    <w:p w14:paraId="230EDD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4A3BB0"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Con fundamento en lo establecido en los componentes general, urbano y rural, dentro de los programas y proyectos se deben considerar como mínimo los estudios detallados en las áreas priorizadas, el desarrollo de medidas de mitigación estructurales y no estructurales y las acciones para adelantar reasentamientos. </w:t>
      </w:r>
    </w:p>
    <w:p w14:paraId="313B9D51" w14:textId="2CC807A3" w:rsidR="00AA5FD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39824DE3" w14:textId="77777777" w:rsidR="007C7D44" w:rsidRDefault="00FC79C1" w:rsidP="00683694">
      <w:pPr>
        <w:spacing w:after="0" w:line="240" w:lineRule="auto"/>
        <w:jc w:val="center"/>
        <w:rPr>
          <w:rFonts w:ascii="Arial" w:eastAsia="Times New Roman" w:hAnsi="Arial" w:cs="Arial"/>
          <w:b/>
          <w:bCs/>
          <w:color w:val="000000"/>
          <w:lang w:eastAsia="es-CO"/>
        </w:rPr>
      </w:pPr>
      <w:bookmarkStart w:id="929" w:name="ver_30072792"/>
      <w:bookmarkEnd w:id="929"/>
      <w:r w:rsidRPr="231E957E">
        <w:rPr>
          <w:rFonts w:ascii="Arial" w:eastAsia="Times New Roman" w:hAnsi="Arial" w:cs="Arial"/>
          <w:b/>
          <w:color w:val="000000" w:themeColor="text1"/>
          <w:lang w:eastAsia="es-CO"/>
        </w:rPr>
        <w:t>SUBSECCIÓN 4</w:t>
      </w:r>
    </w:p>
    <w:p w14:paraId="02AA3CFC"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57F2392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30" w:name="ver_30072793"/>
      <w:bookmarkEnd w:id="930"/>
    </w:p>
    <w:p w14:paraId="02869F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2.2.2.1.3.4.1 Requisitos profesionales. Los estudios técnicos señalados en la presente sección deben ser elaborados y firmados por profesionales idóneos en las materias, quienes son responsables de los mismos sin perjuicio de la responsabilidad por la correcta ejecución de los diseños y las obras de mitigación. </w:t>
      </w:r>
    </w:p>
    <w:p w14:paraId="2D567752" w14:textId="32B768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31" w:name="ver_30072794"/>
      <w:bookmarkEnd w:id="931"/>
    </w:p>
    <w:p w14:paraId="692C62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2.2.2.1.3.4.2 Mecanismos de financiación para la realización de estudios. De conformidad con lo previsto en la Ley 1523 de 2012, los municipios y sus fondos territoriales de gestión del riesgo definirán mecanismos de financiación para la realización de los estudios contemplados en el presente decreto. </w:t>
      </w:r>
    </w:p>
    <w:p w14:paraId="66C9B1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ADCE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desarrollo de los principios de coordinación, concurrencia, complementariedad y subsidiariedad y el artículo 47 de que trata la citada ley, el Fondo Nacional de Gestión de Riesgo de Desastres en la priorización de la inversión de recursos para el conocimiento y la reducción del riesgo para la implementación de lo previsto en este decreto, podrá apoyar a los municipios de categorías 5 y 6, de conformidad con los criterios que se establezcan para el manejo de este fondo. </w:t>
      </w:r>
    </w:p>
    <w:p w14:paraId="40DFD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BB2048" w14:textId="10D9BC67" w:rsidR="00FC79C1" w:rsidRPr="009342F9" w:rsidRDefault="00FC79C1" w:rsidP="00683694">
      <w:pPr>
        <w:spacing w:after="0" w:line="240" w:lineRule="auto"/>
        <w:jc w:val="center"/>
        <w:rPr>
          <w:rFonts w:ascii="Arial" w:eastAsia="Times New Roman" w:hAnsi="Arial" w:cs="Arial"/>
          <w:b/>
          <w:bCs/>
          <w:color w:val="000000"/>
          <w:lang w:eastAsia="es-CO"/>
        </w:rPr>
      </w:pPr>
      <w:bookmarkStart w:id="932" w:name="ver_30072796"/>
      <w:bookmarkEnd w:id="932"/>
      <w:r w:rsidRPr="009342F9">
        <w:rPr>
          <w:rFonts w:ascii="Arial" w:eastAsia="Times New Roman" w:hAnsi="Arial" w:cs="Arial"/>
          <w:b/>
          <w:bCs/>
          <w:color w:val="000000"/>
          <w:lang w:eastAsia="es-CO"/>
        </w:rPr>
        <w:t>SECCIÓN 4</w:t>
      </w:r>
    </w:p>
    <w:p w14:paraId="78D25DD8" w14:textId="77777777" w:rsidR="00FC79C1"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TRATAMIENTOS URBANÍSTICOS</w:t>
      </w:r>
    </w:p>
    <w:p w14:paraId="61E34576" w14:textId="77777777" w:rsidR="007C7D44" w:rsidRPr="009342F9" w:rsidRDefault="007C7D44" w:rsidP="00683694">
      <w:pPr>
        <w:spacing w:after="0" w:line="240" w:lineRule="auto"/>
        <w:jc w:val="center"/>
        <w:rPr>
          <w:rFonts w:ascii="Arial" w:eastAsia="Times New Roman" w:hAnsi="Arial" w:cs="Arial"/>
          <w:b/>
          <w:bCs/>
          <w:color w:val="000000"/>
          <w:lang w:eastAsia="es-CO"/>
        </w:rPr>
      </w:pPr>
    </w:p>
    <w:p w14:paraId="396712B1" w14:textId="66ECBB46"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4244E771"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URBANIZACIÓN E INCORPORACIÓN AL DESARROLLO DE LOS PREDIOS Y ZONAS COMPRENDIDAS EN SUELO URBANO Y DE EXPANSIÓN</w:t>
      </w:r>
    </w:p>
    <w:p w14:paraId="686FBD6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33" w:name="ver_30072798"/>
      <w:bookmarkEnd w:id="933"/>
    </w:p>
    <w:p w14:paraId="21C213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2.2.2.1.4.1.1 Objeto y ámbito de aplicación. Las disposiciones contenidas en la presente subsección reglamentan las actuaciones para la urbanización e incorporación al desarrollo urbano de los predios y zonas sin urbanizar en suelo urbano y de expansión urbana. </w:t>
      </w:r>
    </w:p>
    <w:p w14:paraId="6D31BFB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34" w:name="ver_30072803"/>
      <w:bookmarkEnd w:id="934"/>
    </w:p>
    <w:p w14:paraId="28942034" w14:textId="1D9F10C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2.2.2.1.4.1.2</w:t>
      </w:r>
      <w:r w:rsidR="00B86CD1">
        <w:rPr>
          <w:rFonts w:ascii="Arial" w:eastAsia="Times New Roman" w:hAnsi="Arial" w:cs="Arial"/>
          <w:color w:val="000000"/>
          <w:lang w:eastAsia="es-CO"/>
        </w:rPr>
        <w:t xml:space="preserve">. </w:t>
      </w:r>
      <w:r w:rsidRPr="009342F9">
        <w:rPr>
          <w:rFonts w:ascii="Arial" w:eastAsia="Times New Roman" w:hAnsi="Arial" w:cs="Arial"/>
          <w:color w:val="000000"/>
          <w:lang w:eastAsia="es-CO"/>
        </w:rPr>
        <w:t> Zonas y predios sujetos a las actuaciones de urbanización. Se someterán a las actuaciones de urbanización todos los predios urbanizables no urbanizados a los que se les haya asignado el tratamiento urbanístico de desarrollo y a los predios sin urbanizar a los que se les haya asignado un tratamiento urbanístico distinto. </w:t>
      </w:r>
    </w:p>
    <w:p w14:paraId="55A42D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66F4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todo caso, se excluirán de las actuaciones de urbanización las zonas clasificadas como suelo de protección según lo previsto en el artículo 35 de la Ley 388 de 1997; los predios que se hayan desarrollado por procesos de urbanización o construcción con fundamento en actos administrativos expedidos por las autoridades competentes; las zonas o barrios consolidados con edificaciones, y los asentamientos de hecho que deban ser objeto de procesos de legalización y regularización urbanística previstos en la ley. </w:t>
      </w:r>
    </w:p>
    <w:p w14:paraId="7EAF7E7F" w14:textId="0E94BB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35" w:name="ver_30072806"/>
      <w:bookmarkEnd w:id="935"/>
    </w:p>
    <w:p w14:paraId="2D94D981" w14:textId="7A52761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2.2.2.1.4.1.3</w:t>
      </w:r>
      <w:r w:rsidR="00B86CD1">
        <w:rPr>
          <w:rFonts w:ascii="Arial" w:eastAsia="Times New Roman" w:hAnsi="Arial" w:cs="Arial"/>
          <w:color w:val="000000"/>
          <w:lang w:eastAsia="es-CO"/>
        </w:rPr>
        <w:t>.</w:t>
      </w:r>
      <w:r w:rsidRPr="009342F9">
        <w:rPr>
          <w:rFonts w:ascii="Arial" w:eastAsia="Times New Roman" w:hAnsi="Arial" w:cs="Arial"/>
          <w:color w:val="000000"/>
          <w:lang w:eastAsia="es-CO"/>
        </w:rPr>
        <w:t> Condiciones para adelantar la actuación de urbanización. Para efectos de lo previsto en el artículo 19 de la Ley 388 de 1997, las actuaciones de urbanización en predios urbanizables no urbanizados se adelantarán teniendo en cuenta las siguientes condiciones: </w:t>
      </w:r>
    </w:p>
    <w:p w14:paraId="4268FE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E56B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suelo de expansión urbana: Mediante la adopción del respectivo plan parcial, en todos los casos. </w:t>
      </w:r>
    </w:p>
    <w:p w14:paraId="0C68E9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D31E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suelo urbano: </w:t>
      </w:r>
    </w:p>
    <w:p w14:paraId="514DD0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48B5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Mediante la adopción de plan parcial cuando se requiera de la gestión asociada de los propietarios de predios mediante unidades de actuación urbanística o se trate de macroproyectos u otras operaciones urbanas especiales. </w:t>
      </w:r>
    </w:p>
    <w:p w14:paraId="4D7199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0AB1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Mediante la aprobación de un proyecto urbanístico general o licencia de urbanización sin trámite de plan parcial, cuando el predio o predios cuenten con disponibilidad inmediata de servicios públicos y cumpla con alguno de los siguientes requisitos: </w:t>
      </w:r>
    </w:p>
    <w:p w14:paraId="2735BF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134F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 Se trate de predio(s) localizado(s) en zonas cuya área no supere las diez (10) hectáreas netas urbanizables, delimitadas por áreas consolidadas o urbanizadas o por predios que tengan licencias de urbanización vigentes y garanticen las condiciones de accesibilidad y continuidad del trazado vial. </w:t>
      </w:r>
    </w:p>
    <w:p w14:paraId="03DB3F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1454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 Se trate de un sólo predio cuya área supere las diez (10) hectáreas netas urbanizables, que para su desarrollo no requiera de gestión asociada y se apruebe como un sólo proyecto urbanístico general de acuerdo con lo dispuesto en el presente decreto. </w:t>
      </w:r>
    </w:p>
    <w:p w14:paraId="5FF11B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B702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2.2.3 Las disposiciones sobre tamaño de predios y áreas de que tratan los numerales 2.2.1.y 2.2.2., solo </w:t>
      </w:r>
      <w:proofErr w:type="gramStart"/>
      <w:r w:rsidRPr="009342F9">
        <w:rPr>
          <w:rFonts w:ascii="Arial" w:eastAsia="Times New Roman" w:hAnsi="Arial" w:cs="Arial"/>
          <w:color w:val="000000"/>
          <w:lang w:eastAsia="es-CO"/>
        </w:rPr>
        <w:t>serán de aplicación</w:t>
      </w:r>
      <w:proofErr w:type="gramEnd"/>
      <w:r w:rsidRPr="009342F9">
        <w:rPr>
          <w:rFonts w:ascii="Arial" w:eastAsia="Times New Roman" w:hAnsi="Arial" w:cs="Arial"/>
          <w:color w:val="000000"/>
          <w:lang w:eastAsia="es-CO"/>
        </w:rPr>
        <w:t xml:space="preserve"> en los municipios y distritos que hayan adoptado los planes de ordenamiento previstos en el literal a) del artículo 9° de la Ley 388 de 1997. No obstante, la actuación de urbanización deberá llevarse a cabo mediante plan parcial cuando no se cumpla alguno de los requisitos de que tratan los numerales 2.2.1.y 2.2.2. </w:t>
      </w:r>
    </w:p>
    <w:p w14:paraId="6AF3BE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F164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todo caso, para adelantar el trámite de urbanización sin plan parcial el municipio o distrito debe contar con la reglamentación del tratamiento urbanístico de desarrollo en los términos de que trata la presente Subsección. </w:t>
      </w:r>
    </w:p>
    <w:p w14:paraId="7EB764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938F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También se requerirá plan parcial siempre que el predio o predios objeto de la actuación de urbanización se encuentre en alguna de las situaciones previstas en el artículo del presente decreto que hace referencia a los planes parciales objeto de concertación con la autoridad ambiental. </w:t>
      </w:r>
    </w:p>
    <w:p w14:paraId="23F0F6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35F9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adopción de los planes parciales se sujetará a lo previsto en el presente decreto en relación con planes parciales. </w:t>
      </w:r>
    </w:p>
    <w:p w14:paraId="59BB3806" w14:textId="2C75A0C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36" w:name="ver_30072809"/>
      <w:bookmarkEnd w:id="936"/>
    </w:p>
    <w:p w14:paraId="7E6116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2.2.2.1.4.1.4 Prohibición de subdivisión previa al proceso de urbanización en suelo urbano. Los predios urbanizables no urbanizados ubicados en suelo urbano no podrán ser subdivididos previamente a la actuación de urbanización, salvo cuando: </w:t>
      </w:r>
    </w:p>
    <w:p w14:paraId="6DB54B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207B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 trate de subdivisiones, particiones o divisiones materiales ordenadas por sentencia judicial en firme. </w:t>
      </w:r>
    </w:p>
    <w:p w14:paraId="7C3658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E52B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Se requiera por motivo de la ejecución de obras de utilidad pública. </w:t>
      </w:r>
    </w:p>
    <w:p w14:paraId="31C3B9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B32C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Se pretenda dividir la parte del predio que esté ubicada en suelo urbano de la parte que se localice en suelo de expansión urbana o en suelo rural. </w:t>
      </w:r>
    </w:p>
    <w:p w14:paraId="40D013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761E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Existan reglas especiales para subdivisión contenidas en el plan de ordenamiento territorial o los instrumentos que lo desarrollen o complementen. </w:t>
      </w:r>
    </w:p>
    <w:p w14:paraId="20AA450F" w14:textId="54CD4AB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37" w:name="ver_30072812"/>
      <w:bookmarkEnd w:id="937"/>
    </w:p>
    <w:p w14:paraId="3F2803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2.2.2.1.4.1.5 Subdivisión previa al proceso de urbanización en suelo de expansión y subdivisión en suelo rural. Mientras no se adopte el respectivo plan parcial, y salvo lo previsto en el parágrafo del presente artículo, los predios urbanizables no urbanizados en suelo de expansión urbana no podrán subdividirse por debajo de la extensión mínima de la unidad agrícola familiar. </w:t>
      </w:r>
    </w:p>
    <w:p w14:paraId="7D0BCE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F20E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Las excepciones a la subdivisión de predios rurales por debajo de la extensión mínima de la unidad agrícola </w:t>
      </w:r>
      <w:proofErr w:type="gramStart"/>
      <w:r w:rsidRPr="009342F9">
        <w:rPr>
          <w:rFonts w:ascii="Arial" w:eastAsia="Times New Roman" w:hAnsi="Arial" w:cs="Arial"/>
          <w:color w:val="000000"/>
          <w:lang w:eastAsia="es-CO"/>
        </w:rPr>
        <w:t>familiar,</w:t>
      </w:r>
      <w:proofErr w:type="gramEnd"/>
      <w:r w:rsidRPr="009342F9">
        <w:rPr>
          <w:rFonts w:ascii="Arial" w:eastAsia="Times New Roman" w:hAnsi="Arial" w:cs="Arial"/>
          <w:color w:val="000000"/>
          <w:lang w:eastAsia="es-CO"/>
        </w:rPr>
        <w:t xml:space="preserve"> serán autorizadas en la respectiva licencia de subdivisión por los curadores urbanos o la autoridad municipal competente para expedir licencias, y los predios resultantes sólo podrán destinarse a los usos permitidos en el plan de ordenamiento o en los instrumentos que lo desarrollen o complementen. Esta disposición también se aplicará para la subdivisión de predios en suelo de expansión urbana que no cuenten con el respectivo plan parcial. </w:t>
      </w:r>
    </w:p>
    <w:p w14:paraId="50879739" w14:textId="02ED95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38" w:name="ver_30072815"/>
      <w:bookmarkEnd w:id="938"/>
    </w:p>
    <w:p w14:paraId="7CC159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2.2.2.1.4.1.6 Actuaciones urbanísticas en suelo de expansión urbana. En desarrollo de lo dispuesto en el artículo 19 de la Ley 388 de 1997, el suelo de expansión únicamente podrá ser objeto de urbanización y construcción previa adopción del respectivo plan parcial. </w:t>
      </w:r>
    </w:p>
    <w:p w14:paraId="2083E3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B8DA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Mientras no se aprueben los respectivos planes parciales, en las zonas de expansión urbana solo se permitirá el desarrollo de usos agrícolas y forestales. En ningún caso se permitirá el desarrollo de parcelaciones rurales para vivienda campestre. </w:t>
      </w:r>
    </w:p>
    <w:p w14:paraId="14A68E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AFCEDD"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No obstante lo anterior, en cualquier momento podrán realizarse las obras correspondientes a la infraestructura de los sistemas generales o estructurantes del orden municipal o distrital, así como las obras de infraestructura relativas a la red vial nacional, regional y departamental, puertos y aeropuertos y sistemas de abastecimiento de agua, saneamiento y suministro de energía que deban ejecutar las entidades del nivel central o descentralizado de la rama ejecutiva del orden nacional, departamental, municipal o distrital, las empresas industriales y comerciales del Estado y las empresas prestadoras de servicios públicos domiciliarios. </w:t>
      </w:r>
    </w:p>
    <w:p w14:paraId="3DD6C4F8" w14:textId="712A6044" w:rsidR="00B86CD1" w:rsidRPr="009342F9" w:rsidRDefault="00FC79C1" w:rsidP="00AA5FD1">
      <w:pPr>
        <w:spacing w:after="0" w:line="240" w:lineRule="auto"/>
        <w:jc w:val="both"/>
        <w:rPr>
          <w:rFonts w:ascii="Arial" w:eastAsia="Times New Roman" w:hAnsi="Arial" w:cs="Arial"/>
          <w:b/>
          <w:bCs/>
          <w:color w:val="000000"/>
          <w:lang w:eastAsia="es-CO"/>
        </w:rPr>
      </w:pPr>
      <w:r w:rsidRPr="231E957E">
        <w:rPr>
          <w:rFonts w:ascii="Arial" w:eastAsia="Times New Roman" w:hAnsi="Arial" w:cs="Arial"/>
          <w:color w:val="000000" w:themeColor="text1"/>
          <w:lang w:eastAsia="es-CO"/>
        </w:rPr>
        <w:t>  </w:t>
      </w:r>
      <w:bookmarkStart w:id="939" w:name="ver_30072817"/>
      <w:bookmarkEnd w:id="939"/>
    </w:p>
    <w:p w14:paraId="3546D20E" w14:textId="01BC018D"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SUBSECCIÓN 2</w:t>
      </w:r>
    </w:p>
    <w:p w14:paraId="78F5434A"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TRATAMIENTO URBANÍSTICO DE DESARROLLO</w:t>
      </w:r>
    </w:p>
    <w:p w14:paraId="742376C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40" w:name="ver_30072819"/>
      <w:bookmarkEnd w:id="940"/>
    </w:p>
    <w:p w14:paraId="0F9084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2.2.2.1.4.2.1 Tratamiento urbanístico de desarrollo. En los planes de ordenamiento territorial o en los instrumentos que lo desarrollen se deben definir para los suelos urbanos y de expansión urbana, las normas que orientan el tratamiento urbanístico de desarrollo, estableciendo sus particularidades en cuanto a localización, usos principales, compatibles, complementarios, restringidos y prohibidos y las densidades, índices básicos de edificabilidad y demás contenidos técnicos de planificación y gestión que permitan su aplicación real. </w:t>
      </w:r>
    </w:p>
    <w:p w14:paraId="364115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DF33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contenido mínimo del tratamiento urbanístico de desarrollo es el siguiente: </w:t>
      </w:r>
    </w:p>
    <w:p w14:paraId="02C059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3880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Aéreas mínimas de supermanzanas y manzanas, o </w:t>
      </w:r>
      <w:proofErr w:type="spellStart"/>
      <w:r w:rsidRPr="009342F9">
        <w:rPr>
          <w:rFonts w:ascii="Arial" w:eastAsia="Times New Roman" w:hAnsi="Arial" w:cs="Arial"/>
          <w:color w:val="000000"/>
          <w:lang w:eastAsia="es-CO"/>
        </w:rPr>
        <w:t>superlotes</w:t>
      </w:r>
      <w:proofErr w:type="spellEnd"/>
      <w:r w:rsidRPr="009342F9">
        <w:rPr>
          <w:rFonts w:ascii="Arial" w:eastAsia="Times New Roman" w:hAnsi="Arial" w:cs="Arial"/>
          <w:color w:val="000000"/>
          <w:lang w:eastAsia="es-CO"/>
        </w:rPr>
        <w:t xml:space="preserve"> y lotes. </w:t>
      </w:r>
    </w:p>
    <w:p w14:paraId="1A99B4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ACDE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Normas volumétricas: </w:t>
      </w:r>
    </w:p>
    <w:p w14:paraId="23D6E6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5133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Índices de ocupación y construcción básicos y máximos. </w:t>
      </w:r>
    </w:p>
    <w:p w14:paraId="7421CC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9C03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Aislamientos. </w:t>
      </w:r>
    </w:p>
    <w:p w14:paraId="2F359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7317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Antejardines. </w:t>
      </w:r>
    </w:p>
    <w:p w14:paraId="1B66E8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00BB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Retrocesos. </w:t>
      </w:r>
    </w:p>
    <w:p w14:paraId="752CE8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CE9B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Sótanos y semisótanos. </w:t>
      </w:r>
    </w:p>
    <w:p w14:paraId="4F381A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6690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 Rampas. </w:t>
      </w:r>
    </w:p>
    <w:p w14:paraId="17B09F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D5AA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2.7 Escaleras. </w:t>
      </w:r>
    </w:p>
    <w:p w14:paraId="38F9DC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9ED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2.8 Estacionamientos. </w:t>
      </w:r>
    </w:p>
    <w:p w14:paraId="3CAD20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C20E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2.9 Cesiones obligatorias. </w:t>
      </w:r>
    </w:p>
    <w:p w14:paraId="1B86D455" w14:textId="1B25B1A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41" w:name="ver_30072820"/>
      <w:bookmarkEnd w:id="941"/>
    </w:p>
    <w:p w14:paraId="1E8C7375"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xml:space="preserve">Artículo 2.2.2.1.4.2.2 Régimen de transición. Los proyectos de planes parciales que hubieren sido radicados antes del 24 de octubre de </w:t>
      </w:r>
      <w:proofErr w:type="gramStart"/>
      <w:r w:rsidRPr="231E957E">
        <w:rPr>
          <w:rFonts w:ascii="Arial" w:eastAsia="Times New Roman" w:hAnsi="Arial" w:cs="Arial"/>
          <w:color w:val="000000" w:themeColor="text1"/>
          <w:lang w:eastAsia="es-CO"/>
        </w:rPr>
        <w:t>2008,</w:t>
      </w:r>
      <w:proofErr w:type="gramEnd"/>
      <w:r w:rsidRPr="231E957E">
        <w:rPr>
          <w:rFonts w:ascii="Arial" w:eastAsia="Times New Roman" w:hAnsi="Arial" w:cs="Arial"/>
          <w:color w:val="000000" w:themeColor="text1"/>
          <w:lang w:eastAsia="es-CO"/>
        </w:rPr>
        <w:t xml:space="preserve"> continuarán su trámite de adopción de acuerdo con las disposiciones vigentes al momento de su radicación, salvo que el interesado manifieste su interés de acogerse a lo dispuesto en el presente decreto. </w:t>
      </w:r>
    </w:p>
    <w:p w14:paraId="6723F3C1" w14:textId="53B78159"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42" w:name="ver_30072822"/>
      <w:bookmarkEnd w:id="942"/>
    </w:p>
    <w:p w14:paraId="2D3FD6F2" w14:textId="41EA162A"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0525D191"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DESTINACIÓN DE SUELO PARA VIS Y VIP</w:t>
      </w:r>
    </w:p>
    <w:p w14:paraId="16E55E6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43" w:name="ver_30072823"/>
      <w:bookmarkEnd w:id="943"/>
    </w:p>
    <w:p w14:paraId="786253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2.2.2.1.5.1 La vivienda de interés social en los planes de ordenamiento territorial. Atendiendo lo previsto en las Leyes 388 de 1997 y 1537 de 2012, y sin perjuicio de lo dispuesto en el artículo 2.2.2.1.2.1.2 del presente decreto, en el componente urbano de los Planes de Ordenamiento Territorial se deberán definir las exigencias y porcentajes de suelo útil para el desarrollo de programas y proyectos de Vivienda de Interés Social y/o de Interés Social Prioritaria cumpliendo con lo previsto en la presente Sección. </w:t>
      </w:r>
    </w:p>
    <w:p w14:paraId="6F21B2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D4F4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Siguiendo lo definido por los Planes de Ordenamiento Territorial, en los programas de ejecución del plan de inversiones de los planes de desarrollo municipales y distritales se podrán localizar los suelos de los programas y proyectos de vivienda de interés social y/o prioritaria, en los cuales se podrá cumplir con los porcentajes de suelo de que trata esta Sección. </w:t>
      </w:r>
    </w:p>
    <w:p w14:paraId="4C512F75" w14:textId="337298F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44" w:name="ver_30072825"/>
      <w:bookmarkEnd w:id="944"/>
    </w:p>
    <w:p w14:paraId="619676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2.2.2.1.5.2 Porcentajes mínimos de suelo para el desarrollo de Programas de Vivienda de Interés Social e Interés Social Prioritaria. De conformidad con lo previsto en las Leyes 388 de 1997 y 1537 de 2012, sólo se exigirá el cumplimiento de porcentajes de suelo destinados al desarrollo de programas VIS y VIP a los predios a los que el Plan de Ordenamiento Territorial les asigne los tratamientos de desarrollo y de renovación urbana, este último en la modalidad de redesarrollo, conforme lo previsto en la presente Sección. </w:t>
      </w:r>
    </w:p>
    <w:p w14:paraId="6448D7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8CE9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Atendiendo lo dispuesto en las citadas leyes, y sin perjuicio de los mecanismos previstos en el artículo 2.2.2.1.5.3.1 de este decreto, el alcance de esta obligación se circunscribe únicamente a la provisión de los suelos útiles que se destinarán para el desarrollo de este tipo de vivienda y a la ejecución de las obras de urbanización de los proyectos urbanísticos donde se localicen tales suelos. En consecuencia, y para todos los efectos, la obligación de destinar suelo útil para VIS o VIP se considerará como una carga urbanística local. </w:t>
      </w:r>
    </w:p>
    <w:p w14:paraId="0DEFA5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B078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las áreas útiles destinadas a este tipo de vivienda deberán desarrollarse de conformidad con ese uso por sus propietarios, por terceros o por las entidades públicas competentes, en los casos en los que se hubieran declarado de construcción prioritaria o se hubiere determinado la utilidad pública correspondiente, respectivamente. </w:t>
      </w:r>
    </w:p>
    <w:p w14:paraId="7F9E79E9" w14:textId="478FDA8D"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45" w:name="ver_30072826"/>
      <w:bookmarkEnd w:id="945"/>
    </w:p>
    <w:p w14:paraId="423BD9F7" w14:textId="4C611323"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0D25C155"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LOS PORCENTAJES DE SUELO PARA VIP EN TRATAMIENTO URBANÍSTICO DE DESARROLLO</w:t>
      </w:r>
    </w:p>
    <w:p w14:paraId="7C76A33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46" w:name="ver_30072828"/>
      <w:bookmarkEnd w:id="946"/>
    </w:p>
    <w:p w14:paraId="6E6107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2.2.2.1.5.1.1 Porcentajes mínimos de suelo para el desarrollo de Programas de Vivienda de Interés Social Prioritaria (VIP) en tratamiento de desarrollo. De conformidad con lo previsto en el artículo 46 de la Ley 1537 de 2012, en el componente urbano de los planes de ordenamiento territorial de los municipios o distritos con población urbana superior a 100.000 habitantes y de los municipios localizados en el área de influencia de aquellos con población urbana superior a 500.000 habitantes conforme los criterios previstos en el parágrafo 1 del artículo 91 de la Ley 388 de 1997, se deberán definir los porcentajes mínimos de suelo para el desarrollo de programas de vivienda de interés social prioritaria (VIP). </w:t>
      </w:r>
    </w:p>
    <w:p w14:paraId="1B7B80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FF51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Dichos porcentajes se exigirán únicamente en las actuaciones de urbanización de predios regulados por el tratamiento de desarrollo que se encuentren ubicados en suelo urbano o de expansión urbana en zonas o áreas de actividad cuyos usos sean distintos a los industriales, dotacionales o institucionales y que se urbanicen aplicando la figura del plan parcial o directamente mediante la aprobación de la correspondiente licencia de urbanización. </w:t>
      </w:r>
    </w:p>
    <w:p w14:paraId="3CE2AE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490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Estos porcentajes se incluirán en los planes parciales o en las normas urbanísticas que regulen la urbanización de los citados suelos sin el trámite de plan parcial. En todo caso, cuando el plan parcial o el proyecto urbanístico contenga usos residenciales el citado porcentaje no podrá ser inferior al previsto en el siguiente cuadro: </w:t>
      </w:r>
    </w:p>
    <w:p w14:paraId="0EC6B1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A44961" w14:textId="0FF38104"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1F549A43" wp14:editId="27551240">
            <wp:extent cx="5581013" cy="741680"/>
            <wp:effectExtent l="0" t="0" r="635" b="1270"/>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4"/>
                    <pic:cNvPicPr/>
                  </pic:nvPicPr>
                  <pic:blipFill>
                    <a:blip r:embed="rId16">
                      <a:extLst>
                        <a:ext uri="{28A0092B-C50C-407E-A947-70E740481C1C}">
                          <a14:useLocalDpi xmlns:a14="http://schemas.microsoft.com/office/drawing/2010/main" val="0"/>
                        </a:ext>
                      </a:extLst>
                    </a:blip>
                    <a:stretch>
                      <a:fillRect/>
                    </a:stretch>
                  </pic:blipFill>
                  <pic:spPr>
                    <a:xfrm>
                      <a:off x="0" y="0"/>
                      <a:ext cx="5581013" cy="74168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749FF3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4365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porcentajes de que trata este artículo se aplicarán a los municipios localizados en el área de influencia de los municipios y distritos con población urbana superior a quinientos mil (500.000) habitantes de que trata la Resolución 368 de 2013 expedida por el Ministerio de Vivienda, Ciudad y Territorio o las normas que la adicionen, modifiquen o sustituyan. </w:t>
      </w:r>
    </w:p>
    <w:p w14:paraId="2FA02A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85F2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dar cumplimiento a lo previsto en el presente artículo, se tendrá en cuenta la población de la cabecera municipal o distrital, de acuerdo con la información expedida anualmente por el Departamento Administrativo Nacional de Estadística (DANE). </w:t>
      </w:r>
    </w:p>
    <w:p w14:paraId="63A496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3DC0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Parágrafo.3°. Los planes de ordenamiento de los demás municipios del territorio nacional que no se encuentren determinados en la definición del inciso primero de este artículo, también podrán adoptar porcentajes mínimos de suelo para el desarrollo de programas de vivienda de interés social prioritaria, según lo previsto en esta Sección. </w:t>
      </w:r>
    </w:p>
    <w:p w14:paraId="76871908" w14:textId="3F9AE0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47" w:name="ver_30072831"/>
      <w:bookmarkEnd w:id="947"/>
    </w:p>
    <w:p w14:paraId="37D836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2.2.2.1.5.1.2 Obligatoriedad. El porcentaje mínimo de que trata el artículo anterior, aun cuando no se haya incorporado en los planes de ordenamiento o en los instrumentos que los desarrollen o complementen es de obligatorio cumplimiento y se aplicará a las nuevas solicitudes de planes parciales o de licencias de urbanización radicadas en legal y debida forma a partir del 23 de enero de 2013. </w:t>
      </w:r>
    </w:p>
    <w:p w14:paraId="7CA70A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5244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Con el cumplimiento de los porcentajes de suelo previstos en el artículo anterior se entienden cumplidas las previsiones de vivienda de interés social de que tratan los artículos 92 de la Ley 388 de 1997 y 46 de la Ley 1537 de 2012 exigibles a los predios regulados por el tratamiento de desarrollo. </w:t>
      </w:r>
    </w:p>
    <w:p w14:paraId="3C21EA91" w14:textId="0DF7FC2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48" w:name="ver_30072832"/>
      <w:bookmarkEnd w:id="948"/>
    </w:p>
    <w:p w14:paraId="7C3088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2.2.2.1.5.1.3 Condiciones para la exigibilidad de los porcentajes de suelo que deben destinarse al desarrollo de Programas de Vivienda de Interés Social Prioritaria (VIP). El porcentaje mínimo de suelo que se destinará al desarrollo de programas de vivienda de interés social prioritaria (VIP), solamente será exigible a aquellos predios que en el Plan de Ordenamiento Territorial se les haya asignado el tratamiento urbanístico de desarrollo, salvo que de conformidad con el artículo 46 de la Ley 1537 de 2012 se trate de suelos que se destinen a usos industriales, dotacionales o institucionales, según el régimen de usos que se concrete en la respectiva licencia de urbanización. </w:t>
      </w:r>
    </w:p>
    <w:p w14:paraId="1401C356" w14:textId="721522CB"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49" w:name="ver_30072835"/>
      <w:bookmarkEnd w:id="949"/>
    </w:p>
    <w:p w14:paraId="7E4CE50F" w14:textId="4328034D"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66FC7944"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LOS PORCENTAJES DE SUELO PARA VIS EN TRATAMIENTO URBANÍSTICO DE RENOVACIÓN URBANA</w:t>
      </w:r>
    </w:p>
    <w:p w14:paraId="7EC5199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50" w:name="ver_30072836"/>
      <w:bookmarkEnd w:id="950"/>
    </w:p>
    <w:p w14:paraId="6A749C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2.2.2.1.5.2.1 Porcentajes mínimos de suelo para el desarrollo de Programas de Vivienda de Interés Social (VIS) en tratamiento de renovación urbana, modalidad de redesarrollo. De conformidad con lo previsto en el artículo 92 de la Ley 388 de 1997, en el componente urbano de los planes de ordenamiento territorial de los municipios o distritos, se deberán definir los porcentajes mínimos de suelo para el desarrollo de programas de vivienda de interés social que se exigirán únicamente a los predios regulados por el tratamiento de renovación urbana en la modalidad de redesarrollo ubicados en suelos urbanos que deban urbanizarse nuevamente mediante planes parciales. </w:t>
      </w:r>
    </w:p>
    <w:p w14:paraId="000B7460" w14:textId="0A36418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51" w:name="ver_30210178"/>
      <w:bookmarkStart w:id="952" w:name="ver_30109487"/>
      <w:bookmarkStart w:id="953" w:name="ver_30109488"/>
      <w:bookmarkStart w:id="954" w:name="ver_30110902"/>
      <w:bookmarkEnd w:id="951"/>
    </w:p>
    <w:p w14:paraId="527C30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2.2.2.1.5.2.2. Características de la Vivienda de Interés Social (VIS) y de Interés Social Prioritario (VIP) que se desarrollen en tratamiento de renovación urbana. Cuando se trate de planes de Vivienda de Interés Social (VIS) que superen los ciento treinta y cinco (135) salarios mínimos legales mensuales vigentes, o los ciento cincuenta (150) salarios mínimos legales mensuales vigentes cuando tales planes se ubiquen en los municipios y distritos establecidos en el título 9 de la parte 1 del libro 2 del presente decreto, con el límite de ciento setenta y cinco salarios mínimos mensuales legales vigentes (175 </w:t>
      </w: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y/o de vivienda de interés prioritario (VIP) que tenga un precio superior a noventa (90) salarios mínimos legales mensuales vigentes sin que este exceda los ciento diez (110) salarios mínimos legales mensuales vigentes, que se desarrollen en suelos que se rigen por el tratamiento de renovación urbana en cualquiera de sus modalidades; el Plan de Ordenamiento Territorial, las operaciones urbanas integrales, el plan parcial que se adopte y/o en la reglamentación del tratamiento de renovación urbana respectivo, se deberán establecer como mínimo los siguientes requisitos:  </w:t>
      </w:r>
    </w:p>
    <w:p w14:paraId="43104F7A"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15ED150" w14:textId="22AF886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Características básicas de la vivienda. Las características básicas de las viviendas de este valor deben incluir como mínimo las siguientes:  </w:t>
      </w:r>
    </w:p>
    <w:p w14:paraId="479CB30B"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D90AD80" w14:textId="115D694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El área de construcción mínima de la vivienda.  </w:t>
      </w:r>
    </w:p>
    <w:p w14:paraId="3619A86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25CCD43" w14:textId="63C5CB6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Cuota de estacionamientos privados.  </w:t>
      </w:r>
    </w:p>
    <w:p w14:paraId="0AFC6E21"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D3B4670" w14:textId="618D763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Áreas de equipamiento comunal privado (destinado al servicio de los copropietarios) según los requerimientos definidos por el Plan de Ordenamiento Territorial. No se contabilizarán las áreas correspondientes a circulaciones vehiculares, cuartos de máquinas o de mantenimiento, subestaciones, cuartos de basura y similares, así como los corredores y demás zonas de circulación cubierta, necesarias para acceder a las unidades privadas, cuando se sometan al régimen de propiedad horizontal.  </w:t>
      </w:r>
    </w:p>
    <w:p w14:paraId="1D7C80C5"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60A16A2" w14:textId="1119952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Requisitos de los programas y/o proyectos de renovación urbana. Los planes de vivienda de interés social y/o vivienda de interés prioritario que se desarrollen en las áreas con tratamiento de renovación urbana en cualquiera de sus modalidades, deberán articularse al planteamiento general de la operación prevista en el plan de ordenamiento territorial o el plan parcial y/o los instrumentos que los desarrollen y/o complementen, promoviendo el mejoramiento de la calidad de las condiciones urbanísticas del área, para lo cual deberán cumplir, por lo menos, con las siguientes condiciones:  </w:t>
      </w:r>
    </w:p>
    <w:p w14:paraId="4F2CEBE4"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C132237" w14:textId="4C64B97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Promover la densificación de aquellas áreas reguladas por el citado tratamiento con proyectos integrales que garanticen la construcción de equipamientos y/o servicios complementarios y/o de espacio público,  </w:t>
      </w:r>
    </w:p>
    <w:p w14:paraId="2090520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51457E5" w14:textId="096270D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Garantizar la prestación adecuada y eficiente de los servicios públicos domiciliarios con las densidades y/o aprovechamientos propuestos;  </w:t>
      </w:r>
    </w:p>
    <w:p w14:paraId="515EE9A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87CC3B6" w14:textId="5BA7D9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Prever un adecuado uso y manejo del ambiente y de los recursos naturales;  </w:t>
      </w:r>
    </w:p>
    <w:p w14:paraId="3E2BCDD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56CD697" w14:textId="41358B3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Promover la protección e integración de las áreas de conservación y protección ambiental, de acuerdo con lo que defina el respectivo Plan de Ordenamiento Territorial;  </w:t>
      </w:r>
    </w:p>
    <w:p w14:paraId="4F0B01E6"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B711E8C" w14:textId="3184CF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Cuando vinculen Bienes de Interés Cultural se deberá garantizar la adopción de las normas urbanísticas propias del régimen aplicable a este tipo de inmuebles, de conformidad con lo previsto en la Ley General de Cultura, sin perjuicio de que se pueda promover su rehabilitación bien sea para vivienda o para sostenibilidad del Patrimonio Cultural;  </w:t>
      </w:r>
    </w:p>
    <w:p w14:paraId="710C1AD7"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2DADA379" w14:textId="7454B7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Fomentar la rehabilitación de edificaciones bien sea para vivienda o para otros usos complementarios, en el marco de las dinámicas económicas de las zonas objeto del plan parcial y/o el proyecto de renovación urbana;  </w:t>
      </w:r>
    </w:p>
    <w:p w14:paraId="491DE3B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79651EC9" w14:textId="786EAE3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Articular la vivienda de interés social con la infraestructura para el sistema vial de transporte, preferiblemente con los corredores troncales de transporte masivo, con el fin de facilitar el acceso de la población de menores ingresos al servicio de transporte público colectivo;  </w:t>
      </w:r>
    </w:p>
    <w:p w14:paraId="524ADB7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75B1050" w14:textId="1AB5FA2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Promover y generar redes de movilidad accesibles para personas con discapacidad y dificultades de locomoción a partir de la eliminación de barreras físicas;  </w:t>
      </w:r>
    </w:p>
    <w:p w14:paraId="304662D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B8D9A50" w14:textId="1CD19B7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Mejorar los estándares cualitativos de espacio público, buscando incrementar la calidad, dotación y mejor aprovechamiento de los espacios públicos existentes. Se podrán incorporar al sistema de espacio público zonas privadas afectas o con vocación al uso público, y estas se contabilizarán como parte del espacio público requerido para el desarrollo del proyecto;  </w:t>
      </w:r>
    </w:p>
    <w:p w14:paraId="32BCA9F3"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4265D351" w14:textId="174AFC4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Garantizar los sistemas de equipamientos colectivos que suplan las necesidades de la nueva población que se incorpora a la zona, por el desarrollo del proyecto;  </w:t>
      </w:r>
    </w:p>
    <w:p w14:paraId="00FD80B2"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768A59D" w14:textId="0AD0A2A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k) Incorporar determinantes de gestión y prevención del riesgo para los sectores que el plan de ordenamiento territorial haya identificado como de riesgo mitigable alto o medio, de origen geotécnico o hidrológico. Las medidas de prevención y mitigación serán responsabilidad de los diseñadores y urbanizadores responsables, y deberán incluirse en la licencia de urbanización en la modalidad de reurbanización y/o de construcción respectiva.  </w:t>
      </w:r>
    </w:p>
    <w:p w14:paraId="407707C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64A6540C" w14:textId="183EE8D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Condiciones para la participación de las entidades vinculadas a la política de vivienda y para la aplicación de recursos del Subsidio Familiar de Vivienda. Las viviendas de interés social cuyo valor exceda los ciento treinta y cinco (135) salarios mínimos legales mensuales vigentes, o los ciento cincuenta (150) salarios mínimos legales mensuales vigentes cuando se ubiquen en los municipios y distritos establecidos en el título 9 de la parte 1 del libro 2 del presente decreto, no serán objeto de la aplicación del subsidio familiar de vivienda ni de los beneficios o incentivos que se establezcan para la adquisición de Vivienda de Interés Social o Vivienda de Interés Prioritario, sin perjuicio de los demás beneficios otorgados para el desarrollo de este tipo de vivienda.  </w:t>
      </w:r>
    </w:p>
    <w:p w14:paraId="5C7D5002"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BF32C4C" w14:textId="317123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condiciones de que trata el numeral 2 del presente artículo serán igualmente exigibles a cualquier plan parcial de renovación urbana, aun cuando contemplen programas y/o proyectos de vivienda de interés social y o de interés prioritario que no superen los rangos señalados en el presente artículo.  </w:t>
      </w:r>
    </w:p>
    <w:p w14:paraId="385F838D"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1AF73495" w14:textId="4E734D0B"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Parágrafo 2°. En el caso de predios incluidos en planes parciales, el cumplimiento de los requisitos de los programas y/o proyectos de renovación urbana de que trata el numeral 2 del presente artículo, debe corresponder al reparto equitativo de cargas y beneficios.  </w:t>
      </w:r>
    </w:p>
    <w:p w14:paraId="085A3F4D" w14:textId="77777777" w:rsidR="00B86CD1" w:rsidRPr="009342F9" w:rsidRDefault="00B86CD1" w:rsidP="00FC79C1">
      <w:pPr>
        <w:spacing w:after="0" w:line="240" w:lineRule="auto"/>
        <w:jc w:val="both"/>
        <w:rPr>
          <w:rFonts w:ascii="Arial" w:eastAsia="Times New Roman" w:hAnsi="Arial" w:cs="Arial"/>
          <w:color w:val="000000"/>
          <w:lang w:eastAsia="es-CO"/>
        </w:rPr>
      </w:pPr>
    </w:p>
    <w:p w14:paraId="707778D6" w14:textId="62796E01" w:rsidR="00FC79C1" w:rsidRPr="009342F9" w:rsidRDefault="00FC79C1" w:rsidP="008220FB">
      <w:pPr>
        <w:spacing w:after="0" w:line="240" w:lineRule="auto"/>
        <w:jc w:val="center"/>
        <w:rPr>
          <w:rFonts w:ascii="Arial" w:eastAsia="Times New Roman" w:hAnsi="Arial" w:cs="Arial"/>
          <w:b/>
          <w:bCs/>
          <w:color w:val="000000"/>
          <w:lang w:eastAsia="es-CO"/>
        </w:rPr>
      </w:pPr>
      <w:bookmarkStart w:id="955" w:name="ver_30072841"/>
      <w:bookmarkEnd w:id="952"/>
      <w:bookmarkEnd w:id="953"/>
      <w:bookmarkEnd w:id="954"/>
      <w:bookmarkEnd w:id="955"/>
      <w:r w:rsidRPr="231E957E">
        <w:rPr>
          <w:rFonts w:ascii="Arial" w:eastAsia="Times New Roman" w:hAnsi="Arial" w:cs="Arial"/>
          <w:b/>
          <w:color w:val="000000" w:themeColor="text1"/>
          <w:lang w:eastAsia="es-CO"/>
        </w:rPr>
        <w:t>SUBSECCIÓN 3</w:t>
      </w:r>
    </w:p>
    <w:p w14:paraId="326394E4"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DISPOSICIONES COMUNES PARA EL CUMPLIMIENTO DE LOS PORCENTAJES DE SUELO EN TRATAMIENTOS DE DESARROLLO Y RENOVACIÓN URBANA</w:t>
      </w:r>
    </w:p>
    <w:p w14:paraId="3153BF14"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956" w:name="ver_30210179"/>
      <w:bookmarkStart w:id="957" w:name="ver_30072843"/>
      <w:bookmarkStart w:id="958" w:name="ver_30180733"/>
      <w:bookmarkEnd w:id="956"/>
    </w:p>
    <w:p w14:paraId="74D62A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2.2.2.1.5.3.1 Cumplimiento del porcentaje mínimo de suelo. Para el cumplimiento de la obligación establecida en la presente Sección, el propietario y/o urbanizador podrá optar por una de las siguientes alternativas:  </w:t>
      </w:r>
    </w:p>
    <w:p w14:paraId="597C5D2D"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57236821" w14:textId="7E7494C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el mismo proyecto.  </w:t>
      </w:r>
    </w:p>
    <w:p w14:paraId="4F1ECAF9"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045EA511" w14:textId="130F5A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Mediante el traslado a otros proyectos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urbanizador, localizados en cualquier parte del suelo urbano o de expansión urbana del municipio o distrito.  </w:t>
      </w:r>
    </w:p>
    <w:p w14:paraId="7EED5080" w14:textId="77777777" w:rsidR="00683694" w:rsidRPr="009342F9" w:rsidRDefault="00683694" w:rsidP="00FC79C1">
      <w:pPr>
        <w:spacing w:after="0" w:line="240" w:lineRule="auto"/>
        <w:jc w:val="both"/>
        <w:rPr>
          <w:rFonts w:ascii="Arial" w:eastAsia="Times New Roman" w:hAnsi="Arial" w:cs="Arial"/>
          <w:color w:val="000000"/>
          <w:lang w:eastAsia="es-CO"/>
        </w:rPr>
      </w:pPr>
    </w:p>
    <w:p w14:paraId="3DEF1FF1" w14:textId="6B5D8CB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Mediante la compensación en proyectos que adelanten las entidades públicas que desarrollen programas y proyectos VIS o VIP, a través de los bancos inmobiliarios, patrimonios autónomos o fondos que creen los municipios y distritos para el efecto.  </w:t>
      </w:r>
    </w:p>
    <w:p w14:paraId="6E6B1240" w14:textId="3E5582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59" w:name="ver_30072846"/>
      <w:bookmarkEnd w:id="957"/>
      <w:bookmarkEnd w:id="958"/>
      <w:bookmarkEnd w:id="959"/>
    </w:p>
    <w:p w14:paraId="1CA818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2.2.2.1.5.3.2 Cumplimiento de la obligación en el mismo proyecto. Cuando la exigencia de destinar suelo para VIS o VIP se cumpla al interior del mismo proyecto, la localización y delimitación de las áreas destinadas al cumplimiento de la obligación se hará en los planos que se aprueben con las correspondientes licencias de urbanización. </w:t>
      </w:r>
    </w:p>
    <w:p w14:paraId="77C220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5A3B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su vez, los planes parciales correspondientes determinarán la forma de definir las localizaciones de los terrenos tendientes al cumplimiento del porcentaje expresado, así como las diferentes alternativas para su cumplimiento. </w:t>
      </w:r>
    </w:p>
    <w:p w14:paraId="39BB3A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CEED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localización de estas áreas también deberá señalarse en la incorporación del proyecto urbanístico a la cartografía oficial del municipio o distrito. </w:t>
      </w:r>
    </w:p>
    <w:p w14:paraId="4372B7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EA44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Para efectos del control de los compromisos establecidos en el presente artículo, cuando los curadores urbanos expidan licencias de urbanización sobre predios sujetos a la obligación de que trata esta Sección, informarán de esta circunstancia a la oficina de planeación y a los demás curadores urbanos del municipio o distrito. Para el efecto, sin perjuicio de lo previsto en el Decreto número 2150 de 1995 y en el presente decreto, de los primeros diez (10) días calendario de cada mes, se enviará copia de las licencias de urbanización expedidas o, </w:t>
      </w: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el correspondiente curador tenga página web, se hará la publicación de las mismas la cual deberá estar disponible de manera permanente para verificar lo previsto en este parágrafo. </w:t>
      </w:r>
    </w:p>
    <w:p w14:paraId="6E7340F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60" w:name="ver_30072849"/>
      <w:bookmarkEnd w:id="960"/>
    </w:p>
    <w:p w14:paraId="568FD9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2.2.2.1.5.3.3 Cumplimiento de la obligación mediante el traslado a otro proyecto. La obligación de destinar suelo para se podrá trasladar a cualquier otra zona urbana o de expansión urbana del municipio o distrito, en terrenos sometidos a tratamiento de desarrollo o de renovación urbana en la modalidad de redesarrollo. </w:t>
      </w:r>
    </w:p>
    <w:p w14:paraId="679EF0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8EAD6F"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El área a destinar</w:t>
      </w:r>
      <w:proofErr w:type="gramEnd"/>
      <w:r w:rsidRPr="009342F9">
        <w:rPr>
          <w:rFonts w:ascii="Arial" w:eastAsia="Times New Roman" w:hAnsi="Arial" w:cs="Arial"/>
          <w:color w:val="000000"/>
          <w:lang w:eastAsia="es-CO"/>
        </w:rPr>
        <w:t xml:space="preserve"> en el predio donde se origina la obligación será objeto de conversión aplicando la relación que arroje la comparación de los avalúos catastrales del predio en que se debe cumplir originalmente con la obligación y de aquel a donde se trasladará su cumplimiento. Para este efecto, se aplicará la siguiente fórmula: </w:t>
      </w:r>
    </w:p>
    <w:p w14:paraId="17A071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344C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A2=A1x (V1/V2)  </w:t>
      </w:r>
    </w:p>
    <w:p w14:paraId="4E729B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BCC2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Donde: </w:t>
      </w:r>
    </w:p>
    <w:p w14:paraId="6D7D77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64C1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A2= Área de VIS o VIP trasladada a otro proyecto. </w:t>
      </w:r>
    </w:p>
    <w:p w14:paraId="1161FD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429D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A1= Área de VIS o VIP a destinar en el proyecto original. </w:t>
      </w:r>
    </w:p>
    <w:p w14:paraId="51A20B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ADE7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V1= Valor catastral del metro cuadrado de suelo donde se ubica el proyecto original. </w:t>
      </w:r>
    </w:p>
    <w:p w14:paraId="3AA9B2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2EA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V2= Valor catastral del metro cuadrado de suelo a donde se traslada la obligación. </w:t>
      </w:r>
    </w:p>
    <w:p w14:paraId="67CCC6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DEFF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Se entiende por valor catastral del metro cuadrado de suelo el resultante de dividir el valor total del predio por su área. </w:t>
      </w:r>
    </w:p>
    <w:p w14:paraId="46F472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DA8B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efectos de acreditar el cumplimiento de la obligación de que trata este Artículo se deberá presentar como requisito para la expedición de la licencia de urbanización ante el curador urbano o la autoridad municipal o distrital competente, la licencia o licencias de urbanización correspondientes al suelo destinado para VIP en otros proyectos, cuyo titular sea la misma persona sobre quien recae la obligación de acreditar el cumplimiento de los porcentajes de suelo destinados a VIP. </w:t>
      </w:r>
    </w:p>
    <w:p w14:paraId="1D19E0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C8DC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verificar el cumplimiento del requisito de que trata el inciso anterior, el curador urbano o la autoridad municipal o distrital competente al expedir el acta de observaciones al proyecto de urbanización requerirá al interesado para que aporte la licencia o licencias de urbanización correspondientes al suelo destinado para VIS o VIP en otros proyectos dentro del término previsto en el artículo 2.2.6.1.2.2.4 del presente decreto. </w:t>
      </w:r>
    </w:p>
    <w:p w14:paraId="28BBA7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0CCB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3°. Los valores catastrales de que trata la fórmula definida en el presente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podrán ser sustituidos por valores comerciales de referencia, siempre y cuando el municipio o distrito cuente con avalúos de referencia por zonas homogéneas tanto para la zona donde ubica el proyecto original como para aquella donde se ubica el proyecto adonde se debe trasladar la obligación. </w:t>
      </w:r>
    </w:p>
    <w:p w14:paraId="7FF040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F625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se podrá involucrar el valor de la edificabilidad de las áreas sujetas al cumplimiento de la obligación. </w:t>
      </w:r>
    </w:p>
    <w:p w14:paraId="040F1B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9B57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La obligación de que trata este artículo también podrá cumplirse en municipios localizados dentro del área de influencia de ciudades con población urbana superior a 500.000 habitantes, siempre y cuando, previamente los municipios y/o distritos se hayan asociado, celebrado convenios interadministrativos o adoptado cualquier otro mecanismo legal que permita establecer las condiciones recíprocas entre ellos para el cumplimiento y control de esta obligación, de conformidad con lo previsto en el presente decreto. </w:t>
      </w:r>
    </w:p>
    <w:p w14:paraId="0A41BF6B" w14:textId="4FA9492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61" w:name="ver_30072852"/>
      <w:bookmarkEnd w:id="961"/>
    </w:p>
    <w:p w14:paraId="17592F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2.2.2.1.5.3.4 Cumplimiento de la obligación mediante la compensación en proyectos que adelanten las entidades públicas que desarrollen programas y proyectos VIS o VIP, a través de los bancos inmobiliarios, patrimonios autónomos o fondos que creen los municipios y distritos para el efecto. La obligación de destinar suelo para VIP también se podrá hacer efectiva en los programas o proyectos que adelanten las entidades públicas municipales o distritales, mediante la compra de derechos fiduciarios. </w:t>
      </w:r>
    </w:p>
    <w:p w14:paraId="538FAE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2348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estos casos, la estimación del área a destinar a VIS o VIP se calculará aplicando la misma fórmula descrita en el artículo anterior, pero el valor de la compra de los derechos fiduciarios se hará sobre el valor comercial del predio o predios donde se desarrollará el proyecto. </w:t>
      </w:r>
    </w:p>
    <w:p w14:paraId="46A49D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2DA1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verificar el cumplimiento de esta obligación, el curador urbano o la autoridad municipal o distrital competente requerirá al interesado, dentro del mismo término a que se refiere artículo 2.2.6.1.2.2.4 del presente decreto para que aporte la certificación expedida por la sociedad fiduciaria correspondiente en la que conste la compra de derechos fiduciarios de fideicomisos mercantiles constituidos para la ejecución de este tipo de proyectos, conforme lo dispuesto en el inciso final del artículo 36 de la Ley 388 de 1997. </w:t>
      </w:r>
    </w:p>
    <w:p w14:paraId="55A918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264A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No se entenderá cumplida la obligación de que trata esta Sección cuando se haga efectiva a través de la compra de derechos fiduciarios a terceros que, a su vez, los hayan adquirido para acreditar el cumplimiento de su obligación a destinar suelo para VIS </w:t>
      </w:r>
      <w:proofErr w:type="spellStart"/>
      <w:r w:rsidRPr="009342F9">
        <w:rPr>
          <w:rFonts w:ascii="Arial" w:eastAsia="Times New Roman" w:hAnsi="Arial" w:cs="Arial"/>
          <w:color w:val="000000"/>
          <w:lang w:eastAsia="es-CO"/>
        </w:rPr>
        <w:t>oVIP</w:t>
      </w:r>
      <w:proofErr w:type="spellEnd"/>
      <w:r w:rsidRPr="009342F9">
        <w:rPr>
          <w:rFonts w:ascii="Arial" w:eastAsia="Times New Roman" w:hAnsi="Arial" w:cs="Arial"/>
          <w:color w:val="000000"/>
          <w:lang w:eastAsia="es-CO"/>
        </w:rPr>
        <w:t>. </w:t>
      </w:r>
    </w:p>
    <w:p w14:paraId="7EF47E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ADF4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valor de la compra de los derechos fiduciarios se hará sobre el valor comercial del predio o predios donde se desarrollará el proyecto. </w:t>
      </w:r>
    </w:p>
    <w:p w14:paraId="209200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1E77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Sin perjuicio de lo dispuesto en este artículo, los municipios y distritos podrán crear fondos para el desarrollo de programas VIS o VIP, como mecanismos de manejo de cuenta sin personería jurídica, que podrán ser administrados mediante contratos de fiducia mercantil. En todo caso, y con el fin de estimar el monto de la obligación de que trata este artículo, las entidades públicas deberán definir el portafolio de los proyectos VIS o VIP a los cuales se trasladará la obligación de suelo VIS o VIP. </w:t>
      </w:r>
    </w:p>
    <w:p w14:paraId="57E2D9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B85A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Solo se permitirá, de manera excepcional, la compensación en dinero a los fondos de compensación de que tratan, entre otras disposiciones, el artículo 49 de la Ley 388 de 1997 o la norma que lo adicione, modifique o sustituya, como mecanismo para asegurar el reparto equitativo de las cargas y beneficios generados en el ordenamiento urbano, cuando en las normas urbanísticas del componente urbano del plan de ordenamiento contemplen los mecanismos que garanticen que el valor de la compensación al respectivo fondo se pueda materializar en el proyecto original objeto de la obligación de destinar suelo para VIS o VIP o en cualquier otro proyecto del urbanizador responsable del cumplimiento de la obligación. </w:t>
      </w:r>
    </w:p>
    <w:p w14:paraId="1F7141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E66B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estos casos, el monto de la compensación se calculará con fundamento en el valor catastral del predio que podrá ser sustituido por valores comerciales de referencia, siempre y cuando el municipio o distrito cuente con avalúos de referencia por zonas homogéneas para la zona donde ubica el proyecto original. </w:t>
      </w:r>
    </w:p>
    <w:p w14:paraId="60BAB7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18F1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el valor de la compensación podrá involucrar el valor de la edificabilidad de las áreas sujetas al cumplimiento de la obligación. </w:t>
      </w:r>
    </w:p>
    <w:p w14:paraId="35FC6E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39A9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De conformidad con lo previsto en los artículos 70 y siguientes de la Ley 9ª de 1989 y 118 de la Ley 388 de 1997, cuando el municipio o distrito cuente con Banco Inmobiliario, la compensación de suelo para VIS o VIP también podrá efectuarse mediante la compra de suelo, para lo cual la estimación del área a destinar a VIS o VIP se calculará aplicando la misma fórmula descrita en el artículo anterior. </w:t>
      </w:r>
    </w:p>
    <w:p w14:paraId="76FEFBE6" w14:textId="5EA3EB9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62" w:name="ver_30072855"/>
      <w:bookmarkEnd w:id="962"/>
    </w:p>
    <w:p w14:paraId="2F12A8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2.2.2.1.5.3.5 Compra de derechos fiduciarios. Sin perjuicio de lo dispuesto en el artículo 117 de la Ley 1450 de 2011 o la norma que lo adicione, modifique o sustituya, las entidades públicas de que trata este capítulo celebrarán contratos de fiducia mercantil para el desarrollo de programas y proyectos VIS o VIP, a los cuales podrán vincularse quienes deban cumplir con los porcentajes de que trata la presente Sección mediante la adquisición de derechos fiduciarios. </w:t>
      </w:r>
    </w:p>
    <w:p w14:paraId="79CDAF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D7DA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fin de estimar el monto de la obligación de que trata este artículo, las entidades públicas deberán definir el portafolio de los proyectos VIS o VIP en los cuales se pueden comprar derechos fiduciarios y su valor comercial. </w:t>
      </w:r>
    </w:p>
    <w:p w14:paraId="0DF4BB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C96469"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no esté definido el portafolio de los proyectos VIS o VIP, la compra de derechos fiduciarios se podrá hacer utilizando alguna de las siguientes formas: </w:t>
      </w:r>
    </w:p>
    <w:p w14:paraId="491DB3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8AD7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Sobre predios que se pretendan adquirir, para lo cual la entidad pública deberá celebrar previamente las respectivas promesas de compraventa o los contratos para la adquisición del inmueble o inmuebles, o </w:t>
      </w:r>
    </w:p>
    <w:p w14:paraId="507DB6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C147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Mediante la adhesión a un patrimonio autónomo cuyo objeto sea la adquisición de suelo para destinarlo al cumplimiento de la obligación de VIS o VIP prevista en este Capítulo. En este caso, la entidad pública correspondiente deberá definir un valor comercial promedio de compra de este tipo de suelo en el municipio o distrito y la forma de calcular la participación de cada uno de los constituyentes, adherentes o beneficiarios del fideicomiso. </w:t>
      </w:r>
    </w:p>
    <w:p w14:paraId="536280CC" w14:textId="45D5B49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63" w:name="ver_30072859"/>
      <w:bookmarkEnd w:id="963"/>
    </w:p>
    <w:p w14:paraId="04F3E5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2.2.2.1.5.3.6 Con el fin de asegurar que los porcentajes de suelo sobre área útil sean destinados a este tipo de vivienda, cuando el suelo destinado para el desarrollo de proyectos VIS o VIP se encuentre en el mismo proyecto, deberá quedar expresamente señalado y determinado en la Escritura Pública de constitución de la urbanización, la cual deberá inscribirse en el folio de matrícula inmobiliaria de cada uno de los inmuebles. Si el suelo destinado para el desarrollo de proyectos VIS o VIP se localiza en otra zona de la ciudad, esta situación deberá inscribirse en el folio de matrícula inmobiliaria de cada uno de los inmuebles. </w:t>
      </w:r>
    </w:p>
    <w:p w14:paraId="7A770CF5" w14:textId="706F63A9" w:rsidR="00FC79C1" w:rsidRPr="009342F9" w:rsidRDefault="00FC79C1" w:rsidP="008220FB">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390E1C" w14:textId="677E1093" w:rsidR="00FC79C1" w:rsidRPr="009342F9" w:rsidRDefault="00FC79C1" w:rsidP="00683694">
      <w:pPr>
        <w:spacing w:after="0" w:line="240" w:lineRule="auto"/>
        <w:jc w:val="center"/>
        <w:rPr>
          <w:rFonts w:ascii="Arial" w:eastAsia="Times New Roman" w:hAnsi="Arial" w:cs="Arial"/>
          <w:b/>
          <w:bCs/>
          <w:color w:val="000000"/>
          <w:lang w:eastAsia="es-CO"/>
        </w:rPr>
      </w:pPr>
      <w:bookmarkStart w:id="964" w:name="ver_30072862"/>
      <w:bookmarkEnd w:id="964"/>
      <w:r w:rsidRPr="009342F9">
        <w:rPr>
          <w:rFonts w:ascii="Arial" w:eastAsia="Times New Roman" w:hAnsi="Arial" w:cs="Arial"/>
          <w:b/>
          <w:bCs/>
          <w:color w:val="000000"/>
          <w:lang w:eastAsia="es-CO"/>
        </w:rPr>
        <w:t>SUBSECCIÓN 4</w:t>
      </w:r>
    </w:p>
    <w:p w14:paraId="5BDF32CB"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1CAC81C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65" w:name="ver_30072866"/>
      <w:bookmarkEnd w:id="965"/>
    </w:p>
    <w:p w14:paraId="20FC1F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2.2.2.1.5.4.1 Adecuación de las normas urbanísticas. Para hacer exigibles los porcentajes de suelo para VIS o VIP, y sin perjuicio de lo previsto en el parágrafo del artículo 46 de la Ley 1537 de 2012, los municipios y distritos en la revisión de sus planes de ordenamiento ajustarán sus planes de ordenamiento territorial a lo señalado en este Capítulo. De la misma manera se deberá proceder al adoptarse nuevos planes de ordenamiento territorial. </w:t>
      </w:r>
    </w:p>
    <w:p w14:paraId="026D30D4" w14:textId="7F19BF5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66" w:name="ver_30072869"/>
      <w:bookmarkEnd w:id="966"/>
    </w:p>
    <w:p w14:paraId="31F6ED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2.2.2.1.5.4.2 Licencias de urbanización por etapas. En los proyectos de urbanización por etapas se deberá garantizar para cada una de ellas el cumplimiento autónomo de los porcentajes de VIS o VIP según el tratamiento a que esté sometido el respectivo predio. </w:t>
      </w: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el cumplimiento del porcentaje de VIS o VIP se proponga en una sola etapa y cubra las exigencias de las demás, dicho suelo deberá hacer parte de la licencia de urbanización de la primera etapa. </w:t>
      </w:r>
    </w:p>
    <w:p w14:paraId="0D6A1AEF" w14:textId="460520E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67" w:name="ver_30072871"/>
      <w:bookmarkEnd w:id="967"/>
    </w:p>
    <w:p w14:paraId="3A97F4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2.2.2.1.5.4.3 Licencias de construcción. La exigencia del cumplimiento de suelo para VIS y/o VIP no será exigible en trámites de licencias de construcción en ninguna de sus modalidades. </w:t>
      </w:r>
    </w:p>
    <w:p w14:paraId="15AA8F88" w14:textId="591C59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68" w:name="ver_30072872"/>
      <w:bookmarkEnd w:id="968"/>
    </w:p>
    <w:p w14:paraId="4B5119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2.2.2.1.5.4.4 Régimen de transición. Las disposiciones contenidas en la presente Sección se aplicarán teniendo en cuenta el siguiente régimen de transición: </w:t>
      </w:r>
    </w:p>
    <w:p w14:paraId="01573B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A073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porcentajes de suelo de que trata la Subsección 2 de la presente sección únicamente se aplicarán a las nuevas solicitudes de planes parciales o de licencias de urbanización radicadas en legal y debida forma a partir del 23 de enero de 2013. </w:t>
      </w:r>
    </w:p>
    <w:p w14:paraId="486FD3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10C8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Los porcentajes de suelo de que trata la Subsección 3 de la presente sección únicamente se aplicarán a las nuevas solicitudes de planes parciales radicadas a partir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modificación o ajuste del respectivo plan de ordenamiento territorial, o de la adopción de uno nuevo. </w:t>
      </w:r>
    </w:p>
    <w:p w14:paraId="6FF7EB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24E0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proyectos de planes parciales que hubieren sido radicados antes de la publicación del 23 de enero de 2013, continuarán su trámite de adopción de acuerdo con las disposiciones vigentes al momento de su radicación. </w:t>
      </w:r>
    </w:p>
    <w:p w14:paraId="42C5E3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C1CE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exigencia de los porcentajes de suelo para VIS o VIP en planes parciales sometidos a tratamientos de desarrollo o renovación urbana en la modalidad de redesarrollo que se encontrarán vigentes el 23 de enero de 2013 o, en su caso, de la modificación de los planes de ordenamiento, se someterá a lo previsto en el parágrafo 3 del artículo 180 del Decreto-ley 019 de 2012 o la norma que lo adicione, modifique o sustituya. </w:t>
      </w:r>
    </w:p>
    <w:p w14:paraId="720E5F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858B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consecuencia, el trámite de las licencias de urbanización mediante las cuales se ejecute el respectivo plan parcial se someterá a las normas urbanísticas adoptadas con el plan parcial respectivo, salvo que los propietarios de los predios se acojan, por escrito a la nueva reglamentación. </w:t>
      </w:r>
    </w:p>
    <w:p w14:paraId="1A43EE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2E27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De conformidad con lo dispuesto en el inciso tercero del artículo 2.2.6.1.2.4.2 del presente decreto, en el caso de las urbanizaciones por etapas, los proyectos urbanísticos generales aprobados mediante acto administrativo antes de la entrada en vigencia del presente decreto mantendrán su vigencia y servirán de fundamento para la expedición de las licencias de urbanización de las demás etapas, siempre que la licencia de urbanización para la nueva etapa se solicite como mínimo treinta (30) días calendario antes del vencimiento de la licencia de la etapa anterior. </w:t>
      </w:r>
    </w:p>
    <w:p w14:paraId="74A8E7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BDC6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modificaciones del proyecto urbanístico general, en tanto esté vigente, se resolverán con fundamento en las normas urbanísticas y reglamentaciones con base en las cuales fue aprobado, salvo que sus titulares se acojan por escrito a la nueva reglamentación. </w:t>
      </w:r>
    </w:p>
    <w:p w14:paraId="21811D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673E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De conformidad con lo previsto en el artículo 182 del Decreto-ley 019 de 2012, las modificaciones de licencias urbanísticas vigente se resolverán con fundamento en las normas urbanísticas y demás reglamentaciones que sirvieron de base para su expedición, por lo </w:t>
      </w:r>
      <w:proofErr w:type="gramStart"/>
      <w:r w:rsidRPr="009342F9">
        <w:rPr>
          <w:rFonts w:ascii="Arial" w:eastAsia="Times New Roman" w:hAnsi="Arial" w:cs="Arial"/>
          <w:color w:val="000000"/>
          <w:lang w:eastAsia="es-CO"/>
        </w:rPr>
        <w:t>tanto</w:t>
      </w:r>
      <w:proofErr w:type="gramEnd"/>
      <w:r w:rsidRPr="009342F9">
        <w:rPr>
          <w:rFonts w:ascii="Arial" w:eastAsia="Times New Roman" w:hAnsi="Arial" w:cs="Arial"/>
          <w:color w:val="000000"/>
          <w:lang w:eastAsia="es-CO"/>
        </w:rPr>
        <w:t xml:space="preserve"> no podrán hacerse exigibles obligaciones distintas a las contempladas en dichas normas. </w:t>
      </w:r>
    </w:p>
    <w:p w14:paraId="20DAA5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1167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 Hasta tanto los municipios y distritos implementen el mecanismo de compra de derechos fiduciarios de que trata el presente decreto, los interesados que deseen acogerse a los </w:t>
      </w:r>
      <w:proofErr w:type="gramStart"/>
      <w:r w:rsidRPr="009342F9">
        <w:rPr>
          <w:rFonts w:ascii="Arial" w:eastAsia="Times New Roman" w:hAnsi="Arial" w:cs="Arial"/>
          <w:color w:val="000000"/>
          <w:lang w:eastAsia="es-CO"/>
        </w:rPr>
        <w:t>mismos,</w:t>
      </w:r>
      <w:proofErr w:type="gramEnd"/>
      <w:r w:rsidRPr="009342F9">
        <w:rPr>
          <w:rFonts w:ascii="Arial" w:eastAsia="Times New Roman" w:hAnsi="Arial" w:cs="Arial"/>
          <w:color w:val="000000"/>
          <w:lang w:eastAsia="es-CO"/>
        </w:rPr>
        <w:t xml:space="preserve"> deberán suscribir un compromiso con la entidad pública que desarrolle programas y proyectos VIS o VIP mediante el cual se garantice el cumplimiento de dicha obligación. Las entidades respectivas establecerán las garantías para celebrar este tipo de compromiso, los cuales serán requisito para la expedición de las licencias. </w:t>
      </w:r>
    </w:p>
    <w:p w14:paraId="59CA30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A9CC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Sin perjuicio de lo previsto en el numeral 7 de este artículo, y con el fin de evitar traumatismos en el trámite de las licencias de urbanización, mientras los municipios y distritos implementan el mecanismo de compra de derechos fiduciarios de que trata el presente decreto, también se permitirá, de manera transitoria, que el cumplimiento de la obligación de destinar suelos para VIP en predios sujetos al tratamiento de desarrollo, se efectúe mediante la compra de derechos fiduciarios en proyectos de terceros. </w:t>
      </w:r>
    </w:p>
    <w:p w14:paraId="590825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8971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estos casos, el cumplimiento de la obligación solo podrá llevarse a cabo en las áreas útiles destinadas a vivienda que superen el porcentaje mínimo de suelo a destinar a VIP en el predio receptor, según lo que se establece en este decreto. Para el trámite de licencias de urbanización, el curador urbano o la </w:t>
      </w:r>
      <w:proofErr w:type="gramStart"/>
      <w:r w:rsidRPr="009342F9">
        <w:rPr>
          <w:rFonts w:ascii="Arial" w:eastAsia="Times New Roman" w:hAnsi="Arial" w:cs="Arial"/>
          <w:color w:val="000000"/>
          <w:lang w:eastAsia="es-CO"/>
        </w:rPr>
        <w:t>autoridad pública</w:t>
      </w:r>
      <w:proofErr w:type="gramEnd"/>
      <w:r w:rsidRPr="009342F9">
        <w:rPr>
          <w:rFonts w:ascii="Arial" w:eastAsia="Times New Roman" w:hAnsi="Arial" w:cs="Arial"/>
          <w:color w:val="000000"/>
          <w:lang w:eastAsia="es-CO"/>
        </w:rPr>
        <w:t xml:space="preserve"> competente para expedir licencias, deberá verificar la compra de derechos fiduciarios y el registro en el folio de matrícula inmobiliaria del predio receptor de los suelos afectados a este tipo de vivienda, dentro del término previsto en el artículo 2.2.6.1.2.2.4 del presente decreto. </w:t>
      </w:r>
    </w:p>
    <w:p w14:paraId="3BD5E0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09C4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 se entenderá cumplida la obligación de que trata este parágrafo cuando se haga efectiva a través de la compra de derechos fiduciarios a terceros que, a su vez, los hayan adquirido para acreditar el cumplimiento de su obligación a destinar suelo para VIP. </w:t>
      </w:r>
    </w:p>
    <w:p w14:paraId="6CB70D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8D88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los municipios y distritos implementen el mecanismo de compra de derechos fiduciarios de que trata el presente decreto, no se permitirá la compra de derechos fiduciarios a terceros para acreditar el cumplimiento de la obligación. </w:t>
      </w:r>
    </w:p>
    <w:p w14:paraId="253358C1" w14:textId="7E3C7FC4" w:rsidR="00683694"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69" w:name="ver_30072874"/>
      <w:bookmarkEnd w:id="969"/>
    </w:p>
    <w:p w14:paraId="7CD2A9AE" w14:textId="717EB6AF"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38C468C1"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ORDENAMIENTO TERRITORIAL DEL SUELO RURAL</w:t>
      </w:r>
    </w:p>
    <w:p w14:paraId="1E85BAAE" w14:textId="77777777" w:rsidR="00B86CD1" w:rsidRDefault="00B86CD1" w:rsidP="00683694">
      <w:pPr>
        <w:spacing w:after="0" w:line="240" w:lineRule="auto"/>
        <w:jc w:val="center"/>
        <w:rPr>
          <w:rFonts w:ascii="Arial" w:eastAsia="Times New Roman" w:hAnsi="Arial" w:cs="Arial"/>
          <w:b/>
          <w:bCs/>
          <w:color w:val="000000"/>
          <w:lang w:eastAsia="es-CO"/>
        </w:rPr>
      </w:pPr>
    </w:p>
    <w:p w14:paraId="61F3875B" w14:textId="6A4ECD0A"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569CA6B1"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ORDENAMIENTO DEL SUELO RURAL</w:t>
      </w:r>
    </w:p>
    <w:p w14:paraId="52B3BF1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70" w:name="ver_30072876"/>
      <w:bookmarkEnd w:id="970"/>
    </w:p>
    <w:p w14:paraId="54B60F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2.2.2.2.1.1 Con el fin de garantizar el desarrollo sostenible del suelo rural, en los procesos de formulación, revisión y/o modificación de los planes de ordenamiento territorial, los municipios y distritos deberán dar cumplimiento a las determinantes que se desarrollan en el presente Capítulo, las cuales constituyen normas de superior jerarquía en los términos del artículo 10 de la Ley 388 de 1997. </w:t>
      </w:r>
    </w:p>
    <w:p w14:paraId="0094177C" w14:textId="5BECEE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71" w:name="ver_30072879"/>
      <w:bookmarkEnd w:id="971"/>
    </w:p>
    <w:p w14:paraId="4C55AD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2.2.2.2.1.2 Categorías del suelo rural. Para efectos de lo dispuesto en los artículos 14, 16.3 y 17 de la Ley 388 de 1997, en el componente rural del plan de ordenamiento y en su cartografía se deberán determinar y delimitar cada una de las categorías de protección y de desarrollo restringido a que se refieren los artículos siguientes, con la definición de los lineamientos de ordenamiento y la asignación de usos principales, compatibles, condicionados y prohibidos correspondientes. </w:t>
      </w:r>
    </w:p>
    <w:p w14:paraId="7984A3C9" w14:textId="3C64C59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72" w:name="ver_30072881"/>
      <w:bookmarkEnd w:id="972"/>
    </w:p>
    <w:p w14:paraId="708C60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2.2.2.2.1.3 Categorías de protección en suelo rural. Las categorías del suelo rural que se determinan en este artículo constituyen suelo de protección en los términos del artículo 35 de la Ley 388 de 1997 y son normas urbanísticas de carácter estructural de conformidad con lo establecido en el artículo 15 de la misma ley: </w:t>
      </w:r>
    </w:p>
    <w:p w14:paraId="5458A9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5AEB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Áreas de conservación y protección ambiental. Incluye las áreas que deben ser objeto de especial protección ambiental de acuerdo con la legislación vigente y las que hacen parte de la estructura ecológica principal, para lo cual en el componente rural del plan de ordenamiento se deben señalar las medidas para garantizar su conservación y protección. Dentro de esta categoría, se incluyen las establecidas por la legislación vigente, tales como: </w:t>
      </w:r>
    </w:p>
    <w:p w14:paraId="031071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E83F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Las áreas del sistema nacional de áreas protegidas. </w:t>
      </w:r>
    </w:p>
    <w:p w14:paraId="70D2EB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918C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Las áreas de reserva forestal. </w:t>
      </w:r>
    </w:p>
    <w:p w14:paraId="78D543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861B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Las áreas de manejo especial. </w:t>
      </w:r>
    </w:p>
    <w:p w14:paraId="3BCC95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8BD8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Las áreas de especial importancia ecosistémica, tales como páramos y subpáramos, nacimientos de agua, zonas de recarga de acuíferos, rondas hidráulicas de los cuerpos de agua, humedales, pantanos, lagos, lagunas, ciénagas, manglares y reservas de flora y fauna. </w:t>
      </w:r>
    </w:p>
    <w:p w14:paraId="39F2D3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B087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Áreas para la producción agrícola y ganadera y de explotación de recursos naturales. Incluye los terrenos que deban ser mantenidos y preservados por su destinación a usos agrícolas, ganaderos, forestales o de explotación de recursos naturales. De conformidad con lo dispuesto en el parágrafo del artículo 2.2.6.2.2 del presente decreto, en estos terrenos no podrán autorizarse actuaciones urbanísticas de subdivisión, parcelación o edificación de inmuebles que impliquen la alteración o transformación de su uso actual. Dentro de esta categoría se incluirán, entre otros, y de conformidad con lo previsto en el artículo 54 del Decreto-ley 1333 de 1986, los suelos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según la clasificación del Instituto Geográfico Agustín Codazzi, IGAC, pertenezcan a las clases I, II y III, y aquellos correspondientes a otras clases agrológicas, que sean necesarias para la conservación de los recursos de aguas, control de procesos erosivos y zonas de protección forestal. </w:t>
      </w:r>
    </w:p>
    <w:p w14:paraId="165643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6FF2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Áreas e inmuebles considerados como patrimonio cultural. Incluye, entre otros, los sitios históricos y arqueológicos y las construcciones o restos de ellas que hayan sido </w:t>
      </w:r>
      <w:proofErr w:type="gramStart"/>
      <w:r w:rsidRPr="009342F9">
        <w:rPr>
          <w:rFonts w:ascii="Arial" w:eastAsia="Times New Roman" w:hAnsi="Arial" w:cs="Arial"/>
          <w:color w:val="000000"/>
          <w:lang w:eastAsia="es-CO"/>
        </w:rPr>
        <w:t>declarados como</w:t>
      </w:r>
      <w:proofErr w:type="gramEnd"/>
      <w:r w:rsidRPr="009342F9">
        <w:rPr>
          <w:rFonts w:ascii="Arial" w:eastAsia="Times New Roman" w:hAnsi="Arial" w:cs="Arial"/>
          <w:color w:val="000000"/>
          <w:lang w:eastAsia="es-CO"/>
        </w:rPr>
        <w:t xml:space="preserve"> bienes de interés cultural en los términos de la Ley 397 de 1997 y las normas que la adicionen, modifiquen o sustituyan. </w:t>
      </w:r>
    </w:p>
    <w:p w14:paraId="0FB36B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2E1B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Áreas del sistema de servicios públicos domiciliarios. Dentro de esta categoría se localizarán las zonas de utilidad pública para la ubicación de infraestructuras primarias para la provisión de servicios públicos domiciliarios, con la definición de las directrices de ordenamiento para sus áreas de influencia. </w:t>
      </w:r>
    </w:p>
    <w:p w14:paraId="10E7BF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B1C4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Deberán señalarse las áreas para la realización de actividades referidas al manejo, tratamiento y/o disposición final de residuos sólidos o líquidos, tales como rellenos sanitarios, estaciones de transferencia, plantas incineradoras de residuos, plantas de tratamiento de aguas residuales, y/o estaciones de bombeo necesarias para resolver los requerimientos propios de uno o varios municipios y que se definan de conformidad con la normativa vigente. </w:t>
      </w:r>
    </w:p>
    <w:p w14:paraId="2FBA8C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A14E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Áreas de amenaza y riesgo. Incluye las zonas que presentan alto riesgo para la localización de asentamientos humanos por amenazas o riesgos naturales o por condiciones de insalubridad. </w:t>
      </w:r>
    </w:p>
    <w:p w14:paraId="797F3035" w14:textId="57676A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73" w:name="ver_30072883"/>
      <w:bookmarkEnd w:id="973"/>
    </w:p>
    <w:p w14:paraId="1F6958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2.2.2.2.1.4 Categorías de desarrollo restringido en suelo rural. Dentro de estas categorías se podrán incluir los suelos rurales que no hagan parte de alguna de las categorías de protección de que trata el artículo anterior, cuando reúnan condiciones para el desarrollo de núcleos de población rural, para la localización de actividades económicas y para la dotación de equipamientos comunitarios. Dentro de esta categoría, en el componente rural del plan de ordenamiento territorial se podrá incluir la delimitación de las siguientes áreas: </w:t>
      </w:r>
    </w:p>
    <w:p w14:paraId="277966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5E83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suelos suburbanos con la definición de la unidad mínima de actuación y el señalamiento de los índices máximos de ocupación y construcción, los tratamientos y usos principales, compatibles, condicionados y prohibidos. La delimitación de los suelos suburbanos constituye norma urbanística de carácter estructural de conformidad con lo establecido 15 de la Ley 388 de 1997 y se regirá por lo previsto en la Sección 2 del presente Capítulo. </w:t>
      </w:r>
    </w:p>
    <w:p w14:paraId="7FE7FC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DBFC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centros poblados rurales con la adopción de las previsiones necesarias para orientar la ocupación de sus suelos y la adecuada dotación de infraestructura de servicios básicos y de equipamiento comunitario, de conformidad con lo previsto en la Sección 3 del presente Capítulo. </w:t>
      </w:r>
    </w:p>
    <w:p w14:paraId="6F83FA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3497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identificación y delimitación de las áreas destinadas a vivienda campestre, con la definición de las normas urbanísticas de parcelación, de conformidad con lo previsto en el presente decreto para el efecto. </w:t>
      </w:r>
    </w:p>
    <w:p w14:paraId="3D9623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D907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localización prevista para los equipamientos de salud, educación, bienestar social, cultural y deporte. </w:t>
      </w:r>
    </w:p>
    <w:p w14:paraId="3FEE30B5" w14:textId="0CD34E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74" w:name="ver_30072886"/>
      <w:bookmarkEnd w:id="974"/>
    </w:p>
    <w:p w14:paraId="2FCF6D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2.2.2.2.1.5 Planeamiento intermedio del suelo rural. Para desarrollar y precisar las condiciones de ordenamiento de áreas específicas del suelo rural a escala intermedia, el plan de ordenamiento territorial podrá delimitar para la totalidad del suelo rural las unidades de planificación rural teniendo en cuenta, por lo menos, los siguientes aspectos: </w:t>
      </w:r>
    </w:p>
    <w:p w14:paraId="4399D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F91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división veredal. </w:t>
      </w:r>
    </w:p>
    <w:p w14:paraId="1303C5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AD36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red vial y de asentamientos existentes. </w:t>
      </w:r>
    </w:p>
    <w:p w14:paraId="1A057F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ED89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estructura ecológica principal. </w:t>
      </w:r>
    </w:p>
    <w:p w14:paraId="36B6CE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1B74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disposición de las actividades productivas. </w:t>
      </w:r>
    </w:p>
    <w:p w14:paraId="1E5FF1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B2F9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Las cuencas hidrográficas, cerros y planicies u otros elementos geográficos. </w:t>
      </w:r>
    </w:p>
    <w:p w14:paraId="6082EAE0" w14:textId="291A289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75" w:name="ver_30072889"/>
      <w:bookmarkEnd w:id="975"/>
    </w:p>
    <w:p w14:paraId="197985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2.2.2.2.1.6 Contenido de la unidad de planificación rural. La unidad de planificación rural deberá contener, como mínimo, los siguientes aspectos cuando no hayan sido contemplados directamente en el plan de ordenamiento territorial: </w:t>
      </w:r>
    </w:p>
    <w:p w14:paraId="6608BE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80C0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normas para el manejo y conservación de las áreas que hagan parte de las categorías de protección, de acuerdo con la normativa específica aplicable a cada una de ellas. </w:t>
      </w:r>
    </w:p>
    <w:p w14:paraId="7E6277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99DC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Las normas sobre el uso y manejo de las áreas destinadas a la producción agrícola, ganadera, forestal, de explotación de los recursos naturales, agroindustrial, ecoturística, </w:t>
      </w:r>
      <w:proofErr w:type="spellStart"/>
      <w:r w:rsidRPr="009342F9">
        <w:rPr>
          <w:rFonts w:ascii="Arial" w:eastAsia="Times New Roman" w:hAnsi="Arial" w:cs="Arial"/>
          <w:color w:val="000000"/>
          <w:lang w:eastAsia="es-CO"/>
        </w:rPr>
        <w:t>etnoturística</w:t>
      </w:r>
      <w:proofErr w:type="spellEnd"/>
      <w:r w:rsidRPr="009342F9">
        <w:rPr>
          <w:rFonts w:ascii="Arial" w:eastAsia="Times New Roman" w:hAnsi="Arial" w:cs="Arial"/>
          <w:color w:val="000000"/>
          <w:lang w:eastAsia="es-CO"/>
        </w:rPr>
        <w:t xml:space="preserve"> y demás actividades análogas que sean compatibles con la vocación del suelo rural. </w:t>
      </w:r>
    </w:p>
    <w:p w14:paraId="039B68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FAC8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señalamiento y localización de las infraestructuras básicas relativas a la red vial nacional y regional, puertos y aeropuertos, así como las directrices de ordenamiento para sus áreas de influencia. </w:t>
      </w:r>
    </w:p>
    <w:p w14:paraId="5EEF5B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887D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En áreas pertenecientes al suelo rural suburbano, además de lo dispuesto en la Sección 2 del presente Capítulo, la definición del sistema vial, el sistema de espacios públicos, la determinación de los sistemas de aprovisionamiento de los servicios públicos de agua potable y saneamiento básico, así como de los equipamientos comunitarios. La unidad de planificación también podrá incluir la definición de los distintos tratamientos o potencialidades de utilización del suelo y las normas urbanísticas específicas sobre uso y aprovechamiento del suelo que para el desarrollo de las actuaciones de parcelación y edificación de las unidades mínimas de actuación se hayan definido en el plan de ordenamiento territorial. </w:t>
      </w:r>
    </w:p>
    <w:p w14:paraId="5234F0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FDD0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Las zonas o subzonas beneficiarias de las acciones urbanísticas que constituyen hechos generadores de la participación en la plusvalía, las cuales deberán ser tenidas en cuenta, en conjunto o por separado, para determinar el efecto de la plusvalía, de conformidad con lo dispuesto en el Capítulo IX de la Ley 388 de 1997 y su reglamento. </w:t>
      </w:r>
    </w:p>
    <w:p w14:paraId="4B34B8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A77B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Las normas para impedir la urbanización de las áreas rurales que limiten con suelo urbano o de expansión urbana. </w:t>
      </w:r>
    </w:p>
    <w:p w14:paraId="742752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9975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Los demás contenidos y normas urbanísticas que se requieran para orientar el desarrollo de actuaciones urbanísticas en los suelos pertenecientes a cualquiera de las categorías de desarrollo restringido de que trata el presente decreto, de acuerdo con los parámetros, procedimientos y autorizaciones emanadas de las normas urbanísticas generales consignadas en el componente rural del plan de ordenamiento. </w:t>
      </w:r>
    </w:p>
    <w:p w14:paraId="513DA4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D571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contenidos de las unidades de planificación rural que se establecen en el presente decreto podrán preverse directamente en el contenido rural de los planes de ordenamiento territorial. </w:t>
      </w:r>
    </w:p>
    <w:p w14:paraId="06624C91" w14:textId="6AC5494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76" w:name="ver_30072893"/>
      <w:bookmarkEnd w:id="976"/>
    </w:p>
    <w:p w14:paraId="042014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2.2.2.2.1.7 Adopción de las unidades de planificación rural. Las unidades de planificación rural podrán ser formuladas por las autoridades de planeación municipal o distrital o por la comunidad, y serán adoptadas previa concertación de los asuntos ambientales con la Corporación Autónoma Regional o de Desarrollo Sostenible, mediante decreto del alcalde municipal o distrital. </w:t>
      </w:r>
    </w:p>
    <w:p w14:paraId="6CFEC3B2" w14:textId="515F3AC8" w:rsidR="00683694"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bookmarkStart w:id="977" w:name="ver_30072896"/>
      <w:bookmarkEnd w:id="977"/>
    </w:p>
    <w:p w14:paraId="7C81B35B" w14:textId="29E15D0A"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16CA974F"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SUELO RURAL SUBURBANO</w:t>
      </w:r>
    </w:p>
    <w:p w14:paraId="751B5EE1"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978" w:name="ver_30072899"/>
      <w:bookmarkEnd w:id="978"/>
    </w:p>
    <w:p w14:paraId="3613CB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2.2.2.2.2.1 Ordenamiento básico para el desarrollo sostenible del suelo rural suburbano. Para el ordenamiento del suelo rural suburbano, el distrito o municipio deberá incluir en la adopción, revisión y/o modificación del plan de ordenamiento territorial lo siguiente: </w:t>
      </w:r>
    </w:p>
    <w:p w14:paraId="308177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D3CC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Determinación del umbral máximo de </w:t>
      </w:r>
      <w:proofErr w:type="spellStart"/>
      <w:r w:rsidRPr="009342F9">
        <w:rPr>
          <w:rFonts w:ascii="Arial" w:eastAsia="Times New Roman" w:hAnsi="Arial" w:cs="Arial"/>
          <w:color w:val="000000"/>
          <w:lang w:eastAsia="es-CO"/>
        </w:rPr>
        <w:t>suburbanización</w:t>
      </w:r>
      <w:proofErr w:type="spellEnd"/>
      <w:r w:rsidRPr="009342F9">
        <w:rPr>
          <w:rFonts w:ascii="Arial" w:eastAsia="Times New Roman" w:hAnsi="Arial" w:cs="Arial"/>
          <w:color w:val="000000"/>
          <w:lang w:eastAsia="es-CO"/>
        </w:rPr>
        <w:t xml:space="preserve">. Los municipios y distritos deberán determinar el umbral máximo de </w:t>
      </w:r>
      <w:proofErr w:type="spellStart"/>
      <w:r w:rsidRPr="009342F9">
        <w:rPr>
          <w:rFonts w:ascii="Arial" w:eastAsia="Times New Roman" w:hAnsi="Arial" w:cs="Arial"/>
          <w:color w:val="000000"/>
          <w:lang w:eastAsia="es-CO"/>
        </w:rPr>
        <w:t>suburbanización</w:t>
      </w:r>
      <w:proofErr w:type="spellEnd"/>
      <w:r w:rsidRPr="009342F9">
        <w:rPr>
          <w:rFonts w:ascii="Arial" w:eastAsia="Times New Roman" w:hAnsi="Arial" w:cs="Arial"/>
          <w:color w:val="000000"/>
          <w:lang w:eastAsia="es-CO"/>
        </w:rPr>
        <w:t xml:space="preserve">, teniendo en cuenta el carácter de desarrollo de </w:t>
      </w:r>
      <w:proofErr w:type="gramStart"/>
      <w:r w:rsidRPr="009342F9">
        <w:rPr>
          <w:rFonts w:ascii="Arial" w:eastAsia="Times New Roman" w:hAnsi="Arial" w:cs="Arial"/>
          <w:color w:val="000000"/>
          <w:lang w:eastAsia="es-CO"/>
        </w:rPr>
        <w:t>baja ocupación y baja densidad</w:t>
      </w:r>
      <w:proofErr w:type="gramEnd"/>
      <w:r w:rsidRPr="009342F9">
        <w:rPr>
          <w:rFonts w:ascii="Arial" w:eastAsia="Times New Roman" w:hAnsi="Arial" w:cs="Arial"/>
          <w:color w:val="000000"/>
          <w:lang w:eastAsia="es-CO"/>
        </w:rPr>
        <w:t xml:space="preserve"> del suelo suburbano, las posibilidades de suministro de agua potable y saneamiento básico y las normas de conservación y protección del medio ambiente. </w:t>
      </w:r>
    </w:p>
    <w:p w14:paraId="654D2C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A658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todo caso, en el proceso de formulación, revisión y/o modificación de los planes de ordenamiento territorial, las Corporaciones Autónomas Regionales o de Desarrollo Sostenible, de acuerdo con las características ambientales del territorio, podrán establecer las condiciones para que los municipios adopten un umbral más restrictivo y definirán las densidades máximas a las que se sujetará el desarrollo de los suelos suburbanos. La definición del umbral máximo de </w:t>
      </w:r>
      <w:proofErr w:type="spellStart"/>
      <w:r w:rsidRPr="009342F9">
        <w:rPr>
          <w:rFonts w:ascii="Arial" w:eastAsia="Times New Roman" w:hAnsi="Arial" w:cs="Arial"/>
          <w:color w:val="000000"/>
          <w:lang w:eastAsia="es-CO"/>
        </w:rPr>
        <w:t>suburbanización</w:t>
      </w:r>
      <w:proofErr w:type="spellEnd"/>
      <w:r w:rsidRPr="009342F9">
        <w:rPr>
          <w:rFonts w:ascii="Arial" w:eastAsia="Times New Roman" w:hAnsi="Arial" w:cs="Arial"/>
          <w:color w:val="000000"/>
          <w:lang w:eastAsia="es-CO"/>
        </w:rPr>
        <w:t xml:space="preserve"> constituye norma urbanística de carácter estructural y en ningún caso, salvo en el de la revisión de largo plazo del plan de ordenamiento, será objeto de modificación. </w:t>
      </w:r>
    </w:p>
    <w:p w14:paraId="748AF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D68F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Unidad mínima de actuación. En el componente rural de los planes de ordenamiento se definirá, para los distintos usos permitidos en suelo rural suburbano, la extensión de la unidad mínima de actuación para la ejecución de las obras de parcelación del predio o predios que la conforman, mediante la expedición de una única licencia de parcelación en la que se garantice la ejecución y dotación de las áreas de cesión y de las obras de infraestructura de servicios públicos definidas para la totalidad de los predios incluidos en la unidad por parte de sus propietarios. En ningún caso, la extensión de la unidad mínima de actuación que adopten los municipios podrá ser inferior a dos (2) hectáreas para todos los usos que se desarrollen en suelo rural suburbano. </w:t>
      </w:r>
    </w:p>
    <w:p w14:paraId="4C42C7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E46C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normas del componente rural del plan de ordenamiento o de las unidades de planificación rural, deberán señalar las normas a que se sujetará el desarrollo por parcelación de los predios que no puedan cumplir con la extensión de la unidad mínima de actuación, cuando se encuentren rodeados por otros desarrollos urbanísticos o predios que hayan concluido el proceso de parcelación. </w:t>
      </w:r>
    </w:p>
    <w:p w14:paraId="2E2EC5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4EF4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Definición de usos. Cada uno de los usos permitidos en suelo rural suburbano debe contar con la definición de su escala o intensidad de uso, localización y definición de usos principales, complementarios, compatibles, condicionados y prohibidos, así como las densidades e índices máximos de ocupación y construcción y demás contenidos urbanísticos y ambientales que permitan su desarrollo, respetando la vocación del suelo rural. </w:t>
      </w:r>
    </w:p>
    <w:p w14:paraId="170723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D78A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un determinado uso no esté definido por las reglamentaciones municipales o distritales como principal, complementario, compatible o condicionado, se entenderá que dicho uso está prohibido. </w:t>
      </w:r>
    </w:p>
    <w:p w14:paraId="7DB29B36" w14:textId="52B0B83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F961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Se exceptúa de cumplir con la extensión de la unidad mínima de actuación, únicamente la construcción individual de una sola casa de habitación del propietario, que no forme parte de una parcelación, agrupación de vivienda, condominio, unidad inmobiliaria cerrada o similares sometidas o no al régimen de propiedad horizontal. </w:t>
      </w:r>
    </w:p>
    <w:p w14:paraId="194042AF" w14:textId="0A7521D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79" w:name="ver_30072901"/>
      <w:bookmarkEnd w:id="979"/>
    </w:p>
    <w:p w14:paraId="514AF4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2.2.2.2.2.2 Corredores viales suburbanos. Para efectos de lo dispuesto en el artículo 34 de la Ley 388 de 1997, en los planes de ordenamiento territorial sólo se podrán clasificar como corredores viales suburbanos las áreas paralelas a las vías arteriales o de primer orden y vías intermunicipales o de segundo orden. </w:t>
      </w:r>
    </w:p>
    <w:p w14:paraId="4396F7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B46D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ancho máximo de los corredores viales suburbanos será de 300 metros medidos desde el borde exterior de las fajas mínimas de retiro obligatorio o áreas de exclusión de que tratan los numerales 1 y 2 del artículo 2° de la Ley 1228 de 2008, Y en ellos sólo se permitirá el desarrollo de actividades con restricciones de uso, intensidad y densidad, cumpliendo con lo dispuesto en el presente decreto. </w:t>
      </w:r>
    </w:p>
    <w:p w14:paraId="51D19B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4971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Corresponderá a las Corporaciones Autónomas Regionales o de Desarrollo Sostenible definir la extensión máxima de los corredores viales suburbanos respecto del perímetro urbano. </w:t>
      </w:r>
      <w:proofErr w:type="gramStart"/>
      <w:r w:rsidRPr="009342F9">
        <w:rPr>
          <w:rFonts w:ascii="Arial" w:eastAsia="Times New Roman" w:hAnsi="Arial" w:cs="Arial"/>
          <w:color w:val="000000"/>
          <w:lang w:eastAsia="es-CO"/>
        </w:rPr>
        <w:t>Bajo ninguna circunstancia</w:t>
      </w:r>
      <w:proofErr w:type="gramEnd"/>
      <w:r w:rsidRPr="009342F9">
        <w:rPr>
          <w:rFonts w:ascii="Arial" w:eastAsia="Times New Roman" w:hAnsi="Arial" w:cs="Arial"/>
          <w:color w:val="000000"/>
          <w:lang w:eastAsia="es-CO"/>
        </w:rPr>
        <w:t xml:space="preserve"> podrán los municipios ampliar la extensión de los corredores viales que determine la autoridad ambiental competente. </w:t>
      </w:r>
    </w:p>
    <w:p w14:paraId="2984B6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4B04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No se podrán clasificar como suburbanos los corredores viales correspondientes a las vías veredales o de tercer orden. </w:t>
      </w:r>
    </w:p>
    <w:p w14:paraId="52E3C046" w14:textId="163EF3B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80" w:name="ver_30072904"/>
      <w:bookmarkEnd w:id="980"/>
    </w:p>
    <w:p w14:paraId="06542B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2.2.2.2.2.3 Ordenamiento de los corredores viales suburbanos. Para el ordenamiento de los corredores viales suburbanos, en el plan de ordenamiento o en las unidades de planificación rural se deberá delimitar lo siguiente: </w:t>
      </w:r>
    </w:p>
    <w:p w14:paraId="661B6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5445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Una franja mínima de cinco (5) metros de aislamiento, contados a partir del borde exterior de las fajas mínimas de retiro obligatorio o áreas de exclusión de que tratan los numerales 1 y 2 del artículo 2 de la Ley 1228 de 2008, y </w:t>
      </w:r>
    </w:p>
    <w:p w14:paraId="12F3CF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5CE5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Una calzada de desaceleración para permitir el acceso a los predios resultantes de la parcelación, cuyo ancho mínimo debe ser de ocho (8) metros contados a partir del borde de la franja de aislamiento de que trata el numeral anterior. </w:t>
      </w:r>
    </w:p>
    <w:p w14:paraId="3CD942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D687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accesos y salidas de las calzadas de desaceleración deberán ubicarse como mínimo cada trescientos (300) metros. </w:t>
      </w:r>
    </w:p>
    <w:p w14:paraId="422C1C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40C7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franja de aislamiento y la calzada de desaceleración deben construirse y dotarse bajo los parámetros señalados en el plan de ordenamiento o en la unidad de planificación rural y deberán entregarse como áreas de cesión pública obligatoria. En ningún caso se permitirá el cerramiento de estas áreas y la franja de aislamiento deberá ser empradizada. En los linderos de la franja de aislamiento con las áreas de exclusión, los propietarios deberán construir setos con arbustos o árboles vivos, que no impidan, dificulten u obstaculicen la visibilidad de los conductores en las curvas de las carreteras, en los términos de que trata el artículo 5 de la Ley 1228 de 2008. </w:t>
      </w:r>
    </w:p>
    <w:p w14:paraId="1D3EEA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BDE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efectos de la expedición de licencias urbanísticas, en los planos topográficos o de localización de los predios se deberán demarcar la franja de aislamiento y la calzada de desaceleración de que trata este decreto. </w:t>
      </w:r>
    </w:p>
    <w:p w14:paraId="4A91988D" w14:textId="0D2B401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81" w:name="ver_30072906"/>
      <w:bookmarkEnd w:id="981"/>
    </w:p>
    <w:p w14:paraId="4E9628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2.2.2.2.2.4 Normas aplicables para el desarrollo de usos comerciales y de servicios. El otorgamiento de licencias de parcelación y construcción para el desarrollo de proyectos comerciales y de servicios con un área de construcción superior a los cinco mil metros cuadrados (5.000 m2) en suelo rural suburbano, sólo se permitirá en las áreas de actividad que para estos usos hayan sido específicamente delimitadas cartográficamente en el plan de ordenamiento territorial o en las unidades de planificación rural. </w:t>
      </w:r>
    </w:p>
    <w:p w14:paraId="71A510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705F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plan de ordenamiento territorial o en la unidad de planificación rural se deberán adoptar las normas que definan, por lo menos, la altura máxima y las normas volumétricas a las que debe sujetarse el desarrollo de estos usos, de forma tal que se proteja el paisaje rural. </w:t>
      </w:r>
    </w:p>
    <w:p w14:paraId="460D7F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CE35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índices de ocupación no podrán superar el treinta por ciento (30%) del área del predio y el resto se destinará, en forma prioritaria, a la conservación o recuperación de la vegetación nativa. Las normas urbanísticas también señalarán los aislamientos laterales y posteriores que deben dejar las edificaciones contra los predios vecinos a nivel del terreno, y las regulaciones para impedir que la agrupación de proyectos comerciales y de servicios, con áreas de construcción inferior a los 5.000 m2, contravenga lo dispuesto en el presente artículo. </w:t>
      </w:r>
    </w:p>
    <w:p w14:paraId="17EF53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67BF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áreas para maniobras de vehículos y las cuotas de estacionamientos deberán construirse al interior del predio. </w:t>
      </w:r>
    </w:p>
    <w:p w14:paraId="4E31ED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78C4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se permitirá el desarrollo de estos usos en predios adyacentes a las intersecciones viales ni en suelo rural no suburbano. </w:t>
      </w:r>
    </w:p>
    <w:p w14:paraId="700F4A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981E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servicios ecoturísticos, </w:t>
      </w:r>
      <w:proofErr w:type="spellStart"/>
      <w:r w:rsidRPr="009342F9">
        <w:rPr>
          <w:rFonts w:ascii="Arial" w:eastAsia="Times New Roman" w:hAnsi="Arial" w:cs="Arial"/>
          <w:color w:val="000000"/>
          <w:lang w:eastAsia="es-CO"/>
        </w:rPr>
        <w:t>etnoturísticos</w:t>
      </w:r>
      <w:proofErr w:type="spellEnd"/>
      <w:r w:rsidRPr="009342F9">
        <w:rPr>
          <w:rFonts w:ascii="Arial" w:eastAsia="Times New Roman" w:hAnsi="Arial" w:cs="Arial"/>
          <w:color w:val="000000"/>
          <w:lang w:eastAsia="es-CO"/>
        </w:rPr>
        <w:t xml:space="preserve">, agroturísticos y </w:t>
      </w:r>
      <w:proofErr w:type="spellStart"/>
      <w:r w:rsidRPr="009342F9">
        <w:rPr>
          <w:rFonts w:ascii="Arial" w:eastAsia="Times New Roman" w:hAnsi="Arial" w:cs="Arial"/>
          <w:color w:val="000000"/>
          <w:lang w:eastAsia="es-CO"/>
        </w:rPr>
        <w:t>acuaturísticos</w:t>
      </w:r>
      <w:proofErr w:type="spellEnd"/>
      <w:r w:rsidRPr="009342F9">
        <w:rPr>
          <w:rFonts w:ascii="Arial" w:eastAsia="Times New Roman" w:hAnsi="Arial" w:cs="Arial"/>
          <w:color w:val="000000"/>
          <w:lang w:eastAsia="es-CO"/>
        </w:rPr>
        <w:t xml:space="preserve"> podrán desarrollarse en cualquier parte del suelo rural, de acuerdo con las normas sobre usos y tratamientos adoptadas en el plan de ordenamiento territorial o en la unidad de planificación rural. </w:t>
      </w:r>
    </w:p>
    <w:p w14:paraId="568D6896" w14:textId="19F07CD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82" w:name="ver_30072910"/>
      <w:bookmarkEnd w:id="982"/>
    </w:p>
    <w:p w14:paraId="09F21F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2.2.2.2.2.5 Normas para los usos industriales. El otorgamiento de licencias para el desarrollo de usos industriales en suelo rural suburbano sólo se permitirá en las áreas de actividad que para estos usos hayan sido específicamente delimitadas en el plan de ordenamiento territorial o en las unidades de planificación rural y sólo se autorizará bajo alguna de las siguientes modalidades: </w:t>
      </w:r>
    </w:p>
    <w:p w14:paraId="28A5D5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FCAE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unidad mínima de actuación para usos industriales. </w:t>
      </w:r>
    </w:p>
    <w:p w14:paraId="04B969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0472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parques, agrupaciones o conjuntos industriales. </w:t>
      </w:r>
    </w:p>
    <w:p w14:paraId="1BBA6396" w14:textId="49EED8C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83" w:name="ver_30072914"/>
      <w:bookmarkEnd w:id="983"/>
    </w:p>
    <w:p w14:paraId="588B27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2.2.2.2.2.6 Condiciones básicas para la localización de usos industriales en suelo rural suburbano. A partir del 20 de septiembre de 2007, el plan de ordenamiento territorial o las unidades de planificación rural deberán contemplar, como mínimo, la delimitación cartográfica de las áreas de actividad industrial en suelo rural suburbano, las alturas máximas y las normas volumétricas a las que debe sujetarse el desarrollo de los usos industriales, de forma tal que se proteja el paisaje rural. Las normas urbanísticas también contemplarán los aislamientos laterales y posteriores que a nivel de terreno deben dejar las edificaciones contra los predios colindantes con la unidad mínima de actuación y que no hagan parte de esta. </w:t>
      </w:r>
    </w:p>
    <w:p w14:paraId="6D720B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34E8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actividades que se desarrollen al interior de las unidades mínimas de actuación o de los parques, agrupaciones o conjuntos industriales deben funcionar con base en criterios de uso eficiente de energía, agua y aprovechamiento de residuos. </w:t>
      </w:r>
    </w:p>
    <w:p w14:paraId="47B8BB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EB10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áreas para maniobras de vehículos de carga y las cuotas de estacionamientos destinados al correcto funcionamiento del uso, incluyendo las normas de operación de cargue y descargue, deberán realizarse al interior de los predios que conformen la unidad mínima de actuación o el parque, agrupación o conjunto industrial. </w:t>
      </w:r>
    </w:p>
    <w:p w14:paraId="18F215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2F79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índices de ocupación para el desarrollo de usos industriales en suelo rural suburbano no podrán superar el treinta por ciento (30%) del área del predio o predios que conformen la unidad mínima de actuación y el resto se destinará a la conservación o recuperación de la vegetación nativa. </w:t>
      </w:r>
    </w:p>
    <w:p w14:paraId="2A5932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F940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anterior, en los parques, conjuntos o agrupaciones industriales se podrá alcanzar una ocupación hasta del cincuenta por ciento (50%) de su área, siempre y cuando sus propietarios realicen la transferencia de cesiones adicionales gratuitas en los términos de que trata el parágrafo 1 del artículo 2.2.6.2.4 del presente decreto. La extensión de los parques, conjuntos o agrupaciones industriales no podrá ser inferior a seis (6) hectáreas. </w:t>
      </w:r>
    </w:p>
    <w:p w14:paraId="0738F1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87A9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las actividades industriales podrán autorizarse en suelos de alta capacidad agrológica ni en áreas o suelos protegidos. Tampoco se autorizará su desarrollo en el área de influencia que definan los municipios o distritos para desarrollos residenciales aprobados o áreas verdes destinadas a usos recreativos. </w:t>
      </w:r>
    </w:p>
    <w:p w14:paraId="258523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A21F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solicitudes de ampliación y adecuación de edificaciones existentes antes del 20 de septiembre de 2007 de para usos industriales ubicados en suelo rural suburbano, se resolverán con base en los Planes de Ordenamiento Territorial o en los instrumentos que lo desarrollen, sin superar, en ningún caso, el 50% de ocupación del predio. En este porcentaje de ocupación se incluirán las áreas de que trata el parágrafo anterior. </w:t>
      </w:r>
    </w:p>
    <w:p w14:paraId="3103C131" w14:textId="69AD941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1745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En los planes de ordenamiento territorial se deberá definir la clasificación de los usos industriales, teniendo en cuenta el impacto ambiental y urbanístico que producen y estableciendo su compatibilidad respecto de los demás usos permitidos. Mientras se adopta dicha clasificación, la solicitud de licencias deberá acompañarse del concepto favorable de la autoridad municipal o distrital competente, sobre la compatibilidad del uso propuesto frente a los usos permitidos en este tipo de áreas. </w:t>
      </w:r>
    </w:p>
    <w:p w14:paraId="2FD20B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FDE8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al 10 de diciembre de 2010 el concejo municipal o distrital, o el alcalde, según sea el caso, no ha adoptado en el plan de ordenamiento territorial la clasificación de usos industriales de que trata este parágrafo, no se podrán expedir licencias urbanísticas para usos industriales. </w:t>
      </w:r>
    </w:p>
    <w:p w14:paraId="021AF90A" w14:textId="1A43FA3F" w:rsidR="00683694" w:rsidRPr="009342F9" w:rsidRDefault="00FC79C1" w:rsidP="00D42757">
      <w:pPr>
        <w:spacing w:after="0" w:line="240" w:lineRule="auto"/>
        <w:jc w:val="both"/>
        <w:rPr>
          <w:rFonts w:ascii="Arial" w:eastAsia="Times New Roman" w:hAnsi="Arial" w:cs="Arial"/>
          <w:b/>
          <w:bCs/>
          <w:color w:val="000000"/>
          <w:lang w:eastAsia="es-CO"/>
        </w:rPr>
      </w:pPr>
      <w:r w:rsidRPr="231E957E">
        <w:rPr>
          <w:rFonts w:ascii="Arial" w:eastAsia="Times New Roman" w:hAnsi="Arial" w:cs="Arial"/>
          <w:color w:val="000000" w:themeColor="text1"/>
          <w:lang w:eastAsia="es-CO"/>
        </w:rPr>
        <w:t>  </w:t>
      </w:r>
      <w:bookmarkStart w:id="984" w:name="ver_30072919"/>
      <w:bookmarkEnd w:id="984"/>
    </w:p>
    <w:p w14:paraId="1E43936A" w14:textId="217B0454" w:rsidR="005C5EEB" w:rsidRDefault="00FC79C1" w:rsidP="00683694">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SECCIÓN 3</w:t>
      </w:r>
    </w:p>
    <w:p w14:paraId="394F636B" w14:textId="77777777" w:rsidR="00FC79C1" w:rsidRPr="009342F9" w:rsidRDefault="00FC79C1" w:rsidP="00683694">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CENTROS POBLADOS RURALES</w:t>
      </w:r>
    </w:p>
    <w:p w14:paraId="35A5D43E" w14:textId="77777777" w:rsidR="00FC79C1" w:rsidRPr="009342F9" w:rsidRDefault="00FC79C1" w:rsidP="00683694">
      <w:pPr>
        <w:spacing w:after="0" w:line="240" w:lineRule="auto"/>
        <w:jc w:val="center"/>
        <w:rPr>
          <w:rFonts w:ascii="Arial" w:eastAsia="Times New Roman" w:hAnsi="Arial" w:cs="Arial"/>
          <w:b/>
          <w:bCs/>
          <w:color w:val="000000"/>
          <w:lang w:eastAsia="es-CO"/>
        </w:rPr>
      </w:pPr>
      <w:bookmarkStart w:id="985" w:name="ver_30072921"/>
      <w:bookmarkEnd w:id="985"/>
    </w:p>
    <w:p w14:paraId="35CC16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2.2.2.2.3.1 Centros poblados rurales. En el componente rural de los planes de ordenamiento o en la unidad de planificación rural se debe incluir la delimitación de los centros poblados rurales, de acuerdo con los criterios definidos en el inciso 2 del parágrafo del artículo1 de la Ley 505 de 1999. </w:t>
      </w:r>
    </w:p>
    <w:p w14:paraId="6535DC6C" w14:textId="33E531F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86" w:name="ver_30072923"/>
      <w:bookmarkEnd w:id="986"/>
    </w:p>
    <w:p w14:paraId="5E55F6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2.2.2.2.3.2 Ordenamiento de los centros poblados rurales. Para asegurar el ordenamiento adecuado de los centros poblados rurales, el componente rural del plan de ordenamiento o la unidad de planificación rural deberá contener, en lo pertinente y de acuerdo con los objetivos y estrategias territoriales del municipio o distrito, por lo menos los siguientes aspectos: </w:t>
      </w:r>
    </w:p>
    <w:p w14:paraId="22D5A9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D49E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delimitación del centro poblado. </w:t>
      </w:r>
    </w:p>
    <w:p w14:paraId="6CBFE0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097E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medidas de protección para evitar que se afecten la estructura ecológica principal y los suelos pertenecientes a alguna de las categorías de protección de que trata el artículo 2.2.2.2.1.3 del presente decreto. </w:t>
      </w:r>
    </w:p>
    <w:p w14:paraId="3F37FA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8549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definición de usos principales, compatibles, condicionados y prohibidos. </w:t>
      </w:r>
    </w:p>
    <w:p w14:paraId="515F5D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979A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Las normas para la parcelación de las áreas que se puedan desarrollar de acuerdo con las normas generales y las densidades máximas definidas por la Corporación Autónoma Regional o de Desarrollo Sostenible. </w:t>
      </w:r>
    </w:p>
    <w:p w14:paraId="1D08E5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69AB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definición de las cesiones obligatorias para las diferentes actuaciones. </w:t>
      </w:r>
    </w:p>
    <w:p w14:paraId="65EA4D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A563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localización y dimensionamiento de la infraestructura básica de servicios públicos. </w:t>
      </w:r>
    </w:p>
    <w:p w14:paraId="2BE763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ED30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La definición y trazado del sistema de espacio público del centro poblado. </w:t>
      </w:r>
    </w:p>
    <w:p w14:paraId="3477F2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A150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La definición y trazado del sistema vial, con la definición de los perfiles viales. </w:t>
      </w:r>
    </w:p>
    <w:p w14:paraId="5F8EEF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88B6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La definición y localización de los equipamientos colectivos, tales como educación, bienestar social, salud, cultura y deporte. </w:t>
      </w:r>
    </w:p>
    <w:p w14:paraId="2760A3F1" w14:textId="64C1A9FA" w:rsidR="00D4095E" w:rsidRPr="009342F9" w:rsidRDefault="00FC79C1" w:rsidP="00D42757">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987" w:name="ver_30072924"/>
      <w:bookmarkEnd w:id="987"/>
    </w:p>
    <w:p w14:paraId="5EA18107" w14:textId="0761D48C"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74DFC3AE"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ÁREAS DE ACTIVIDAD INDUSTRIAL EN SUELO RURAL NO SUBURBANO</w:t>
      </w:r>
    </w:p>
    <w:p w14:paraId="4762D7C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88" w:name="ver_30072926"/>
      <w:bookmarkEnd w:id="988"/>
    </w:p>
    <w:p w14:paraId="35FBF6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2.2.2.2.4.1 Áreas de actividad industrial en suelo rural no suburbano. A partir del 20 de septiembre de 2007, los municipios y distritos del país no podrán ampliar la extensión actual de los corredores viales de servicio rural, las áreas de actividad industrial u otras áreas destinadas a usos industriales, independientemente de la denominación que adopten en los suelos rurales no suburbanos ni crear áreas nuevas, salvo que se trate de áreas destinadas a la explotación de recursos naturales o al desarrollo aislado de usos agroindustriales, ecoturísticos, </w:t>
      </w:r>
      <w:proofErr w:type="spellStart"/>
      <w:r w:rsidRPr="009342F9">
        <w:rPr>
          <w:rFonts w:ascii="Arial" w:eastAsia="Times New Roman" w:hAnsi="Arial" w:cs="Arial"/>
          <w:color w:val="000000"/>
          <w:lang w:eastAsia="es-CO"/>
        </w:rPr>
        <w:t>etnoturísticos</w:t>
      </w:r>
      <w:proofErr w:type="spellEnd"/>
      <w:r w:rsidRPr="009342F9">
        <w:rPr>
          <w:rFonts w:ascii="Arial" w:eastAsia="Times New Roman" w:hAnsi="Arial" w:cs="Arial"/>
          <w:color w:val="000000"/>
          <w:lang w:eastAsia="es-CO"/>
        </w:rPr>
        <w:t xml:space="preserve">, agroturísticos, </w:t>
      </w:r>
      <w:proofErr w:type="spellStart"/>
      <w:r w:rsidRPr="009342F9">
        <w:rPr>
          <w:rFonts w:ascii="Arial" w:eastAsia="Times New Roman" w:hAnsi="Arial" w:cs="Arial"/>
          <w:color w:val="000000"/>
          <w:lang w:eastAsia="es-CO"/>
        </w:rPr>
        <w:t>acuaturísticos</w:t>
      </w:r>
      <w:proofErr w:type="spellEnd"/>
      <w:r w:rsidRPr="009342F9">
        <w:rPr>
          <w:rFonts w:ascii="Arial" w:eastAsia="Times New Roman" w:hAnsi="Arial" w:cs="Arial"/>
          <w:color w:val="000000"/>
          <w:lang w:eastAsia="es-CO"/>
        </w:rPr>
        <w:t xml:space="preserve"> y demás actividades análogas que sean compatibles con la vocación agrícola, pecuaria y forestal del suelo rural. </w:t>
      </w:r>
    </w:p>
    <w:p w14:paraId="1E2D9D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EF70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normas municipales y distritales establecerán las condiciones para aislar las áreas de actividad existentes de los corredores viales, de forma tal que no produzcan conglomerados o aglomeraciones industriales que desconfiguren o transformen la vocación agrícola, pecuaria y forestal del suelo rural. </w:t>
      </w:r>
    </w:p>
    <w:p w14:paraId="3ACD7A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EB6C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índices de ocupación no podrán superar el treinta (30%) del área del predio y el resto se destinará a la conservación o recuperación de la vegetación nativa. </w:t>
      </w:r>
    </w:p>
    <w:p w14:paraId="1DA1AB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4E6C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normas municipales y distritales establecerán las condiciones para impedir el desarrollo de usos industriales en suelo rural no suburbano por fuera de los corredores viales de servicio rural y de las áreas de actividad industrial u otras destinadas a usos industriales. </w:t>
      </w:r>
    </w:p>
    <w:p w14:paraId="01AD37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2477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planes de ordenamiento territorial se deberá definir la clasificación de los usos industriales, teniendo en cuenta el impacto ambiental y urbanístico que producen y establecido su compatibilidad respecto de los demás usos permitidos. En los municipios y distritos que no han adoptado en sus planes de ordenamiento la clasificación de usos industriales de que el presente artículo, no se podrán expedir licencias urbanísticas para usos industriales. </w:t>
      </w:r>
    </w:p>
    <w:p w14:paraId="2B06B5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6012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podrá autorizarse el desarrollo de actividades industriales en suelos de alta capacidad agrológica ni en áreas o suelos protegidos. </w:t>
      </w:r>
    </w:p>
    <w:p w14:paraId="6FB28B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B090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 dispuesto en el presente decreto para los parques, conjuntos o agrupaciones industriales, también será de aplicación para declarar zonas francas. </w:t>
      </w:r>
    </w:p>
    <w:p w14:paraId="033DB041" w14:textId="37900AC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89" w:name="ver_30072929"/>
      <w:bookmarkEnd w:id="989"/>
    </w:p>
    <w:p w14:paraId="709F6C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2.2.2.2.4.2 Áreas de actividad industrial en la Sabana de Bogotá. En desarrollo de lo dispuesto en el artículo 61 de la Ley 99 de 1993, a partir del 20 de septiembre de 2007, no se podrán otorgar licencias de parcelación y/o construcción para el desarrollo de usos industriales en las áreas de actividad industrial, zonas múltiples con actividad industrial u otras destinadas a fines similares, independientemente de la denominación que adopten en los suelos rurales no suburbanos de los municipios de la Sabana de Bogotá. Tampoco se podrá ampliar la extensión actual de dichas áreas ni crear otras nuevas. </w:t>
      </w:r>
    </w:p>
    <w:p w14:paraId="2F1A0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70F6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prohibición de expedir licencias de que trata el inciso anterior no se aplicará tratándose de proyectos destinados a la explotación de recursos naturales; al desarrollo aislado de usos agroindustriales, ecoturísticos, </w:t>
      </w:r>
      <w:proofErr w:type="spellStart"/>
      <w:r w:rsidRPr="009342F9">
        <w:rPr>
          <w:rFonts w:ascii="Arial" w:eastAsia="Times New Roman" w:hAnsi="Arial" w:cs="Arial"/>
          <w:color w:val="000000"/>
          <w:lang w:eastAsia="es-CO"/>
        </w:rPr>
        <w:t>etnoturísticos</w:t>
      </w:r>
      <w:proofErr w:type="spellEnd"/>
      <w:r w:rsidRPr="009342F9">
        <w:rPr>
          <w:rFonts w:ascii="Arial" w:eastAsia="Times New Roman" w:hAnsi="Arial" w:cs="Arial"/>
          <w:color w:val="000000"/>
          <w:lang w:eastAsia="es-CO"/>
        </w:rPr>
        <w:t xml:space="preserve">, agroturísticos, </w:t>
      </w:r>
      <w:proofErr w:type="spellStart"/>
      <w:r w:rsidRPr="009342F9">
        <w:rPr>
          <w:rFonts w:ascii="Arial" w:eastAsia="Times New Roman" w:hAnsi="Arial" w:cs="Arial"/>
          <w:color w:val="000000"/>
          <w:lang w:eastAsia="es-CO"/>
        </w:rPr>
        <w:t>acuaturísticos</w:t>
      </w:r>
      <w:proofErr w:type="spellEnd"/>
      <w:r w:rsidRPr="009342F9">
        <w:rPr>
          <w:rFonts w:ascii="Arial" w:eastAsia="Times New Roman" w:hAnsi="Arial" w:cs="Arial"/>
          <w:color w:val="000000"/>
          <w:lang w:eastAsia="es-CO"/>
        </w:rPr>
        <w:t xml:space="preserve"> y demás actividades análogas que sean compatibles con la vocación agrícola, pecuaria y forestal del suelo rural, de acuerdo con la normativa vigente; a las solicitudes de licencia radicadas en legal y debida forma que se encontraran en trámite el 20 de septiembre de 2007, o cuando se presente alguna de las circunstancias de que trata el parágrafo 4° del artículo 2.2.6.1.1.7 del presente decreto. </w:t>
      </w:r>
    </w:p>
    <w:p w14:paraId="29C020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B636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 obstante lo anterior, en las áreas consolidadas de actividad industrial, zonas múltiples con actividad industrial u otras similares en suelos rurales no suburbanos de los municipios de la Sabana de Bogotá, que se encontraban delimitadas en la cartografía oficial de los respectivos planes de ordenamiento territorial antes del 20 de septiembre de 2007, se podrán definir las zonas a las cuales se podrá asignar el tratamiento de consolidación urbanística con patrón de baja densidad, para permitir el otorgamiento de licencias urbanísticas. </w:t>
      </w:r>
    </w:p>
    <w:p w14:paraId="4B466C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ABD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asignación de este tratamiento se deberá cumplir con las siguientes condiciones: </w:t>
      </w:r>
    </w:p>
    <w:p w14:paraId="45992C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52CD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Por lo menos el 60% de la superficie de las áreas de actividad industrial, zonas múltiples con actividad industrial u otras destinadas a fines similares delimitadas en la cartografía oficial de los respectivos planes de ordenamiento territorial antes del 20 de septiembre de 2007, debe haber concluido las obras de parcelación o construcción o contar con licencias urbanísticas vigentes. Para el efecto, se delimitarán cartográficamente a escala 1:5000 o 1:10.000 con apoyo en aerofotografías y verificación en campo. </w:t>
      </w:r>
    </w:p>
    <w:p w14:paraId="23B491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516A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el plan de ordenamiento territorial o en los instrumentos que lo desarrollen o complementen se adoptarán las normas de planificación complementaria para dichas áreas, con el fin de mejorar la calidad ambiental y disminuir el impacto paisajístico. Las normas deberán contener por lo menos: </w:t>
      </w:r>
    </w:p>
    <w:p w14:paraId="0B6252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0F6D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La delimitación de los elementos que por sus valores naturales, ambientales o paisajísticos deben ser conservados, estableciendo las medidas específicas de protección, prevención y mitigación de impactos ambientales producto de los usos industriales. </w:t>
      </w:r>
    </w:p>
    <w:p w14:paraId="28DEDD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E492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La definición del sistema vial, el sistema de espacios públicos y su equipamiento; la determinación de los sistemas de aprovisionamiento de servicios públicos de agua potable y saneamiento básico, así como de los equipamientos necesarios para el buen funcionamiento de los usos permitidos y el señalamiento de las cesiones obligatorias correspondientes a dichas infraestructuras. </w:t>
      </w:r>
    </w:p>
    <w:p w14:paraId="43E756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00FD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Los demás contenidos y normas urbanísticas necesarias para orientar el desarrollo de estas áreas con un patrón de baja ocupación, siempre y cuando no supere el índice de ocupación del 30%, según lo previsto en el artículo 2.2.2.2.4.1 del presente decreto. </w:t>
      </w:r>
    </w:p>
    <w:p w14:paraId="4A063B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35AE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No podrán hacer parte de las zonas de consolidación las áreas pertenecientes a alguna de las categorías de protección de que tratan los numerales 1, 2 y 5 del artículo 2.2.2.2.1.3 del presente decreto. </w:t>
      </w:r>
    </w:p>
    <w:p w14:paraId="628618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6A31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disposiciones de que trata este artículo se aplicarán al Distrito Capital y a los municipios de Bojacá, Cajicá, Chía, Chocontá, Cogua, Cota, Cucunubá, El Rosal, Facatativá, Funza, Gachancipá, Guasca, Guatavita, La Calera, Madrid, Mosquera, Nemocón, Sesquilé, Sibaté, Soacha, Sopó, Subachoque, Suesca, Tabio, Tausa, Tenjo, Tocancipá, Villapinzón y Zipaquirá. </w:t>
      </w:r>
    </w:p>
    <w:p w14:paraId="34F17ED2" w14:textId="2AD62E75" w:rsidR="00FC79C1" w:rsidRPr="009342F9" w:rsidRDefault="00FC79C1" w:rsidP="00D42757">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2F9B0519" w14:textId="4F23C405" w:rsidR="00FC79C1" w:rsidRPr="009342F9" w:rsidRDefault="00FC79C1" w:rsidP="00D4095E">
      <w:pPr>
        <w:spacing w:after="0" w:line="240" w:lineRule="auto"/>
        <w:jc w:val="center"/>
        <w:rPr>
          <w:rFonts w:ascii="Arial" w:eastAsia="Times New Roman" w:hAnsi="Arial" w:cs="Arial"/>
          <w:b/>
          <w:bCs/>
          <w:color w:val="000000"/>
          <w:lang w:eastAsia="es-CO"/>
        </w:rPr>
      </w:pPr>
      <w:bookmarkStart w:id="990" w:name="ver_30072936"/>
      <w:bookmarkEnd w:id="990"/>
      <w:r w:rsidRPr="009342F9">
        <w:rPr>
          <w:rFonts w:ascii="Arial" w:eastAsia="Times New Roman" w:hAnsi="Arial" w:cs="Arial"/>
          <w:b/>
          <w:bCs/>
          <w:color w:val="000000"/>
          <w:lang w:eastAsia="es-CO"/>
        </w:rPr>
        <w:t>SECCIÓN 5</w:t>
      </w:r>
    </w:p>
    <w:p w14:paraId="691F5C82"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732CCB8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91" w:name="ver_30072938"/>
      <w:bookmarkEnd w:id="991"/>
    </w:p>
    <w:p w14:paraId="1889E8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2.2.2.2.5.1 Productores marginales. De conformidad con lo previsto en los artículos 15.2, 16 y 87.3 de la Ley 142 de 1994, los usuarios de servicios suministrados por productores de servicios marginales independientes o para uso particular, y ellos mismos en los casos de autoabastecimiento, en usos comerciales e industriales en cualquier clase de suelo y de vivienda campestre en suelo rural y rural suburbano, deberán hacer los aportes de contribución al fondo de solidaridad y redistribución del ingreso. </w:t>
      </w:r>
    </w:p>
    <w:p w14:paraId="04AC24C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92" w:name="ver_30072940"/>
      <w:bookmarkEnd w:id="992"/>
      <w:r w:rsidRPr="009342F9">
        <w:rPr>
          <w:rFonts w:ascii="Arial" w:eastAsia="Times New Roman" w:hAnsi="Arial" w:cs="Arial"/>
          <w:color w:val="000000"/>
          <w:lang w:eastAsia="es-CO"/>
        </w:rPr>
        <w:t>Artículo 2.2.2.2.5.2 Adecuación de las normas urbanísticas. Los municipios y distritos ajustarán sus planes de ordenamiento territorial a lo dispuesto en este decreto mediante su revisión y/o modificación. </w:t>
      </w:r>
    </w:p>
    <w:p w14:paraId="243862DC" w14:textId="2B62AE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93" w:name="ver_30072942"/>
      <w:bookmarkEnd w:id="993"/>
    </w:p>
    <w:p w14:paraId="223564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2.2.2.2.5.3 Macroproyectos de interés social nacional. La formulación y adopción de los macroproyectos de interés social nacional de que trata el artículo 79 de la Ley 1151 de 2007 no se sujetará a lo dispuesto en el presente capítulo, salvo lo establecido para las categorías de protección. </w:t>
      </w:r>
    </w:p>
    <w:p w14:paraId="488E1E48" w14:textId="4466C8DB"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94" w:name="ver_30072946"/>
      <w:bookmarkEnd w:id="994"/>
    </w:p>
    <w:p w14:paraId="053E8830" w14:textId="479C0C3B"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3</w:t>
      </w:r>
    </w:p>
    <w:p w14:paraId="4AFB4CB0" w14:textId="77777777"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ESPACIO PÚBLICO Y ESTÁNDARES URBANÍSTICOS</w:t>
      </w:r>
    </w:p>
    <w:p w14:paraId="3B400BFE" w14:textId="77777777" w:rsidR="005C5EEB" w:rsidRPr="009342F9" w:rsidRDefault="005C5EEB" w:rsidP="00D4095E">
      <w:pPr>
        <w:spacing w:after="0" w:line="240" w:lineRule="auto"/>
        <w:jc w:val="center"/>
        <w:rPr>
          <w:rFonts w:ascii="Arial" w:eastAsia="Times New Roman" w:hAnsi="Arial" w:cs="Arial"/>
          <w:b/>
          <w:bCs/>
          <w:color w:val="000000"/>
          <w:lang w:eastAsia="es-CO"/>
        </w:rPr>
      </w:pPr>
    </w:p>
    <w:p w14:paraId="25B9DF12" w14:textId="2318E48B"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66AF74ED"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74259B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95" w:name="ver_30072947"/>
      <w:bookmarkEnd w:id="995"/>
    </w:p>
    <w:p w14:paraId="61CDB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2.2.3.1.1 Protección del Espacio público. Es deber del Estado velar por la protección de la integridad del espacio público y por su destinación al uso común, el cual prevalece sobre el interés particular. En el cumplimiento de la función pública del urbanismo, los municipios y distritos deberán dar prelación a la planeación, construcción, mantenimiento y protección del espacio público sobre los demás usos del suelo. </w:t>
      </w:r>
    </w:p>
    <w:p w14:paraId="1B1AABD6" w14:textId="6346F00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96" w:name="ver_30072949"/>
      <w:bookmarkEnd w:id="996"/>
    </w:p>
    <w:p w14:paraId="693EE231" w14:textId="00D49FB8" w:rsidR="00FC79C1" w:rsidRPr="009342F9" w:rsidRDefault="00FC79C1" w:rsidP="00FC79C1">
      <w:pPr>
        <w:spacing w:after="0" w:line="240" w:lineRule="auto"/>
        <w:jc w:val="both"/>
        <w:rPr>
          <w:rFonts w:ascii="Arial" w:eastAsia="Times New Roman" w:hAnsi="Arial" w:cs="Arial"/>
          <w:color w:val="000000"/>
          <w:lang w:eastAsia="es-CO"/>
        </w:rPr>
      </w:pPr>
      <w:bookmarkStart w:id="997" w:name="_Hlk47878489"/>
      <w:r w:rsidRPr="009342F9">
        <w:rPr>
          <w:rFonts w:ascii="Arial" w:eastAsia="Times New Roman" w:hAnsi="Arial" w:cs="Arial"/>
          <w:color w:val="000000"/>
          <w:lang w:eastAsia="es-CO"/>
        </w:rPr>
        <w:t>Artículo 2.2.3.1.2 </w:t>
      </w:r>
      <w:bookmarkEnd w:id="997"/>
      <w:r w:rsidRPr="009342F9">
        <w:rPr>
          <w:rFonts w:ascii="Arial" w:eastAsia="Times New Roman" w:hAnsi="Arial" w:cs="Arial"/>
          <w:color w:val="000000"/>
          <w:lang w:eastAsia="es-CO"/>
        </w:rPr>
        <w:t>Definición de espacio público. El espacio público es el conjunto de inmuebles públicos y los elementos arquitectónicos y naturales de los inmuebles privados destinados por naturaleza, usos o afectación a la satisfacción de necesidades urbanas colectivas que transcienden los límites de los intereses individuales de los habitantes. </w:t>
      </w:r>
    </w:p>
    <w:p w14:paraId="78000C8A" w14:textId="34EDFAE7" w:rsidR="00F647A1" w:rsidRPr="009342F9" w:rsidRDefault="00F647A1" w:rsidP="00FC79C1">
      <w:pPr>
        <w:spacing w:after="0" w:line="240" w:lineRule="auto"/>
        <w:jc w:val="both"/>
        <w:rPr>
          <w:rFonts w:ascii="Arial" w:eastAsia="Times New Roman" w:hAnsi="Arial" w:cs="Arial"/>
          <w:color w:val="000000"/>
          <w:sz w:val="20"/>
          <w:szCs w:val="20"/>
          <w:lang w:eastAsia="es-CO"/>
        </w:rPr>
      </w:pPr>
    </w:p>
    <w:p w14:paraId="12976F21" w14:textId="433CA427" w:rsidR="00F647A1" w:rsidRPr="009342F9" w:rsidRDefault="00F647A1" w:rsidP="00F647A1">
      <w:pPr>
        <w:spacing w:after="0"/>
        <w:rPr>
          <w:rFonts w:ascii="Arial" w:hAnsi="Arial" w:cs="Arial"/>
          <w:sz w:val="20"/>
          <w:szCs w:val="20"/>
        </w:rPr>
      </w:pPr>
      <w:r w:rsidRPr="009342F9">
        <w:rPr>
          <w:rFonts w:ascii="Arial" w:hAnsi="Arial" w:cs="Arial"/>
          <w:w w:val="105"/>
          <w:sz w:val="20"/>
          <w:szCs w:val="20"/>
        </w:rPr>
        <w:t xml:space="preserve">(Ver conceptos: </w:t>
      </w:r>
      <w:hyperlink r:id="rId17" w:history="1">
        <w:r w:rsidRPr="009342F9">
          <w:rPr>
            <w:rStyle w:val="Hyperlink"/>
            <w:rFonts w:ascii="Arial" w:hAnsi="Arial" w:cs="Arial"/>
            <w:w w:val="105"/>
            <w:sz w:val="20"/>
            <w:szCs w:val="20"/>
          </w:rPr>
          <w:t>4201912000007614 del 06/12/2019</w:t>
        </w:r>
      </w:hyperlink>
      <w:r w:rsidRPr="009342F9">
        <w:rPr>
          <w:rFonts w:ascii="Arial" w:hAnsi="Arial" w:cs="Arial"/>
          <w:w w:val="105"/>
          <w:sz w:val="20"/>
          <w:szCs w:val="20"/>
        </w:rPr>
        <w:t>)</w:t>
      </w:r>
    </w:p>
    <w:p w14:paraId="67CEFB38" w14:textId="603A5B7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998" w:name="ver_30072951"/>
      <w:bookmarkEnd w:id="998"/>
    </w:p>
    <w:p w14:paraId="0A88717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999" w:name="_Hlk47879308"/>
      <w:r w:rsidRPr="009342F9">
        <w:rPr>
          <w:rFonts w:ascii="Arial" w:eastAsia="Times New Roman" w:hAnsi="Arial" w:cs="Arial"/>
          <w:color w:val="000000"/>
          <w:lang w:eastAsia="es-CO"/>
        </w:rPr>
        <w:t>Artículo 2.2.3.1.3 </w:t>
      </w:r>
      <w:bookmarkEnd w:id="999"/>
      <w:r w:rsidRPr="009342F9">
        <w:rPr>
          <w:rFonts w:ascii="Arial" w:eastAsia="Times New Roman" w:hAnsi="Arial" w:cs="Arial"/>
          <w:color w:val="000000"/>
          <w:lang w:eastAsia="es-CO"/>
        </w:rPr>
        <w:t>Componentes del espacio público. El espacio público comprende, entre otros, los siguientes aspectos: </w:t>
      </w:r>
    </w:p>
    <w:p w14:paraId="2F754E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4C8D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bienes de uso público, es decir aquellos inmuebles de dominio público cuyo uso pertenece a todos los habitantes del territorio nacional, destinados al uso o disfrute colectivo. </w:t>
      </w:r>
    </w:p>
    <w:p w14:paraId="0DDEF1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D34F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elementos arquitectónicos, espaciales y naturales de los inmuebles de propiedad privada que por su naturaleza, uso o afectación satisfacen necesidades de uso público. </w:t>
      </w:r>
    </w:p>
    <w:p w14:paraId="118E73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E5AA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Las áreas requeridas para la conformación del sistema de espacio público en los términos establecidos en este Título. </w:t>
      </w:r>
    </w:p>
    <w:p w14:paraId="5AC513B9" w14:textId="51632B1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0" w:name="ver_30072953"/>
      <w:bookmarkEnd w:id="1000"/>
    </w:p>
    <w:p w14:paraId="559281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2.2.3.1.4 Destinación de los bienes de uso público. El destino de los bienes de uso público incluidos en el espacio público no podrá ser variado sino por los Concejos Municipales o Distritales a través de los planes de ordenamiento territorial o de los instrumentos que los desarrollen aprobados por la autoridad competente, siempre que sean sustituidos por otros de características y dimensiones equivalente o superiores. La sustitución debe efectuarse atendiendo criterios, entre otros, de calidad, accesibilidad y localización. </w:t>
      </w:r>
    </w:p>
    <w:p w14:paraId="5FCA01E8" w14:textId="60C142D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1" w:name="ver_30072955"/>
      <w:bookmarkEnd w:id="1001"/>
    </w:p>
    <w:p w14:paraId="63B810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2.2.3.1.5 Elementos del espacio público. El espacio público está conformado por el conjunto de los siguientes elementos constitutivos y complementarios: </w:t>
      </w:r>
    </w:p>
    <w:p w14:paraId="274BA1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8D02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Elementos constitutivos </w:t>
      </w:r>
    </w:p>
    <w:p w14:paraId="0BADC3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3C83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Elementos constitutivos naturales: </w:t>
      </w:r>
    </w:p>
    <w:p w14:paraId="409F1F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8C29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 Áreas para la conservación y preservación del sistema orográfico o de montañas, tales como: cerros, montañas, colinas, volcanes y nevados. </w:t>
      </w:r>
    </w:p>
    <w:p w14:paraId="231BCD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A74C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 Áreas para la conservación y preservación del sistema hídrico: conformado por: </w:t>
      </w:r>
    </w:p>
    <w:p w14:paraId="392F33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D5B8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1.1.2.1 Elementos naturales, relacionados con corrientes de agua, tales como: cuencas y microcuencas, manantiales, ríos, quebradas, arroyos, playas fluviales, rondas hídricas, zonas de manejo, zonas de bajamar y protección ambiental, y relacionados con cuerpos de agua, tales como mares, playas marinas, arenas y corales, ciénagas, lagos, lagunas, pantanos, humedales, rondas hídricas, zonas de manejo y protección ambiental; </w:t>
      </w:r>
    </w:p>
    <w:p w14:paraId="3C0DBB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D436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1.1.2.2 Elementos artificiales o construidos, relacionados con corrientes de agua, tales como: canales de desagüe, alcantarillas, aliviaderos, diques, presas, represas, rondas hídricas, zonas de manejo y protección ambiental, y relacionados con cuerpos de agua tales como: embalses, lagos, muelles, puertos, tajamares, rompeolas, escolleras, rondas hídricas, zonas de manejo y protección ambiental; </w:t>
      </w:r>
    </w:p>
    <w:p w14:paraId="693AA5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F404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1.1.3 Áreas de especial interés ambiental, científico y paisajístico, tales como: </w:t>
      </w:r>
    </w:p>
    <w:p w14:paraId="71586E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9040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1.1.3.1 Parques naturales del nivel nacional, regional, departamental y municipal; y </w:t>
      </w:r>
    </w:p>
    <w:p w14:paraId="010B56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FE43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1.1.3.2 Áreas de reserva natural, santuarios de fauna y flora. </w:t>
      </w:r>
    </w:p>
    <w:p w14:paraId="777415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6701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Elementos constitutivos artificiales o construidos: </w:t>
      </w:r>
    </w:p>
    <w:p w14:paraId="79C1C4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AE89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1.2.1. Áreas integrantes de los perfiles viales peatonal y vehicular, constituidas por: </w:t>
      </w:r>
    </w:p>
    <w:p w14:paraId="57DEF0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C35D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1.2.1.1. Los componentes de los perfiles viales tales como: áreas de control ambiental, zonas de mobiliario urbano y señalización, cárcamos y ductos, túneles peatonales, puentes peatonales, escalinatas, bulevares, alamedas, rampas para discapacitados, andenes, malecones, paseos marítimos, camellones, sardinales, cunetas, </w:t>
      </w:r>
      <w:proofErr w:type="spellStart"/>
      <w:r w:rsidRPr="009342F9">
        <w:rPr>
          <w:rFonts w:ascii="Arial" w:eastAsia="Times New Roman" w:hAnsi="Arial" w:cs="Arial"/>
          <w:color w:val="000000"/>
          <w:lang w:eastAsia="es-CO"/>
        </w:rPr>
        <w:t>ciclopistas</w:t>
      </w:r>
      <w:proofErr w:type="spellEnd"/>
      <w:r w:rsidRPr="009342F9">
        <w:rPr>
          <w:rFonts w:ascii="Arial" w:eastAsia="Times New Roman" w:hAnsi="Arial" w:cs="Arial"/>
          <w:color w:val="000000"/>
          <w:lang w:eastAsia="es-CO"/>
        </w:rPr>
        <w:t>, ciclovías, estacionamiento para bicicletas, estacionamiento para motocicletas, estacionamientos bajo espacio público, zonas azules, bahías de estacionamiento, bermas, separadores, reductores de velocidad, calzadas, carriles. </w:t>
      </w:r>
    </w:p>
    <w:p w14:paraId="47E538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A54A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1.2.1.2. Los componentes de los cruces o intersecciones, tales como: esquinas, glorietas orejas, puentes vehiculares, túneles y viaductos. </w:t>
      </w:r>
    </w:p>
    <w:p w14:paraId="432DDE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B916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1.2.2. Áreas articuladoras de espacio público y de encuentro, tales como: parques urbanos, zonas de cesión gratuita al municipio o distrito, plazas, plazoletas, escenarios deportivos, escenarios culturales y de espectáculos al aire libre. </w:t>
      </w:r>
    </w:p>
    <w:p w14:paraId="44AC1E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1223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1.2.3. Áreas para la conservación y preservación de las obras de interés público y los elementos urbanísticos, arquitectónicos, históricos, culturales, recreativos, artísticos y arqueológicos, las cuales pueden ser sectores de ciudad, manzanas, costados de manzanas, inmuebles individuales, monumentos nacionales, murales, esculturales, fuentes ornamentales y zonas arqueológicas o accidentes geográficos. </w:t>
      </w:r>
    </w:p>
    <w:p w14:paraId="44EB5E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85B8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1.2.4. Son también elementos constitutivos del espacio público las áreas y elementos arquitectónicos espaciales y naturales de propiedad privada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por su localización y condiciones ambientales y paisajísticas, sean incorporadas como tales en los planes de ordenamiento territorial y los instrumentos que lo desarrollen, tales como cubiertas, fachadas, paramentos, pórticos, antejardines, cerramientos; </w:t>
      </w:r>
    </w:p>
    <w:p w14:paraId="6905E0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7E87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1.2.5. De igual forma se considera parte integral del perfil vial, y por ende del espacio público, los antejardines de propiedad privada. </w:t>
      </w:r>
    </w:p>
    <w:p w14:paraId="0E1FB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6E9F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Elementos complementarios </w:t>
      </w:r>
    </w:p>
    <w:p w14:paraId="3BD6CE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BAA0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Componente de la vegetación natural e intervenida. Elementos para jardines, arborización y protección del paisaje, tales como: vegetación, herbácea o césped, jardines, arbustos, setos o matorrales, árboles o bosques. </w:t>
      </w:r>
    </w:p>
    <w:p w14:paraId="24A220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B913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Componentes del amoblamiento urbano </w:t>
      </w:r>
    </w:p>
    <w:p w14:paraId="293E19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6CE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 Mobiliario </w:t>
      </w:r>
    </w:p>
    <w:p w14:paraId="42FEF2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9C23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2.2.1.1 Elementos de comunicación tales como: mapas de localización del municipio, planos de inmuebles históricos o lugares de interés, informadores de temperatura, contaminación ambiental, decibeles y mensajes, teléfonos, carteleras locales, pendones, pasacalles, </w:t>
      </w:r>
      <w:proofErr w:type="spellStart"/>
      <w:r w:rsidRPr="009342F9">
        <w:rPr>
          <w:rFonts w:ascii="Arial" w:eastAsia="Times New Roman" w:hAnsi="Arial" w:cs="Arial"/>
          <w:color w:val="000000"/>
          <w:lang w:eastAsia="es-CO"/>
        </w:rPr>
        <w:t>mogadores</w:t>
      </w:r>
      <w:proofErr w:type="spellEnd"/>
      <w:r w:rsidRPr="009342F9">
        <w:rPr>
          <w:rFonts w:ascii="Arial" w:eastAsia="Times New Roman" w:hAnsi="Arial" w:cs="Arial"/>
          <w:color w:val="000000"/>
          <w:lang w:eastAsia="es-CO"/>
        </w:rPr>
        <w:t xml:space="preserve"> y buzones. </w:t>
      </w:r>
    </w:p>
    <w:p w14:paraId="05FA5B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86E8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2.2.1.2 Elementos de organización tales como: bolardos, paraderos, tope llantas y semáforos. </w:t>
      </w:r>
    </w:p>
    <w:p w14:paraId="02A230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26A4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2.2.1.3 Elementos de ambientación tales como: luminarias peatonales, luminarias vehiculares, protectores de árboles, rejillas de árboles, materas, bancas, relojes, pérgolas, parasoles, esculturas y murales. </w:t>
      </w:r>
    </w:p>
    <w:p w14:paraId="1C91C7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A355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2.2.1.4 Elementos de recreación tales como: juegos para adultos juegos infantiles. </w:t>
      </w:r>
    </w:p>
    <w:p w14:paraId="582476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DE6F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2.2.1.5 Elementos de servicio tales como: parquímetros, bicicleteros, surtidores de agua, casetas de ventas, casetas de turismo, muebles de emboladores. </w:t>
      </w:r>
    </w:p>
    <w:p w14:paraId="355B3E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75CC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2.2.1.6 Elementos de salud e higiene tales como: baños públicos, canecas para reciclar las basuras. </w:t>
      </w:r>
    </w:p>
    <w:p w14:paraId="2A2CCD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DBDF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2.2.1.7 Elementos de seguridad, tales como: barandas, pasamanos, cámaras de televisión para seguridad, cámaras de televisión para el tráfico, sirenas, hidrantes, equipos contra incendios. </w:t>
      </w:r>
    </w:p>
    <w:p w14:paraId="752B9F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A542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 Señalización </w:t>
      </w:r>
    </w:p>
    <w:p w14:paraId="4FE91B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DA9F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2.2.2.1 Elementos de nomenclatura domiciliaria o urbana. </w:t>
      </w:r>
    </w:p>
    <w:p w14:paraId="2A2C33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CCCA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2.2.2.2 Elementos de señalización vial para prevención, reglamentación, información, marcas y varias. </w:t>
      </w:r>
    </w:p>
    <w:p w14:paraId="578D91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0E63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2.2.2.3 Elementos de señalización fluvial para prevención reglamentación, información, especiales, verticales, horizontales y balizaje. </w:t>
      </w:r>
    </w:p>
    <w:p w14:paraId="5C154A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D394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2.2.2.4 Elementos de señalización férrea tales como: semáforos eléctricos, discos con vástago o para hincar en la tierra, discos con mango, tableros con vástago para hincar en la tierra, lámparas, linternas de mano y banderas. </w:t>
      </w:r>
    </w:p>
    <w:p w14:paraId="4AE959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165A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2.2.2.5 Elementos de señalización aérea. </w:t>
      </w:r>
    </w:p>
    <w:p w14:paraId="758C0B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9325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elementos constitutivos del espacio público, de acuerdo con su área de influencia, manejo administrativo, cobertura espacial y de población, se clasifican en: </w:t>
      </w:r>
    </w:p>
    <w:p w14:paraId="601995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948A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Elementos del nivel estructural o de influencia general, nacional, departamental, metropolitano, municipal, o distrital de ciudad. </w:t>
      </w:r>
    </w:p>
    <w:p w14:paraId="6D85BC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A650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Elementos del nivel municipal o distrital, local, zonal y barrial al interior del municipio o distrito. </w:t>
      </w:r>
    </w:p>
    <w:p w14:paraId="0D733CD9" w14:textId="552E661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7100DD" w14:textId="756CCB01" w:rsidR="00B91BA0" w:rsidRPr="009342F9" w:rsidRDefault="00B91BA0" w:rsidP="00B91BA0">
      <w:pPr>
        <w:pStyle w:val="BodyText"/>
        <w:spacing w:before="2" w:line="259" w:lineRule="auto"/>
        <w:rPr>
          <w:b/>
          <w:bCs/>
          <w:sz w:val="20"/>
          <w:szCs w:val="20"/>
        </w:rPr>
      </w:pPr>
      <w:r w:rsidRPr="231E957E">
        <w:rPr>
          <w:sz w:val="20"/>
          <w:szCs w:val="20"/>
        </w:rPr>
        <w:t xml:space="preserve">(Ver concepto </w:t>
      </w:r>
      <w:hyperlink r:id="rId18">
        <w:r w:rsidRPr="231E957E">
          <w:rPr>
            <w:rStyle w:val="Hyperlink"/>
            <w:sz w:val="20"/>
            <w:szCs w:val="20"/>
          </w:rPr>
          <w:t>C−065 del 2/03/2020</w:t>
        </w:r>
      </w:hyperlink>
      <w:r w:rsidRPr="231E957E">
        <w:rPr>
          <w:sz w:val="20"/>
          <w:szCs w:val="20"/>
        </w:rPr>
        <w:t xml:space="preserve">) </w:t>
      </w:r>
    </w:p>
    <w:p w14:paraId="3AD38C04" w14:textId="28750C79" w:rsidR="00D4095E" w:rsidRPr="009342F9" w:rsidRDefault="00D4095E" w:rsidP="00137660">
      <w:pPr>
        <w:spacing w:after="0" w:line="240" w:lineRule="auto"/>
        <w:jc w:val="both"/>
        <w:rPr>
          <w:rFonts w:ascii="Arial" w:eastAsia="Times New Roman" w:hAnsi="Arial" w:cs="Arial"/>
          <w:b/>
          <w:bCs/>
          <w:color w:val="000000"/>
          <w:lang w:eastAsia="es-CO"/>
        </w:rPr>
      </w:pPr>
      <w:bookmarkStart w:id="1002" w:name="ver_30072959"/>
      <w:bookmarkEnd w:id="1002"/>
    </w:p>
    <w:p w14:paraId="17C73A6F" w14:textId="0F2C8ABF" w:rsidR="00FC79C1" w:rsidRPr="009342F9"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CAPÍTULO 2</w:t>
      </w:r>
    </w:p>
    <w:p w14:paraId="51197643"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EL ESPACIO PÚBLICO EN LOS PLANES DE ORDENAMIENTO TERRITORIAL</w:t>
      </w:r>
    </w:p>
    <w:p w14:paraId="58DABC2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03" w:name="ver_30072960"/>
      <w:bookmarkEnd w:id="1003"/>
    </w:p>
    <w:p w14:paraId="5A723A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2.2.3.2.1 Elemento estructural del plan de ordenamiento territorial. El espacio público es el elemento articulador y estructurante fundamental del espacio en la ciudad, así como el regulador de las condiciones ambientales de la misma, y por lo tanto se constituye en uno de los principales elementos estructurales de los Planes de Ordenamiento Territorial. </w:t>
      </w:r>
    </w:p>
    <w:p w14:paraId="498A0ABC" w14:textId="0CCC42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4" w:name="ver_30072962"/>
      <w:bookmarkEnd w:id="1004"/>
    </w:p>
    <w:p w14:paraId="4FCA99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2.2.3.2.2 Elementos en el plan de ordenamiento territorial. En los Planes de Ordenamiento Territorial debe incorporarse los siguientes elementos de acuerdo con el componente establecido: </w:t>
      </w:r>
    </w:p>
    <w:p w14:paraId="2A5F52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E843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el componente general debe incluirse: </w:t>
      </w:r>
    </w:p>
    <w:p w14:paraId="5A6BE3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048F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La definición de políticas, estrategias y objetivos del espacio público en el territorio municipal o distrital. </w:t>
      </w:r>
    </w:p>
    <w:p w14:paraId="61F2C9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1E04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La definición del sistema del espacio público y delimitación de los elementos que lo constituyen en el nivel estructural. </w:t>
      </w:r>
    </w:p>
    <w:p w14:paraId="2CA6DF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DD06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Las prioridades del ordenamiento del territorio, de acuerdo con lo previsto en el presente decreto. </w:t>
      </w:r>
    </w:p>
    <w:p w14:paraId="7260FA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736F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el componente urbano debe incluirse: </w:t>
      </w:r>
    </w:p>
    <w:p w14:paraId="2082B3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31A6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La conformación del inventario general de los elementos constitutivos del espacio público en el área urbana en los tres niveles establecidos en el parágrafo del artículo que hace referencia a los elementos del espacio público del capítulo anterior. </w:t>
      </w:r>
    </w:p>
    <w:p w14:paraId="78DC41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C159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La definición del sistema de enlace y articulación entre los diferentes niveles y las acciones y proyectos necesarios para consolidar y complementar este sistema. </w:t>
      </w:r>
    </w:p>
    <w:p w14:paraId="789EBD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DE81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La definición de la cobertura de espacio público por habitante y del déficit cualitativo y cuantitativo, existente y proyectado. </w:t>
      </w:r>
    </w:p>
    <w:p w14:paraId="7F203F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35CF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La definición de proyectos y programas estratégicos que permitan suplir las necesidades y desequilibrios del espacio público en el área urbana en el mediano y largo plazo con sus respectivos presupuestos y destinación de recursos. </w:t>
      </w:r>
    </w:p>
    <w:p w14:paraId="125C49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7F74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La definición del espacio público del nivel sectorial y local dentro de los planes parciales y las unidades de actuación. </w:t>
      </w:r>
    </w:p>
    <w:p w14:paraId="299BB2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08F3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En el componente rural debe incluirse: </w:t>
      </w:r>
    </w:p>
    <w:p w14:paraId="536620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FD75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La conformación del inventario general de los elementos constitutivos del espacio público en el área rural en el nivel estructural o de influencia general en el municipio o distrito. </w:t>
      </w:r>
    </w:p>
    <w:p w14:paraId="098654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5598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La definición del sistema rural regional de espacio público y de los elementos de interacción y enlace entre el espacio público urbano y rural. </w:t>
      </w:r>
    </w:p>
    <w:p w14:paraId="4BCA46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ECFD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La definición de estrategias para su preservación y mantenimiento. </w:t>
      </w:r>
    </w:p>
    <w:p w14:paraId="39FD9063" w14:textId="6766CB7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5" w:name="ver_30072964"/>
      <w:bookmarkEnd w:id="1005"/>
    </w:p>
    <w:p w14:paraId="4F9909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2.2.3.2.3 Espacio público en el programa de ejecución. En el programa de ejecución se deben incorporar las definiciones con carácter obligatorio de las actuaciones sobre el espacio público. </w:t>
      </w:r>
    </w:p>
    <w:p w14:paraId="071053F9" w14:textId="672E428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6" w:name="ver_30072968"/>
      <w:bookmarkEnd w:id="1006"/>
    </w:p>
    <w:p w14:paraId="187231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2.2.3.2.4 Diagnóstico del espacio público. El diagnóstico deberá comprender un análisis de la oferta y la demanda de espacio público que permita establecer y proyectar el déficit cuantitativo y cualitativo del mismo. </w:t>
      </w:r>
    </w:p>
    <w:p w14:paraId="54BDB5E9" w14:textId="59054F8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7" w:name="ver_30072970"/>
      <w:bookmarkEnd w:id="1007"/>
    </w:p>
    <w:p w14:paraId="0CF88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2.2.3.2.5 Déficit cuantitativo de espacio público. Para la situación actual y en el marco del desarrollo futuro del municipio o distrito, el déficit cuantitativo es la carencia o insuficiente disponibilidad de elementos de espacio público con relación al número de habitantes permanentes del territorio. Para el caso de lugares turísticos con alta incidencia de población flotante, el monto de habitantes cubiertos debe incorporar una porción correspondiente a esta población transitoria. </w:t>
      </w:r>
    </w:p>
    <w:p w14:paraId="36002D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ED56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medición del déficit cuantitativo se hará con base en un índice mínimo de espacio público efectivo, es decir el espacio público de carácter permanente, conformado por zonas verdes, parques, plazas y plazoletas. </w:t>
      </w:r>
    </w:p>
    <w:p w14:paraId="161A75B2" w14:textId="09E1DB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8" w:name="ver_30072972"/>
      <w:bookmarkEnd w:id="1008"/>
    </w:p>
    <w:p w14:paraId="1021DD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2.2.3.2.6 Déficit cualitativo de espacio público El déficit cualitativo está definido por las condiciones inadecuadas para el uso, goce y disfrute de los elementos del espacio público que satisfacen necesidades, colectivas por parte de los residentes y visitantes del territorio, con especial énfasis en las situaciones de inaccesibilidad debido a condiciones de deterioro, inseguridad o imposibilidad física de acceso, cuando éste se requiere, y al desequilibrio generado por las condiciones de localización de los elementos con relación a la ubicación de la población que los disfruta. </w:t>
      </w:r>
    </w:p>
    <w:p w14:paraId="2D4DD66E" w14:textId="7503FAD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09" w:name="ver_30072973"/>
      <w:bookmarkEnd w:id="1009"/>
    </w:p>
    <w:p w14:paraId="1E280B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2.2.3.2.7 Índice mínimo de espacio público efectivo. Se considera como índice mínimo de espacio público efectivo, para ser obtenido por las áreas urbanas de los municipios y distritos dentro de las metas y programa de largo plazo establecidos por el Plan de Ordenamiento Territorial, un mínimo de quince (15m2) metros cuadrados y por habitante, para ser alcanzado durante la vigencia del plan respectivo. </w:t>
      </w:r>
    </w:p>
    <w:p w14:paraId="013F00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4268B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10" w:name="ver_30072975"/>
      <w:bookmarkEnd w:id="1010"/>
      <w:r w:rsidRPr="009342F9">
        <w:rPr>
          <w:rFonts w:ascii="Arial" w:eastAsia="Times New Roman" w:hAnsi="Arial" w:cs="Arial"/>
          <w:color w:val="000000"/>
          <w:lang w:eastAsia="es-CO"/>
        </w:rPr>
        <w:t>Artículo 2.2.3.2.8 Base para definir las áreas de intervención para la generación preservación, conservación, mejoramiento y mantenimiento de los elementos del espacio público. En la formulación del Plan de Ordenamiento Territorial la estimación del déficit cualitativo y cuantitativo será la base para definir las áreas de intervención con políticas, programas y proyectos para la generación preservación, conservación, mejoramiento y mantenimiento de los elementos del espacio público. </w:t>
      </w:r>
    </w:p>
    <w:p w14:paraId="4003479C" w14:textId="77777777" w:rsidR="00D4095E" w:rsidRPr="009342F9" w:rsidRDefault="00D4095E" w:rsidP="00D4095E">
      <w:pPr>
        <w:spacing w:after="0" w:line="240" w:lineRule="auto"/>
        <w:jc w:val="center"/>
        <w:rPr>
          <w:rFonts w:ascii="Arial" w:eastAsia="Times New Roman" w:hAnsi="Arial" w:cs="Arial"/>
          <w:b/>
          <w:bCs/>
          <w:color w:val="000000"/>
          <w:lang w:eastAsia="es-CO"/>
        </w:rPr>
      </w:pPr>
      <w:bookmarkStart w:id="1011" w:name="ver_30072977"/>
      <w:bookmarkEnd w:id="1011"/>
    </w:p>
    <w:p w14:paraId="625A841C" w14:textId="318054CD"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458B1118"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MANEJO DEL ESPACIO PÚBLICO</w:t>
      </w:r>
    </w:p>
    <w:p w14:paraId="031BA748"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12" w:name="ver_30072978"/>
      <w:bookmarkEnd w:id="1012"/>
    </w:p>
    <w:p w14:paraId="56ED15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2.2.3.3.1 Coordinación de políticas relacionadas con la gestión del espacio público. El Ministerio de Vivienda, Ciudad y Territorio deberá coordinar las políticas nacionales relacionadas con la gestión del espacio público en el marco de la planeación del ordenamiento del territorio con el apoyo técnico a las entidades territoriales y áreas metropolitanas. </w:t>
      </w:r>
    </w:p>
    <w:p w14:paraId="169D3AC0" w14:textId="60666A3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13" w:name="ver_30072981"/>
      <w:bookmarkEnd w:id="1013"/>
    </w:p>
    <w:p w14:paraId="28E398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2.2.3.3.2 Funciones de las entidades responsables del espacio público. Los municipios y distritos podrán crear de acuerdo con su organización legal entidades responsables de la administración, desarrollo, mantenimiento y apoyo financiero del espacio público, que cumplirán entre otras las siguientes funciones: </w:t>
      </w:r>
    </w:p>
    <w:p w14:paraId="3E524B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223E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Elaboración del inventario del espacio público. </w:t>
      </w:r>
    </w:p>
    <w:p w14:paraId="1AC47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0ED9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Definición de políticas y estrategias del espacio público. </w:t>
      </w:r>
    </w:p>
    <w:p w14:paraId="1ACC88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9905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Articulación entre las distintas entidades cuya gestión involucra directa o indirectamente la planeación, diseño, construcción, mantenimiento, conservación restitución, financiación y regulación del espacio público. </w:t>
      </w:r>
    </w:p>
    <w:p w14:paraId="1075AB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3066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Elaboración y coordinación del sistema general de espacio público como parte del plan de ordenamiento territorial. </w:t>
      </w:r>
    </w:p>
    <w:p w14:paraId="14D131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5759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Diseño de los subsistemas, enlaces y elementos del espacio público. </w:t>
      </w:r>
    </w:p>
    <w:p w14:paraId="0A1E81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5C95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Definición de escalas y criterios de intervención en el espacio público. </w:t>
      </w:r>
    </w:p>
    <w:p w14:paraId="2DE6E2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7B86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Desarrollo de mecanismos de participación y gestión. </w:t>
      </w:r>
    </w:p>
    <w:p w14:paraId="56DC60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65C2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8. Desarrollo de la </w:t>
      </w:r>
      <w:proofErr w:type="spellStart"/>
      <w:r w:rsidRPr="009342F9">
        <w:rPr>
          <w:rFonts w:ascii="Arial" w:eastAsia="Times New Roman" w:hAnsi="Arial" w:cs="Arial"/>
          <w:color w:val="000000"/>
          <w:lang w:eastAsia="es-CO"/>
        </w:rPr>
        <w:t>normatización</w:t>
      </w:r>
      <w:proofErr w:type="spellEnd"/>
      <w:r w:rsidRPr="009342F9">
        <w:rPr>
          <w:rFonts w:ascii="Arial" w:eastAsia="Times New Roman" w:hAnsi="Arial" w:cs="Arial"/>
          <w:color w:val="000000"/>
          <w:lang w:eastAsia="es-CO"/>
        </w:rPr>
        <w:t xml:space="preserve"> y estandarización de los elementos del espacio público. </w:t>
      </w:r>
    </w:p>
    <w:p w14:paraId="5DF02C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F018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corporaciones autónomas regionales y las autoridades ambientales de las entidades territoriales, establecidas por la Ley 99 de 1993, tendrán a su cargo la definición de las políticas ambientales, el manejo de los elementos naturales, las normas técnicas para la conservación, preservación y recuperación de los elementos naturales del espacio público. </w:t>
      </w:r>
    </w:p>
    <w:p w14:paraId="58B7A746" w14:textId="6B6A24B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14" w:name="ver_30072983"/>
      <w:bookmarkEnd w:id="1014"/>
    </w:p>
    <w:p w14:paraId="18990D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2.2.3.3.3 Administración, mantenimiento y el aprovechamiento económico del espacio público. Los municipios y distritos podrán contratar con entidades privadas la administración, mantenimiento y el aprovechamiento económico para el municipio o distrito del espacio público, sin que impida a la ciudadanía de su uso, goce, disfrute visual y libre tránsito. </w:t>
      </w:r>
    </w:p>
    <w:p w14:paraId="78500E94" w14:textId="2C9B0D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15" w:name="ver_30072984"/>
      <w:bookmarkEnd w:id="1015"/>
    </w:p>
    <w:p w14:paraId="324C29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2.2.3.3.4 Áreas públicas de uso activo o pasivo. En el caso de áreas públicas de uso activo o pasivo, en especial parques, plazas y plazoletas, los municipios y distritos podrán autorizar su uso por parte de entidades privadas para usos compatibles con la condición del espacio mediante contratos. En ningún caso estos contratos generarán derechos reales para las entidades privadas y deberán dar estricto cumplimiento a la prevalencia del interés general sobre el particular. </w:t>
      </w:r>
    </w:p>
    <w:p w14:paraId="718471F5" w14:textId="1394E1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16" w:name="ver_30072993"/>
      <w:bookmarkEnd w:id="1016"/>
    </w:p>
    <w:p w14:paraId="0114C2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2.2.3.3.5 Espacio público en áreas desarrolladas. Con el objeto de generar espacio público en áreas desarrolladas, el municipio o distrito podrá crear áreas generadoras de derechos transferibles de construcción y desarrollo, para ser incorporadas como elementos del espacio público al Plan de Ordenamiento Territorial o a los Planes Parciales que lo desarrollen, de conformidad con lo establecido en el Decreto-ley 151 de 1998. </w:t>
      </w:r>
    </w:p>
    <w:p w14:paraId="7CB24F78" w14:textId="11EE069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17" w:name="ver_30072996"/>
      <w:bookmarkEnd w:id="1017"/>
    </w:p>
    <w:p w14:paraId="5F9FB3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2.2.3.3.6 Parques y zonas verdes. Los parques y zonas verdes que tengan el carácter de bienes de uso público no podrán ser encerrados en forma tal que priven a la ciudadanía de su uso, goce, disfrute visual y libre tránsito. </w:t>
      </w:r>
    </w:p>
    <w:p w14:paraId="0CBB01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3484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efecto de parques y zonas del nivel local o de barrio que tengan carácter de bienes de uso público la entidad competente de su manejo </w:t>
      </w:r>
      <w:proofErr w:type="gramStart"/>
      <w:r w:rsidRPr="009342F9">
        <w:rPr>
          <w:rFonts w:ascii="Arial" w:eastAsia="Times New Roman" w:hAnsi="Arial" w:cs="Arial"/>
          <w:color w:val="000000"/>
          <w:lang w:eastAsia="es-CO"/>
        </w:rPr>
        <w:t>administrativo,</w:t>
      </w:r>
      <w:proofErr w:type="gramEnd"/>
      <w:r w:rsidRPr="009342F9">
        <w:rPr>
          <w:rFonts w:ascii="Arial" w:eastAsia="Times New Roman" w:hAnsi="Arial" w:cs="Arial"/>
          <w:color w:val="000000"/>
          <w:lang w:eastAsia="es-CO"/>
        </w:rPr>
        <w:t xml:space="preserve"> podrá encargar a organizaciones particulares sin ánimo de lucro y que representen los intereses del barrio o localidad la administración, mantenimiento, dotación y siempre y cuando garanticen el acceso al mismo de la población, en especial la permanente de su área de influencia. </w:t>
      </w:r>
    </w:p>
    <w:p w14:paraId="044DBEE3" w14:textId="550AE58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18" w:name="ver_30072999"/>
      <w:bookmarkEnd w:id="1018"/>
    </w:p>
    <w:p w14:paraId="35A0CF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2.2.3.3.7 Acción Popular. Los elementos constitutivos del espacio público y el medio ambiente tendrán para su defensa la acción popular consagrada en el artículo 1005 del Código Civil, de acuerdo con lo dispuesto en la Ley 472 de 1998. Esta acción también podrá dirigirse contra cualquier persona pública o privada, para la defensa de la integridad y condiciones de uso, goce y disfrute visual de dichos bienes mediante la remoción, suspensión o prevención de los conductos que comprometen el interés público o la seguridad de los usuarios. </w:t>
      </w:r>
    </w:p>
    <w:p w14:paraId="754439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7066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incumplimiento de las órdenes que expida el juez en desarrollo de la acción de que trata el inciso anterior configura “Fraude a resolución judicial”, de acuerdo con la normatividad penal vigente. </w:t>
      </w:r>
    </w:p>
    <w:p w14:paraId="541988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A313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acción popular de que trata el artículo 1005 del Código Civil podrá interponerse en cualquier tiempo. </w:t>
      </w:r>
    </w:p>
    <w:p w14:paraId="0F34E880" w14:textId="1D27F4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19" w:name="ver_30073002"/>
      <w:bookmarkEnd w:id="1019"/>
    </w:p>
    <w:p w14:paraId="7BC82A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2.2.3.3.8 Ocupación de bienes de uso público. La ocupación en forma permanente de los parques públicos, zonas verdes y demás bienes de uso público, el encerramiento sin la debida autorización de las autoridades municipales o distrital, la realización de intervenciones en áreas que formen parte del espacio público, sin la debida licencia o contraviniéndola y la ocupación temporal o permanente del espacio público con cualquier tipo de amoblamiento o instalaciones dará lugar a la imposición de las sanciones urbanísticas que señala el artículo 104 de la Ley 388 de 1997, modificado por el artículo 2 de la Ley 810 de 2003. </w:t>
      </w:r>
    </w:p>
    <w:p w14:paraId="036FCE5F" w14:textId="6BAD8B5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20" w:name="ver_30073003"/>
      <w:bookmarkEnd w:id="1020"/>
    </w:p>
    <w:p w14:paraId="734CC8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2.2.3.3.9. Áreas de </w:t>
      </w:r>
      <w:proofErr w:type="gramStart"/>
      <w:r w:rsidRPr="009342F9">
        <w:rPr>
          <w:rFonts w:ascii="Arial" w:eastAsia="Times New Roman" w:hAnsi="Arial" w:cs="Arial"/>
          <w:color w:val="000000"/>
          <w:lang w:eastAsia="es-CO"/>
        </w:rPr>
        <w:t>cesión pública y espacio público</w:t>
      </w:r>
      <w:proofErr w:type="gramEnd"/>
      <w:r w:rsidRPr="009342F9">
        <w:rPr>
          <w:rFonts w:ascii="Arial" w:eastAsia="Times New Roman" w:hAnsi="Arial" w:cs="Arial"/>
          <w:color w:val="000000"/>
          <w:lang w:eastAsia="es-CO"/>
        </w:rPr>
        <w:t>. Además de lo dispuesto en el artículo 2.2.6.1.4.5 del presente decreto o las normas que lo adicionen, modifiquen o sustituyan, para la determinación y configuración de las áreas de cesión pública, en las licencias de urbanización y en los proyectos urbanísticos generales se deberá garantizar la continuidad de la red vial y de las áreas de espacio público destinadas a parques, plazas y zonas verdes con las redes viales existentes o proyectadas y/o con las áreas de cesión obligatoria existentes o autorizadas en las licencias vigentes en predios colindantes. </w:t>
      </w:r>
    </w:p>
    <w:p w14:paraId="63B608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046870" w14:textId="2341F8F1" w:rsidR="00FC79C1" w:rsidRPr="009342F9" w:rsidRDefault="00FC79C1" w:rsidP="00D4095E">
      <w:pPr>
        <w:spacing w:after="0" w:line="240" w:lineRule="auto"/>
        <w:jc w:val="center"/>
        <w:rPr>
          <w:rFonts w:ascii="Arial" w:eastAsia="Times New Roman" w:hAnsi="Arial" w:cs="Arial"/>
          <w:b/>
          <w:bCs/>
          <w:color w:val="000000"/>
          <w:lang w:eastAsia="es-CO"/>
        </w:rPr>
      </w:pPr>
      <w:bookmarkStart w:id="1021" w:name="ver_30073004"/>
      <w:bookmarkEnd w:id="1021"/>
      <w:r w:rsidRPr="009342F9">
        <w:rPr>
          <w:rFonts w:ascii="Arial" w:eastAsia="Times New Roman" w:hAnsi="Arial" w:cs="Arial"/>
          <w:b/>
          <w:bCs/>
          <w:color w:val="000000"/>
          <w:lang w:eastAsia="es-CO"/>
        </w:rPr>
        <w:t>CAPÍTULO 4</w:t>
      </w:r>
    </w:p>
    <w:p w14:paraId="7D2757CB"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ACCESIBILIDAD AL MEDIO FÍSICO</w:t>
      </w:r>
    </w:p>
    <w:p w14:paraId="695FEF0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22" w:name="ver_30073007"/>
      <w:bookmarkEnd w:id="1022"/>
    </w:p>
    <w:p w14:paraId="206273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2.2.3.4.1 Ámbito de aplicación. Las disposiciones contenidas en el presente capítulo serán aplicables para: </w:t>
      </w:r>
    </w:p>
    <w:p w14:paraId="7BEA75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AC4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diseño, construcción, ampliación, modificación y en general, cualquier intervención y/u ocupación de vías públicas, mobiliario urbano y demás espacios de uso público. </w:t>
      </w:r>
    </w:p>
    <w:p w14:paraId="27F961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1C58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diseño y ejecución de obras de construcción, ampliación, adecuación y modificación de edificios, establecimientos e instalaciones de propiedad pública o privada, abiertos y de uso al público. </w:t>
      </w:r>
    </w:p>
    <w:p w14:paraId="3EF1F950" w14:textId="03DACD0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23" w:name="ver_30073008"/>
      <w:bookmarkEnd w:id="1023"/>
    </w:p>
    <w:p w14:paraId="63F650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2.2.3.4.2 Accesibilidad en el espacio público. El espacio público debe planearse, diseñarse, construirse y adecuarse de tal manera que facilite la accesibilidad a las personas con movilidad reducida, sea ésta temporal o permanente, o cuya capacidad de orientación se encuentre disminuida por la edad, analfabetismo, limitación o enfermedad, de conformidad con las normas establecidas en la Ley 361 de 1997 y aquellas que la reglamenten. </w:t>
      </w:r>
    </w:p>
    <w:p w14:paraId="515FBA8A" w14:textId="7279035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24" w:name="ver_30073010"/>
      <w:bookmarkEnd w:id="1024"/>
    </w:p>
    <w:p w14:paraId="608433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2.2.3.4.3 Licencias. Para efectos de la expedición de licencias de urbanización y/o construcción, la autoridad competente verificará el cumplimiento de las normas previstas en el presente decreto. </w:t>
      </w:r>
    </w:p>
    <w:p w14:paraId="766BAB9E" w14:textId="59EB772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25" w:name="ver_30073012"/>
      <w:bookmarkEnd w:id="1025"/>
    </w:p>
    <w:p w14:paraId="1BA3C7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2.2.3.4.4 Instrumentos de planeación territorial. Las disposiciones contenidas en la Ley 361 de 1997 y en el presente capítulo se entenderán incorporadas en los Planes de Ordenamiento Territorial y en los instrumentos que los desarrollen o complementen y serán de inmediata aplicación. </w:t>
      </w:r>
    </w:p>
    <w:p w14:paraId="4E58E7AC" w14:textId="5C09B7A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26" w:name="ver_30073014"/>
      <w:bookmarkEnd w:id="1026"/>
    </w:p>
    <w:p w14:paraId="43BC86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2.2.3.4.5 Símbolos de accesibilidad. El símbolo gráfico de accesibilidad de que trata la Norma Técnica Icontec NTC-4139 “Accesibilidad de las personas al medio físico. Símbolo Gráfico. Características Generales”, serán de obligatoria instalación en los espacios públicos y edificios de uso público, donde se cumplan las condiciones de accesibilidad previstas en el presente decreto. </w:t>
      </w:r>
    </w:p>
    <w:p w14:paraId="65EEAFDA" w14:textId="45F9320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27" w:name="ver_30073015"/>
      <w:bookmarkEnd w:id="1027"/>
    </w:p>
    <w:p w14:paraId="10DD20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2.2.3.4.6 Adaptación del espacio público. Los espacios de uso público de que trata el presente Capítulo serán adaptados en la forma que establezcan los municipios y distritos, de conformidad con lo previsto en sus Planes de Adaptación para Espacios Públicos, Edificios, Servicios e Instalaciones Dependientes, de conformidad con lo previsto en el artículo 57 de la Ley 361 de 1997. </w:t>
      </w:r>
    </w:p>
    <w:p w14:paraId="679B0056" w14:textId="26203A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28" w:name="ver_30073018"/>
      <w:bookmarkEnd w:id="1028"/>
    </w:p>
    <w:p w14:paraId="4068D8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2.2.3.4.7 Adaptación de bienes de interés cultural. La adecuación o adaptación de inmuebles declarados como bienes de interés cultural de conformidad con la Ley 397 de 1997, se someterán a las regulaciones de conservación aplicables a tales bienes, las cuales prevalecerán en todos los casos sobre esta reglamentación. </w:t>
      </w:r>
    </w:p>
    <w:p w14:paraId="1C49F1A2"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029" w:name="ver_30073019"/>
      <w:bookmarkEnd w:id="1029"/>
    </w:p>
    <w:p w14:paraId="6A29BE69" w14:textId="0B9633B2"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5E7AAB6B"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ACCESIBILIDAD A LOS ESPACIOS DE USO PÚBLICO</w:t>
      </w:r>
    </w:p>
    <w:p w14:paraId="230F0994"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30" w:name="ver_30073021"/>
      <w:bookmarkEnd w:id="1030"/>
    </w:p>
    <w:p w14:paraId="12EF47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2.2.3.4.1.1 Accesibilidad al espacio público. Los elementos del espacio público deberán ser diseñados y construidos dando cumplimiento a los siguientes parámetros: </w:t>
      </w:r>
    </w:p>
    <w:p w14:paraId="008BB1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1D59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Vías de circulación peatonal </w:t>
      </w:r>
    </w:p>
    <w:p w14:paraId="22FD44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27AF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Los andenes deben ser continuos y a nivel, sin generar obstáculos con los predios colindantes y deben ser tratados con materiales duros y antideslizantes en seco y en mojado. </w:t>
      </w:r>
    </w:p>
    <w:p w14:paraId="32781F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58E6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Para permitir la continuidad entre los andenes y/o senderos peatonales se dispondrán los elementos necesarios que superen los cambios de nivel en los cruces de calzadas, ciclorrutas y otros. En estos casos se utilizarán vados, rampas, senderos escalonados, puentes y túneles. </w:t>
      </w:r>
    </w:p>
    <w:p w14:paraId="7E8D4F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3D06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En los cruces peatonales los vados deben conectar directamente con la cebra o zona demarcada para el tránsito de peatones. </w:t>
      </w:r>
    </w:p>
    <w:p w14:paraId="563538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B89A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Sobre la superficie correspondiente a la franja de circulación peatonal se debe diseñar y construir una guía de diferente textura al material de la superficie de la vía de circulación peatonal que oriente el desplazamiento de las personas invidentes o de baja visión. </w:t>
      </w:r>
    </w:p>
    <w:p w14:paraId="0F1EE6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7044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Para garantizar la continuidad de la circulación peatonal sobre la cebra, en los separadores viales se salvarán los desniveles existentes con vados o nivelando el separador con la calzada. </w:t>
      </w:r>
    </w:p>
    <w:p w14:paraId="010F35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972B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 Cuando se integre el andén con la calzada, se debe prever el diseño y la construcción de una franja de textura diferente y la instalación de elementos de protección para los peatones, para delimitar la circulación peatonal de la vehicular. </w:t>
      </w:r>
    </w:p>
    <w:p w14:paraId="256668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D018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Las rampas de acceso a los sótanos de las edificaciones deberán iniciarse a partir del paramento de construcción y en ningún caso sobre la franja de circulación peatonal del andén. </w:t>
      </w:r>
    </w:p>
    <w:p w14:paraId="1E5377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2EFB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1.8 Se deberán eliminar todos los elementos y estructuras que obstaculicen la continuidad de la franja de circulación peatonal. </w:t>
      </w:r>
    </w:p>
    <w:p w14:paraId="3C7CE2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0DC6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1.9 Los espacios públicos peatonales no se podrán cerrar ni obstaculizar con ningún tipo de elemento que impida el libre tránsito peatonal. </w:t>
      </w:r>
    </w:p>
    <w:p w14:paraId="1171C4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825A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Mobiliario urbano </w:t>
      </w:r>
    </w:p>
    <w:p w14:paraId="27E954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6C11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El mobiliario se debe localizar única y exclusivamente en la franja de amoblamiento, garantizando que la franja de circulación peatonal permanezca libre y continua. </w:t>
      </w:r>
    </w:p>
    <w:p w14:paraId="75D794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694F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Los elementos del mobiliario urbano instalados a lo largo de las vías peatonales, deben ser fácilmente detectables por todas las personas, en especial por las personas invidentes o de baja visión, para ello se instalará una franja sobre la superficie del piso, de diferente textura al material de la superficie del andén. </w:t>
      </w:r>
    </w:p>
    <w:p w14:paraId="651D3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863E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Cruces a desnivel: Puentes y túneles peatonales </w:t>
      </w:r>
    </w:p>
    <w:p w14:paraId="351798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33DA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Los recorridos del tráfico de la franja de circulación peatonal deben conducir hacia las escaleras y rampas de estos elementos. </w:t>
      </w:r>
    </w:p>
    <w:p w14:paraId="114855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0381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Los puentes peatonales deberán contar con un sistema de acceso de rampas. Si en el espacio en el que está prevista la construcción de un puente peatonal no se puede desarrollar las soluciones de acceso peatonal mediante rampas, se deberá instalar un sistema alterno eficiente que cumpla la misma función y que garantice el acceso autónomo de las personas con movilidad reducida. </w:t>
      </w:r>
    </w:p>
    <w:p w14:paraId="64790E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22D0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Los puentes peatonales deberán contar con un bordillo contenedor a lo largo de toda su extensión para prevenir que las ruedas de los coches, sillas de ruedas, entre otras, se salgan de los límites de este. Además, deben contar con elementos de protección como barandas y pasamanos que garanticen la circulación segura de los usuarios. </w:t>
      </w:r>
    </w:p>
    <w:p w14:paraId="39B823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2B12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El pavimento y las superficies de los cruces a desnivel deben ser antideslizantes en seco y en mojado. </w:t>
      </w:r>
    </w:p>
    <w:p w14:paraId="576705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49DA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3.5 Al inicio de los cruces a desnivel se debe diseñar y construir un cambio de textura en el piso que permita la detección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por parte de los invidentes o de las personas de baja visión. </w:t>
      </w:r>
    </w:p>
    <w:p w14:paraId="7A61C7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2922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Parques, plazas y plazoletas </w:t>
      </w:r>
    </w:p>
    <w:p w14:paraId="0918D2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3F55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Los espejos de agua, estanques, depresiones y otros componentes del ambiente y del paisaje que impliquen un cambio entre el sendero peatonal y el entorno, deberán contar con elementos de protección que garanticen la seguridad de las personas. </w:t>
      </w:r>
    </w:p>
    <w:p w14:paraId="50C896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5445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Los elementos de protección y de delimitación en parques, zonas verdes, jardines y espacios de circulación en general, no deben tener aristas vivas, ni elementos sobresalientes o proyectados peligrosamente sobre la franja de circulación peatonal. </w:t>
      </w:r>
    </w:p>
    <w:p w14:paraId="4E0547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8EDE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ningún caso las normas municipales o distritales podrán permitir la ocupación, uso temporal o reducción de la franja de circulación peatonal para localizar elementos de mobiliario urbano, tales como quioscos, casetas, carpas o construcciones móviles, temporales o con anclajes, los cuales solo podrán ubicarse dentro de la franja de amoblamiento. </w:t>
      </w:r>
    </w:p>
    <w:p w14:paraId="72F3EA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5FE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Además de lo dispuesto en el presente artículo, serán de obligatoria aplicación, en lo pertinente, las siguientes Normas Técnicas Colombianas para el diseño y construcción de los elementos del espacio público: </w:t>
      </w:r>
    </w:p>
    <w:p w14:paraId="53B1E5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BA2C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NTC 4279: “Accesibilidad de las personas al medio físico. Espacios urbanos y rurales. Vías de circulación peatonales planas”. </w:t>
      </w:r>
    </w:p>
    <w:p w14:paraId="034C2D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8454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NTC 4774: “Accesibilidad de las personas al medio físico. Espacios urbanos y rurales. Cruces peatonales a nivel y elevados o puentes peatonales”. </w:t>
      </w:r>
    </w:p>
    <w:p w14:paraId="35D90E6D" w14:textId="5DA3AC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31" w:name="ver_30073023"/>
      <w:bookmarkEnd w:id="1031"/>
    </w:p>
    <w:p w14:paraId="630B34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2.2.3.4.1.2 Accesibilidad en las vías públicas. Las vías públicas que se construyan al interior del perímetro </w:t>
      </w:r>
      <w:proofErr w:type="gramStart"/>
      <w:r w:rsidRPr="009342F9">
        <w:rPr>
          <w:rFonts w:ascii="Arial" w:eastAsia="Times New Roman" w:hAnsi="Arial" w:cs="Arial"/>
          <w:color w:val="000000"/>
          <w:lang w:eastAsia="es-CO"/>
        </w:rPr>
        <w:t>urbano,</w:t>
      </w:r>
      <w:proofErr w:type="gramEnd"/>
      <w:r w:rsidRPr="009342F9">
        <w:rPr>
          <w:rFonts w:ascii="Arial" w:eastAsia="Times New Roman" w:hAnsi="Arial" w:cs="Arial"/>
          <w:color w:val="000000"/>
          <w:lang w:eastAsia="es-CO"/>
        </w:rPr>
        <w:t xml:space="preserve"> deben contemplar la construcción de la totalidad de los elementos del perfil vial, en especial, las calzadas, los separadores, los andenes, los sardineles, las zonas verdes y demás elementos que lo conforman, según lo que establezca el Plan de Ordenamiento Territorial del municipio o distrito. </w:t>
      </w:r>
    </w:p>
    <w:p w14:paraId="3FFB4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FEC1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vías públicas existentes al interior del perímetro urbano, que a 19 de mayo de 2005 no cuenten con la totalidad de los elementos del perfil vial, deberán adecuarse de acuerdo con lo dispuesto en los planes de adaptación del espacio público del respectivo municipio o distrito, y con sujeción a las condiciones de accesibilidad establecidas en las normas vigentes y a las normas del perfil vial establecidas por el respectivo municipio o distrito dentro del término de vigencia del Plan de Ordenamiento Territorial. </w:t>
      </w:r>
    </w:p>
    <w:p w14:paraId="11DE84D6" w14:textId="2FDE8DF6"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32" w:name="ver_30073025"/>
      <w:bookmarkEnd w:id="1032"/>
    </w:p>
    <w:p w14:paraId="4007FE47" w14:textId="34F7FF6E"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0DB2AE35"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ACCESIBILIDAD A EDIFICIOS ABIERTOS AL PÚBLICO</w:t>
      </w:r>
    </w:p>
    <w:p w14:paraId="1AD1D48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33" w:name="ver_30073027"/>
      <w:bookmarkEnd w:id="1033"/>
    </w:p>
    <w:p w14:paraId="7ED274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2.2.3.4.2.1 Características de los edificios abiertos al público. Para el diseño, construcción o adecuación de los edificios de uso público en general, se dará cumplimiento a los siguientes parámetros de accesibilidad: </w:t>
      </w:r>
    </w:p>
    <w:p w14:paraId="6AC603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8B98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Acceso a las edificaciones </w:t>
      </w:r>
    </w:p>
    <w:p w14:paraId="0B690A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C6CA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Se permitirá el acceso de perros guía, sillas de ruedas, bastones y demás elementos o ayudas necesarias, por parte de las personas que presenten dificultad o limitación para su movilidad y desplazamiento. </w:t>
      </w:r>
    </w:p>
    <w:p w14:paraId="005511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9FC2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Se dispondrá de sistemas de guías e información para las personas invidentes o con visión disminuida que facilite y agilice su desplazamiento seguro y efectivo. </w:t>
      </w:r>
    </w:p>
    <w:p w14:paraId="3DE4F7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0AB0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Entorno de las edificaciones </w:t>
      </w:r>
    </w:p>
    <w:p w14:paraId="7913A8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2867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Las hojas de las ventanas del primer piso, que colinden con andenes o sendas peatonales, no podrán abrir hacia afuera. </w:t>
      </w:r>
    </w:p>
    <w:p w14:paraId="631A2A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EF7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2.2 Los desniveles que se presenten en edificios de uso público, desde el </w:t>
      </w:r>
      <w:proofErr w:type="spellStart"/>
      <w:r w:rsidRPr="009342F9">
        <w:rPr>
          <w:rFonts w:ascii="Arial" w:eastAsia="Times New Roman" w:hAnsi="Arial" w:cs="Arial"/>
          <w:color w:val="000000"/>
          <w:lang w:eastAsia="es-CO"/>
        </w:rPr>
        <w:t>anden</w:t>
      </w:r>
      <w:proofErr w:type="spellEnd"/>
      <w:r w:rsidRPr="009342F9">
        <w:rPr>
          <w:rFonts w:ascii="Arial" w:eastAsia="Times New Roman" w:hAnsi="Arial" w:cs="Arial"/>
          <w:color w:val="000000"/>
          <w:lang w:eastAsia="es-CO"/>
        </w:rPr>
        <w:t xml:space="preserve"> hasta el acceso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deben ser superados por medio de vados, rampas o similares. </w:t>
      </w:r>
    </w:p>
    <w:p w14:paraId="65E69F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7287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Cuando se trate de un conjunto de edificios o instalaciones de uso público, deberá garantizarse por lo menos que una de las rutas peatonales que los unan entre sí y con la vía pública, se construya según las condiciones establecidas en el Capítulo Segundo de este decreto. </w:t>
      </w:r>
    </w:p>
    <w:p w14:paraId="53B4F3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FE36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Acceso al interior de las edificaciones de uso público </w:t>
      </w:r>
    </w:p>
    <w:p w14:paraId="3671DC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11E2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Al menos uno de los accesos al interior de la edificación, debe ser construido de tal forma que permita el ingreso de personas con algún tipo de movilidad reducida y deberá contar con un ancho mínimo que garantice la libre circulación de una persona en silla de ruedas. </w:t>
      </w:r>
    </w:p>
    <w:p w14:paraId="4E3AE8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FA1B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3.2 Cuando el diseño contemple ascensores, el ancho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debe garantizar el libre acceso y maniobrabilidad de las personas con movilidad reducida y/o en sillas de ruedas. </w:t>
      </w:r>
    </w:p>
    <w:p w14:paraId="49F49F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96BF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Las puertas principales de acceso a toda construcción, sea esta pública o privada, se deberán abrir hacia el exterior o en ambos sentidos, deberán así mismo contar con manijas automáticas al empujar. En ningún caso, pueden invadir las áreas de circulación peatonal. </w:t>
      </w:r>
    </w:p>
    <w:p w14:paraId="5A3968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7446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3.4 Las puertas de vidrio siempre llevarán franjas anaranjadas o </w:t>
      </w:r>
      <w:proofErr w:type="spellStart"/>
      <w:r w:rsidRPr="009342F9">
        <w:rPr>
          <w:rFonts w:ascii="Arial" w:eastAsia="Times New Roman" w:hAnsi="Arial" w:cs="Arial"/>
          <w:color w:val="000000"/>
          <w:lang w:eastAsia="es-CO"/>
        </w:rPr>
        <w:t>blancofluorescente</w:t>
      </w:r>
      <w:proofErr w:type="spellEnd"/>
      <w:r w:rsidRPr="009342F9">
        <w:rPr>
          <w:rFonts w:ascii="Arial" w:eastAsia="Times New Roman" w:hAnsi="Arial" w:cs="Arial"/>
          <w:color w:val="000000"/>
          <w:lang w:eastAsia="es-CO"/>
        </w:rPr>
        <w:t xml:space="preserve"> a la altura indicada. </w:t>
      </w:r>
    </w:p>
    <w:p w14:paraId="72B4D7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B0E2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3.5 En caso de que el acceso al inmueble se haga mediante puertas giratorias, torniquetes o similares, que dificulten el tránsito de las personas en sillas de ruedas o con movilidad reducida, se deberá disponer de un acceso alterno que les facilite su ingreso. </w:t>
      </w:r>
    </w:p>
    <w:p w14:paraId="02E27F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364B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3.6 Todas las puertas contarán con mecanismos de fácil apertura manual para garantizar una segura y fácil evacuación en cualquier emergencia, incluyendo los sistemas de apertura eléctricos y de sensores. Para tal efecto, todos los niveles de la edificación contarán con planos de ruta de emergencia y la señalización de emergencia de acuerdo con los parámetros adoptados por el Ministerio de Salud. </w:t>
      </w:r>
    </w:p>
    <w:p w14:paraId="2BF299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F478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3.7 Se dispondrá de al menos un servicio sanitario accesible. </w:t>
      </w:r>
    </w:p>
    <w:p w14:paraId="01B851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2537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Espacios de recepción o vestíbulo </w:t>
      </w:r>
    </w:p>
    <w:p w14:paraId="09DE43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DB1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El área que ocupe el mobiliario de recepción debe ser independiente del área de circulación. </w:t>
      </w:r>
    </w:p>
    <w:p w14:paraId="25F100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9B96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En las salas de espera o descanso, se dispondrán espacios para los usuarios en silla de ruedas, que permitan su permanencia sin obstruir las zonas de circulación. </w:t>
      </w:r>
    </w:p>
    <w:p w14:paraId="50F0BE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DB12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4.3 Las edificaciones de uso público que dispongan de áreas para la espera o estancia de personas y que colinden con vacíos sobre otros niveles, deberán garantizar la seguridad a través de la construcción de protecciones como muros, rejas o barandas sólidas. </w:t>
      </w:r>
    </w:p>
    <w:p w14:paraId="756378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175D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Además de lo dispuesto en el presente artículo, serán de obligatoria aplicación, en lo pertinente, las siguientes Normas Técnicas Colombianas para el diseño, construcción o adecuación de los edificios de uso público: </w:t>
      </w:r>
    </w:p>
    <w:p w14:paraId="0F7C2C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C753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NTC 4140: “Accesibilidad de las personas al medio físico. Edificios, pasillos, corredores. Características Generales”. </w:t>
      </w:r>
    </w:p>
    <w:p w14:paraId="5ED1B9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C682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NTC 4143: “Accesibilidad de las personas al medio físico. Edificios, rampas fijas”. </w:t>
      </w:r>
    </w:p>
    <w:p w14:paraId="10836D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FFE6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NTC 4145: “Accesibilidad de las personas al medio físico. Edificios. Escaleras”. </w:t>
      </w:r>
    </w:p>
    <w:p w14:paraId="2039F1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E136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NTC 4201: “Accesibilidad de las personas al medio físico. Edificios. Equipamientos. Bordillos, pasamanos y agarraderas”. </w:t>
      </w:r>
    </w:p>
    <w:p w14:paraId="7FF757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E003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NTC 4349: “Accesibilidad de las personas al medio físico. Edificios. Ascensores”. </w:t>
      </w:r>
    </w:p>
    <w:p w14:paraId="1AA265CC" w14:textId="1690C37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34" w:name="ver_30109355"/>
      <w:bookmarkStart w:id="1035" w:name="ver_30109354"/>
      <w:bookmarkEnd w:id="1034"/>
    </w:p>
    <w:p w14:paraId="6327F6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2.2.3.4.2.2. Accesibilidad a edificaciones para vivienda. Independientemente de lo dispuesto en el parágrafo 2° del artículo 29 de la Ley 546 de 1999, subrogado por el parágrafo 3° del artículo 1° de la Ley 1114 de 2006, para el diseño y construcción de vivienda nueva, se dará aplicación en lo pertinente, a las normas técnicas previstas en el artículo anterior. </w:t>
      </w:r>
    </w:p>
    <w:p w14:paraId="0F2BAA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2BE6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En los eventos de vivienda multifamiliar o </w:t>
      </w:r>
      <w:proofErr w:type="spellStart"/>
      <w:r w:rsidRPr="009342F9">
        <w:rPr>
          <w:rFonts w:ascii="Arial" w:eastAsia="Times New Roman" w:hAnsi="Arial" w:cs="Arial"/>
          <w:color w:val="000000"/>
          <w:lang w:eastAsia="es-CO"/>
        </w:rPr>
        <w:t>bifamiliar</w:t>
      </w:r>
      <w:proofErr w:type="spellEnd"/>
      <w:r w:rsidRPr="009342F9">
        <w:rPr>
          <w:rFonts w:ascii="Arial" w:eastAsia="Times New Roman" w:hAnsi="Arial" w:cs="Arial"/>
          <w:color w:val="000000"/>
          <w:lang w:eastAsia="es-CO"/>
        </w:rPr>
        <w:t>, al menos uno de los accesos a la edificación debe ser construido de tal forma, que permita el ingreso de personas con algún tipo de movilidad reducida. </w:t>
      </w:r>
    </w:p>
    <w:p w14:paraId="443C3C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EAF9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se trate de un conjunto residencial de una o varias edificaciones, las rutas peatonales deben cumplir las condiciones de accesibilidad establecidas en la presente sección a fin de que se asegure la conexión de la vía pública con los salones comunales y las zonas comunes destinadas a la recreación y deporte del conjunto o agrupación. </w:t>
      </w:r>
    </w:p>
    <w:p w14:paraId="326565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01FC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aquellos casos en que por las condiciones topográficas del terreno existan vías con pendientes iguales o superiores al 18%, en los respectivos proyectos urbanísticos se deberá asegurar que el acceso a las viviendas que estén destinadas a cumplir lo dispuesto en el parágrafo 2° del artículo 29 de la Ley 546 de 1999 subrogado por el parágrafo 3º del artículo 1° de la Ley 1114 de 2006, se permita el ingreso de personas con algún tipo de movilidad reducida. </w:t>
      </w:r>
    </w:p>
    <w:p w14:paraId="224FB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6168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las vías que contemplen pendientes menores al 18%, se dará aplicación en lo pertinente, a las normas técnicas previstas en el artículo anterior”. </w:t>
      </w:r>
    </w:p>
    <w:p w14:paraId="1EB91D10"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E9CB386"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36" w:name="ver_30073047"/>
      <w:bookmarkEnd w:id="1035"/>
      <w:bookmarkEnd w:id="1036"/>
      <w:r w:rsidRPr="009342F9">
        <w:rPr>
          <w:rFonts w:ascii="Arial" w:eastAsia="Times New Roman" w:hAnsi="Arial" w:cs="Arial"/>
          <w:b/>
          <w:bCs/>
          <w:color w:val="000000"/>
          <w:lang w:eastAsia="es-CO"/>
        </w:rPr>
        <w:t>SECCIÓN 3</w:t>
      </w:r>
    </w:p>
    <w:p w14:paraId="1C9FE4D0"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ACCESIBILIDAD EN LOS ESTACIONAMIENTOS</w:t>
      </w:r>
    </w:p>
    <w:p w14:paraId="3D19BDD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37" w:name="ver_30073049"/>
      <w:bookmarkEnd w:id="1037"/>
    </w:p>
    <w:p w14:paraId="1F9445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2.2.3.4.3.1 Reserva de estacionamientos accesibles en zonas de parqueo. En todos los sitios abiertos al público como edificios de uso público, centros comerciales, nuevas urbanizaciones y unidades residenciales y en general en todo sitio donde existan parqueaderos habilitados para visitantes, se dispondrá de sitios de parqueo para personas con movilidad reducida, debidamente señalizados y con las dimensiones internacionales. </w:t>
      </w:r>
    </w:p>
    <w:p w14:paraId="164211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B8A7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estos espacios se garantizará como mínimo un porcentaje equivalente al dos por ciento (2%) del total de parqueaderos habilitados. En ningún caso, podrá haber menos de un (1) espacio habilitado, debidamente señalizado con el símbolo gráfico de accesibilidad. </w:t>
      </w:r>
    </w:p>
    <w:p w14:paraId="6A11A4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F3AF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autoridades municipales y distritales competentes, determinarán en las normas urbanísticas del Plan de Ordenamiento Territorial, la reserva para estacionamientos accesibles, contiguos a todo centro de interés público, sea este de tipo administrativo, comercial, cultural, recreativo, deportivo, o de servicios; dicha reserva no podrá ser menor de 2 estacionamientos por cada 100. </w:t>
      </w:r>
    </w:p>
    <w:p w14:paraId="364C60CE" w14:textId="473FA69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38" w:name="ver_30073053"/>
      <w:bookmarkEnd w:id="1038"/>
    </w:p>
    <w:p w14:paraId="2B2A8C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2.2.3.4.3.2 Características de los estacionamientos para personas con movilidad reducida. El diseño, construcción o adecuación de zonas de parqueo para las personas con movilidad reducida en espacio público o edificaciones deberá cumplir con las siguientes características: </w:t>
      </w:r>
    </w:p>
    <w:p w14:paraId="1A588B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F54F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 ubicarán frente al acceso de las edificaciones o lo más cercano a ellas y contiguos a senderos o rutas peatonales. </w:t>
      </w:r>
    </w:p>
    <w:p w14:paraId="4AFCFD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9E96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diferencias de nivel existentes entre los puestos de estacionamiento accesibles y los senderos o rutas peatonales, serán resueltas mediante la construcción de vados o rampas, a fin de facilitar la circulación autónoma de las personas con movilidad reducida. </w:t>
      </w:r>
    </w:p>
    <w:p w14:paraId="6B1F46BF" w14:textId="03C37D0D"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39" w:name="ver_30073054"/>
      <w:bookmarkEnd w:id="1039"/>
    </w:p>
    <w:p w14:paraId="56539FA3" w14:textId="5FE5260C" w:rsidR="00A7403B" w:rsidRPr="009342F9" w:rsidRDefault="00FC79C1" w:rsidP="00A7403B">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5</w:t>
      </w:r>
    </w:p>
    <w:p w14:paraId="704B6A40"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ESTÁNDARES URBANÍSTICOS</w:t>
      </w:r>
    </w:p>
    <w:p w14:paraId="1838051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40" w:name="ver_30073057"/>
      <w:bookmarkEnd w:id="1040"/>
    </w:p>
    <w:p w14:paraId="38276C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2.2.3.5.1 Ámbito de aplicación. Las disposiciones contenidas en el presente capítulo reglamentan los estándares urbanísticos básicos para el desarrollo de la vivienda, los equipamientos y los espacios públicos, necesarios para su articulación con los sistemas de movilidad, principalmente con la red peatonal y de ciclorrutas que complementen el sistema de transporte y se establecen las condiciones mínimas de los perfiles viales al interior del perímetro urbano de los municipios y distritos que hayan adoptado plan de ordenamiento territorial, en los términos del literal a) del artículo 9° de la Ley 388 de 1997. </w:t>
      </w:r>
    </w:p>
    <w:p w14:paraId="5B698A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F58D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disposiciones contenidas en el presente capítulo sólo se aplicarán a las zonas y predios urbanizables no urbanizados sujetos a las actuaciones de urbanización a los que se les haya asignado el tratamiento urbanístico de desarrollo en suelo urbano o de expansión urbana. Las disposiciones del presente capítulo también se aplicarán para la planificación, diseño, construcción y/o adaptación de las vías del perímetro urbano del respectivo municipio o distrito. </w:t>
      </w:r>
    </w:p>
    <w:p w14:paraId="4999DD78" w14:textId="20CC31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41" w:name="ver_30073061"/>
      <w:bookmarkEnd w:id="1041"/>
    </w:p>
    <w:p w14:paraId="2ED214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2.2.3.5.2 Estándares urbanísticos. Se conciben como el conjunto de patrones de medida o referentes que orientan la planificación, diseño y construcción de los desarrollos de vivienda, equipamientos y espacios públicos, así como de los elementos que constituyen los perfiles viales. </w:t>
      </w:r>
    </w:p>
    <w:p w14:paraId="4C7C2A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6F46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municipios y distritos podrán adoptar los estándares urbanísticos como parámetro mínimo de calidad para la ejecución de las actuaciones urbanísticas relacionadas con el ordenamiento del territorio. </w:t>
      </w:r>
    </w:p>
    <w:p w14:paraId="11FC12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53C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perjuicio de lo dispuesto en el parágrafo 1 del artículo 15 de la Ley 388 de 1997 o la norma que la adicione, modifique o sustituya, los municipios y distritos podrán establecer en sus planes de ordenamiento territorial o en los instrumentos que lo desarrollen y complementen, condiciones urbanísticas de calidades superiores a las previstas en el presente decreto. </w:t>
      </w:r>
    </w:p>
    <w:p w14:paraId="0FE4F08A" w14:textId="21ED65D2" w:rsidR="00D4095E" w:rsidRPr="009342F9" w:rsidRDefault="00FC79C1" w:rsidP="00A57EE6">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042" w:name="ver_30073063"/>
      <w:bookmarkEnd w:id="1042"/>
    </w:p>
    <w:p w14:paraId="1559D134" w14:textId="29E9F83C" w:rsidR="00FC79C1"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5B9A1628" w14:textId="77777777" w:rsidR="00A7403B" w:rsidRPr="009342F9" w:rsidRDefault="00A7403B" w:rsidP="00D4095E">
      <w:pPr>
        <w:spacing w:after="0" w:line="240" w:lineRule="auto"/>
        <w:jc w:val="center"/>
        <w:rPr>
          <w:rFonts w:ascii="Arial" w:eastAsia="Times New Roman" w:hAnsi="Arial" w:cs="Arial"/>
          <w:b/>
          <w:bCs/>
          <w:color w:val="000000"/>
          <w:lang w:eastAsia="es-CO"/>
        </w:rPr>
      </w:pPr>
    </w:p>
    <w:p w14:paraId="31BB75B5"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ESTÁNDARES URBANÍSTICOS PARA EL DESARROLLO DE VIVIENDA, EQUIPAMIENTOS Y ESPACIOS PÚBLICOS NECESARIOS PARA ARTICULAR LOS SISTEMAS DE MOVILIDAD CON LA ESTRUCTURA URBANA PROPUESTA EN LOS PLANES DE ORDENAMIENTO TERRITORIAL</w:t>
      </w:r>
    </w:p>
    <w:p w14:paraId="7F9F74F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43" w:name="ver_30073065"/>
      <w:bookmarkEnd w:id="1043"/>
    </w:p>
    <w:p w14:paraId="235754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2.2.3.5.1.1 Articulación de los desarrollos de vivienda con los sistemas de movilidad. Se podrán adoptar los siguientes estándares para el desarrollo de nuevos proyectos residenciales en zonas y predios urbanizables no urbanizados a los que se les haya asignado el tratamiento urbanístico de desarrollo en suelo urbano o de expansión urbana: </w:t>
      </w:r>
    </w:p>
    <w:p w14:paraId="685500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00C1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costado de mayor extensión de una manzana destinada a uso residencial será igual o inferior a 250 metros. </w:t>
      </w:r>
    </w:p>
    <w:p w14:paraId="5801DE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AEC9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manzanas se delimitarán por vías públicas peatonales o vehiculares. En todo caso, al menos dos de estas vías serán vehiculares. La dimensión mínima de la franja de circulación peatonal será la establecida en el artículo 2.2.3.5.2.2 del presente decreto. </w:t>
      </w:r>
    </w:p>
    <w:p w14:paraId="1F7C8B7D" w14:textId="24C9FC0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44" w:name="ver_30073067"/>
      <w:bookmarkEnd w:id="1044"/>
    </w:p>
    <w:p w14:paraId="07FFF5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2.2.3.5.1.2 Articulación del espacio público con los sistemas de movilidad. Los parques, zonas verdes y plazas públicas que se desarrollen en zonas y predios urbanizables no urbanizados a los que se les haya asignado el tratamiento urbanístico de desarrollo en suelo urbano o de expansión urbana, se podrán delimitar por vías públicas peatonales o vehiculares, garantizando la continuidad de la franja de circulación peatonal. Las dimensiones mínimas del andén y de la franja de circulación peatonal serán las establecidas en el artículo 2.2.3.5.2.2 del presente decreto. </w:t>
      </w:r>
    </w:p>
    <w:p w14:paraId="0A510EF0" w14:textId="5DA8AB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45" w:name="ver_30073068"/>
      <w:bookmarkEnd w:id="1045"/>
    </w:p>
    <w:p w14:paraId="62B6C1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2.2.3.5.1.3 Articulación de las áreas destinadas a equipamientos con los sistemas de movilidad. Se podrán adoptar los siguientes estándares para la articulación de las áreas destinadas a equipamientos con los sistemas de movilidad en zonas y predios urbanizables no urbanizados a los que se les haya asignado el tratamiento urbanístico de desarrollo en suelo urbano o de expansión urbana: </w:t>
      </w:r>
    </w:p>
    <w:p w14:paraId="182543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9025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Todos los nuevos equipamientos resultantes de procesos de urbanización deberán estar rodeados totalmente con vías públicas peatonales o vehiculares. La dimensión mínima de la franja de circulación peatonal será de 1.60 metros. </w:t>
      </w:r>
    </w:p>
    <w:p w14:paraId="7D0E3D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608C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 los equipamientos resultantes de procesos de urbanización, al menos uno deberá estar conectado con un parque, plaza o zona verde derivada de la cesión urbanística obligatoria. </w:t>
      </w:r>
    </w:p>
    <w:p w14:paraId="7A6A018A" w14:textId="7D44387A"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46" w:name="ver_30073069"/>
      <w:bookmarkEnd w:id="1046"/>
    </w:p>
    <w:p w14:paraId="6B31263F" w14:textId="290EFC8C"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579534D3"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MÍNIMAS DE LOS PERFILES VIALES AL INTERIOR DEL PERÍMETRO</w:t>
      </w:r>
    </w:p>
    <w:p w14:paraId="121858E6"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47" w:name="ver_30073070"/>
      <w:bookmarkEnd w:id="1047"/>
    </w:p>
    <w:p w14:paraId="4B1725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2.2.3.5.2.1 Elementos de los perfiles viales. En la planificación, diseño, construcción y/o adaptación de las vías del perímetro urbano los municipios o distritos podrán establecer que los perfiles viales vehiculares se conformen como mínimo por el andén y la calzada. Adicionalmente podrán contener los componentes del perfil vial señalados en el numeral 2.1 artículo 2.2.3.1.5 del presente decreto, según lo establecido en el plan de ordenamiento territorial y en las normas que regulen la materia. </w:t>
      </w:r>
    </w:p>
    <w:p w14:paraId="520C57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7470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vía de circulación peatonal se podrá conformar como mínimo por la franja de circulación peatonal y la franja de amoblamiento. </w:t>
      </w:r>
    </w:p>
    <w:p w14:paraId="140621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4D92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elementos del perfil de los pasos urbanos se sujetarán a las reglamentaciones que sobre fajas de retiro expida el Gobierno Nacional, según lo dispuesto por la Ley 1228 de 2008. </w:t>
      </w:r>
    </w:p>
    <w:p w14:paraId="35CA295F" w14:textId="4D3E46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48" w:name="ver_30073071"/>
      <w:bookmarkEnd w:id="1048"/>
    </w:p>
    <w:p w14:paraId="27A1F7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2.2.3.5.2.2 Estándares para los andenes. Se podrán adoptar los siguientes estándares para la planificación, diseño, construcción y/o adaptación de los andenes de las vías del perímetro urbano de los municipios o distritos: </w:t>
      </w:r>
    </w:p>
    <w:p w14:paraId="0B9C24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266C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andén se compone de la franja de circulación peatonal y de la franja de amoblamiento. </w:t>
      </w:r>
    </w:p>
    <w:p w14:paraId="5D16D9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A722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dimensión mínima de la franja de circulación peatonal de los andenes será de 1.20 metros. </w:t>
      </w:r>
    </w:p>
    <w:p w14:paraId="36E7F3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7BD3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dimensión mínima de la franja de amoblamiento cuando se contemple arborización será de 1.20 metros y sin arborización 0.70 metros. </w:t>
      </w:r>
    </w:p>
    <w:p w14:paraId="585B2F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485B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Para el diseño y la construcción de vados y rampas se aplicará en lo pertinente la Norma Técnica Colombiana NTC 4143 “Accesibilidad de las personas al medio físico. Edificios, Rampas Fijas”. </w:t>
      </w:r>
    </w:p>
    <w:p w14:paraId="1BF491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70FB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Para orientar el desplazamiento de las personas invidentes o de baja visión en el diseño y construcción de los andenes se aplicará, en lo pertinente, la Norma Técnica Colombiana NTC 5610 “Accesibilidad de las personas al medio físico. Señalización Táctil”. </w:t>
      </w:r>
    </w:p>
    <w:p w14:paraId="7ECAF8F5" w14:textId="485A5F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49" w:name="ver_30073073"/>
      <w:bookmarkEnd w:id="1049"/>
    </w:p>
    <w:p w14:paraId="4BBDC4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2.2.3.5.2.3 Estándares para las ciclorrutas. Para garantizar la seguridad, comodidad y maniobrabilidad de los usuarios de las ciclorrutas, se podrán adoptar los siguientes estándares para la planificación, diseño, construcción y/o adaptación de las ciclorrutas en el perímetro urbano de los municipios o distritos: </w:t>
      </w:r>
    </w:p>
    <w:p w14:paraId="4A3088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E255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ciclorruta hará parte integral del perfil vial de las vías que determine el correspondiente plan de movilidad y en todos los casos su dimensión será independiente a la del andén o la calzada. </w:t>
      </w:r>
    </w:p>
    <w:p w14:paraId="7FFD3D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1F54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ancho mínimo de las ciclorrutas será de 1.20 metros por cada sentido. </w:t>
      </w:r>
    </w:p>
    <w:p w14:paraId="19F9F5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4D81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ciclorruta debe estar aislada de la calzada vehicular mínimo a 0.60 metros de distancia. Cuando la ciclorruta se proyecte a nivel del andén, se debe garantizar una distancia mínima de 0.60 metros libre de obstáculos sobre la franja de amoblamiento. </w:t>
      </w:r>
    </w:p>
    <w:p w14:paraId="2975B6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EDCD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Se debe mantener la continuidad en las ciclorrutas mediante la instalación de elementos necesarios que superen los cambios de nivel. </w:t>
      </w:r>
    </w:p>
    <w:p w14:paraId="3A3945C0" w14:textId="1B3A276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50" w:name="ver_30073075"/>
      <w:bookmarkEnd w:id="1050"/>
    </w:p>
    <w:p w14:paraId="4235A9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2.2.3.5.2.4 Estándares para el carril. Se podrán adoptar los siguientes estándares para la planificación, diseño, construcción y/o adaptación de los carriles de las vías del perímetro urbano de los municipios o distritos: </w:t>
      </w:r>
    </w:p>
    <w:p w14:paraId="1FAD8F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568F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las vías urbanas los anchos de carriles sin transporte público colectivo tendrán una dimensión mínima de 3.00 metros. </w:t>
      </w:r>
    </w:p>
    <w:p w14:paraId="73BA42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A4A0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las vías urbanas los anchos de carriles con transporte público colectivo tendrán una dimensión mínima de 3.20 metros. </w:t>
      </w:r>
    </w:p>
    <w:p w14:paraId="05A1FB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27E7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Cuando se planteen carriles de aceleración o desaceleración, la dimensión mínima de estos será de 3.00 metros. Tratándose de pasos urbanos la dimensión mínima será de 3.65 metros. </w:t>
      </w:r>
    </w:p>
    <w:p w14:paraId="3FF291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B2C9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Cuando los carriles sean de uso mixto tendrán una dimensión mínima de 3.20 metros. </w:t>
      </w:r>
    </w:p>
    <w:p w14:paraId="00E56B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47D9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Cuando se contemple carril de estacionamiento paralelo a la vía, su ancho mínimo será de 2.50 metros. En los pasos urbanos no se permitirá carril de estacionamiento paralelo a la vía. </w:t>
      </w:r>
    </w:p>
    <w:p w14:paraId="2A465A4E" w14:textId="3BACAB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51" w:name="ver_30073076"/>
      <w:bookmarkEnd w:id="1051"/>
    </w:p>
    <w:p w14:paraId="680339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2.2.3.5.2.5 Estándares para los cruces peatonales a desnivel. Se podrán adoptar los siguientes estándares para la planificación, diseño, construcción y/o adaptación de los cruces peatonales a desnivel, de las vías del perímetro urbano de los municipios o distritos: </w:t>
      </w:r>
    </w:p>
    <w:p w14:paraId="5EB281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180F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el diseño y construcción de los elementos de protección de los cruces a desnivel, puentes y túneles peatonales, se aplicará en lo pertinente la Norma Técnica Colombiana NTC 4201 “Accesibilidad de las personas al medio físico. Edificios. Equipamientos. Bordillos, pasamanos y agarraderas”. </w:t>
      </w:r>
    </w:p>
    <w:p w14:paraId="131EB8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8C0C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Gálibo para puentes peatonales sobre pasos urbanos tendrá una altura mínima de 5.00 metros. </w:t>
      </w:r>
    </w:p>
    <w:p w14:paraId="43C10B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CFEE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Gálibo para puentes peatonales sobre vías férreas tendrá una altura mínima de 5.50 metros. </w:t>
      </w:r>
    </w:p>
    <w:p w14:paraId="24369D5B" w14:textId="7F3B990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52" w:name="ver_30073078"/>
      <w:bookmarkEnd w:id="1052"/>
    </w:p>
    <w:p w14:paraId="5E3F65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2.2.3.5.2.6 Construcción del perfil vial. Con el fin de dar cumplimiento al artículo 3° de la Ley 1083 de 2006, cuando en las vías de la red vial principal se planteen calzadas con más de dos carriles por sentido, la construcción de las calzadas se podrá realizar de conformidad con el programa de ejecución del plan de desarrollo municipal o distrital, el plan de ordenamiento territorial o los instrumentos que lo desarrollen o el plan de movilidad, garantizando en todo caso, que por lo menos se construya en su primera fase una calzada por cada sentido propuesto y la totalidad de los andenes. </w:t>
      </w:r>
    </w:p>
    <w:p w14:paraId="1410A034" w14:textId="5FA027D7" w:rsidR="00D4095E" w:rsidRDefault="00FC79C1" w:rsidP="00A57EE6">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53" w:name="ver_30073079"/>
      <w:bookmarkEnd w:id="1053"/>
    </w:p>
    <w:p w14:paraId="630608A3" w14:textId="77777777" w:rsidR="00287A00" w:rsidRPr="009342F9" w:rsidRDefault="00287A00" w:rsidP="00A57EE6">
      <w:pPr>
        <w:spacing w:after="0" w:line="240" w:lineRule="auto"/>
        <w:jc w:val="both"/>
        <w:rPr>
          <w:rFonts w:ascii="Arial" w:eastAsia="Times New Roman" w:hAnsi="Arial" w:cs="Arial"/>
          <w:b/>
          <w:bCs/>
          <w:color w:val="000000"/>
          <w:lang w:eastAsia="es-CO"/>
        </w:rPr>
      </w:pPr>
    </w:p>
    <w:p w14:paraId="4E075048" w14:textId="4FCA043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4</w:t>
      </w:r>
    </w:p>
    <w:p w14:paraId="099FAE01"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INSTRUMENTOS DE PLANEACIÓN Y GESTIÓN DEL DESARROLLO TERRITORIAL</w:t>
      </w:r>
    </w:p>
    <w:p w14:paraId="2F00F8A5" w14:textId="77777777" w:rsidR="00287A00" w:rsidRDefault="00287A00" w:rsidP="00D4095E">
      <w:pPr>
        <w:spacing w:after="0" w:line="240" w:lineRule="auto"/>
        <w:jc w:val="center"/>
        <w:rPr>
          <w:rFonts w:ascii="Arial" w:eastAsia="Times New Roman" w:hAnsi="Arial" w:cs="Arial"/>
          <w:b/>
          <w:bCs/>
          <w:color w:val="000000"/>
          <w:lang w:eastAsia="es-CO"/>
        </w:rPr>
      </w:pPr>
    </w:p>
    <w:p w14:paraId="4DE319A7" w14:textId="3EFB5BAE"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1C5C0BD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PLANES PARCIALES</w:t>
      </w:r>
    </w:p>
    <w:p w14:paraId="123EE75D"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54" w:name="ver_30073081"/>
      <w:bookmarkEnd w:id="1054"/>
    </w:p>
    <w:p w14:paraId="123E8D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 Las disposiciones contenidas en el presente Capítulo reglamentan, de manera general, el procedimiento para la formulación y adopción de todo tipo de planes parciales y, de manera especial, el contenido de los planes parciales para las áreas sujetas a tratamiento de desarrollo dentro del perímetro urbano y las áreas comprendidas en el suelo de expansión urbana para su incorporación al perímetro urbano, en concordancia con las determinaciones de los planes de ordenamiento territorial y los instrumentos que lo desarrollen o complementen. </w:t>
      </w:r>
    </w:p>
    <w:p w14:paraId="04C1F3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A9BFCB"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Parágrafo. Los planes parciales no podrán en ningún caso, modificar la clasificación del suelo, ni las determinaciones y demás normas urbanísticas adoptadas en los planes de ordenamiento territorial. </w:t>
      </w:r>
    </w:p>
    <w:p w14:paraId="648AE104" w14:textId="2B3DE81D"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55" w:name="ver_30073083"/>
      <w:bookmarkEnd w:id="1055"/>
    </w:p>
    <w:p w14:paraId="017DBA29" w14:textId="4BF8ED5D"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4F5B5AEF"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FORMULACIÓN Y ADOPCIÓN DE PLANES PARCIALES</w:t>
      </w:r>
    </w:p>
    <w:p w14:paraId="7EBC6AD3"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56" w:name="ver_30073086"/>
      <w:bookmarkEnd w:id="1056"/>
    </w:p>
    <w:p w14:paraId="1D5B0A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2.2.4.1.1.1 Iniciativa de los planes parciales. Los proyectos de planes parciales serán elaborados por las autoridades municipales o distritales de planeación, por las comunidades o por los particulares interesados, de acuerdo con los parámetros que al respecto determine el plan de ordenamiento territorial. </w:t>
      </w:r>
    </w:p>
    <w:p w14:paraId="18FF4B41" w14:textId="7B34BA0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57" w:name="ver_30073088"/>
      <w:bookmarkEnd w:id="1057"/>
    </w:p>
    <w:p w14:paraId="14F6B3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2.2.4.1.1.2 Etapas para la formulación y adopción de los planes parciales. Para la formulación y adopción de los planes parciales se seguirá la siguiente secuencia de tres etapas, conforme con lo dispuesto en los artículos siguientes: </w:t>
      </w:r>
    </w:p>
    <w:p w14:paraId="57440E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F5BF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Etapa de formulación y revisión. </w:t>
      </w:r>
    </w:p>
    <w:p w14:paraId="36BE7C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B5D0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Etapa de concertación y consulta. </w:t>
      </w:r>
    </w:p>
    <w:p w14:paraId="0E1095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42B0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Etapa de adopción. </w:t>
      </w:r>
    </w:p>
    <w:p w14:paraId="6290B765" w14:textId="58C07C0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58" w:name="ver_30073090"/>
      <w:bookmarkEnd w:id="1058"/>
    </w:p>
    <w:p w14:paraId="64D89A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2.2.4.1.1.3 Determinantes para la formulación. Los interesados podrán optar por solicitar a la oficina de planeación municipal o distrital o la entidad que haga sus veces, que informe sobre las determinantes para la formulación del plan parcial en lo concerniente a la delimitación, las condiciones técnicas y las normas urbanísticas aplicables para la formulación del mismo, de acuerdo con los parámetros que al respecto determine el plan de ordenamiento territorial o el Macroproyecto de Interés Social Nacional, cuando este último así lo prevea. </w:t>
      </w:r>
    </w:p>
    <w:p w14:paraId="64ACD1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F4F9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Dicha solicitud de concepto de determinantes para la formulación del plan parcial deberá acompañarse de los siguientes documentos: </w:t>
      </w:r>
    </w:p>
    <w:p w14:paraId="55181F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8E7E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Si es persona natural, identificación del propietario o propietarios de los predios que hacen la solicitud. Si es persona jurídica debe acreditar su existencia y representación legal mediante el documento legal idóneo, cuya fecha de expedición no sea superior a un mes. </w:t>
      </w:r>
    </w:p>
    <w:p w14:paraId="0A868B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97BC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Poder debidamente otorgado, cuando se actúe mediante apoderado o promotor. </w:t>
      </w:r>
    </w:p>
    <w:p w14:paraId="662D66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C7E4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Plancha IGAC o plano georreferenciado disponible en el municipio o distrito que haga sus veces a escala 1:2000 o 1:5000 con la localización del predio o predios objeto de la solicitud e indicando la propuesta de delimitación del plan parcial. </w:t>
      </w:r>
    </w:p>
    <w:p w14:paraId="6D9774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4DC7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relación e identificación de los predios incluidos en la propuesta de delimitación y sus propietarios, localizándolos sobre el medio cartográfico de que trata el numeral anterior, además de los respectivos certificados de tradición y libertad, cuya fecha de expedición no sea superior a un mes, así como la información catastral disponible de los predios objeto de la solicitud. </w:t>
      </w:r>
    </w:p>
    <w:p w14:paraId="50EDA9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7DBA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factibilidad para extender o ampliar las redes de servicios públicos domiciliarios y las condiciones específicas para su prestación efectiva. </w:t>
      </w:r>
    </w:p>
    <w:p w14:paraId="1A6932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D245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conformidad con lo dispuesto en el artículo 37 de la Ley 388 de 1997, corresponderá a los municipios y distritos señalar el procedimiento previo para establecer la factibilidad para la prestación de los servicios públicos domiciliarios. </w:t>
      </w:r>
    </w:p>
    <w:p w14:paraId="1B642C01" w14:textId="2A11D99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F8D9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2.2.4.1.1.4 Coordinación interinstitucional. La autoridad de planeación municipal o distrital, dentro de los cinco (5) días hábiles siguientes a la radicación de la solicitud de determinantes para la elaboración del plan parcial, deberá solicitar el pronunciamiento de las autoridades ambientales, con base en los cuales se adelantará la concertación del proyecto de plan parcial. Dentro del mismo término podrá solicitar a las empresas de servicios públicos domiciliarios, a las demás dependencias y entidades municipales o distritales que tengan incidencia o responsabilidad en el desarrollo del plan parcial, la información y conceptos relacionados y necesarios para dar respuesta a la solicitud de determinantes. </w:t>
      </w:r>
    </w:p>
    <w:p w14:paraId="21AC05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50F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autoridades, dependencias y entidades a que se refiere el inciso anterior, dispondrán de un término de quince (15) días hábiles para remitir la información y los conceptos a la autoridad de planeación municipal o distrital. Durante este término se suspenderá el plazo de que dispone la autoridad de planeación municipal o distrital para responder la solicitud de determinantes. </w:t>
      </w:r>
    </w:p>
    <w:p w14:paraId="4022B9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2EFA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Recibida la totalidad de la información y los conceptos requeridos a que se refiere el inciso anterior, la autoridad de planeación municipal o </w:t>
      </w:r>
      <w:proofErr w:type="gramStart"/>
      <w:r w:rsidRPr="009342F9">
        <w:rPr>
          <w:rFonts w:ascii="Arial" w:eastAsia="Times New Roman" w:hAnsi="Arial" w:cs="Arial"/>
          <w:color w:val="000000"/>
          <w:lang w:eastAsia="es-CO"/>
        </w:rPr>
        <w:t>distrital,</w:t>
      </w:r>
      <w:proofErr w:type="gramEnd"/>
      <w:r w:rsidRPr="009342F9">
        <w:rPr>
          <w:rFonts w:ascii="Arial" w:eastAsia="Times New Roman" w:hAnsi="Arial" w:cs="Arial"/>
          <w:color w:val="000000"/>
          <w:lang w:eastAsia="es-CO"/>
        </w:rPr>
        <w:t xml:space="preserve"> dispondrá de un término de quince (15) días para dar respuesta a la solicitud de determinantes para la formulación del respectivo plan parcial, sin perjuicio de la responsabilidad administrativa para los funcionarios que incumplan con los términos previstos en el presente artículo. </w:t>
      </w:r>
    </w:p>
    <w:p w14:paraId="52DF5FA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59" w:name="ver_30073092"/>
      <w:bookmarkEnd w:id="1059"/>
    </w:p>
    <w:p w14:paraId="5E6502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2.2.4.1.1.5 Respuesta a la solicitud de determinantes. La oficina de planeación municipal o distrital o la entidad que haga sus </w:t>
      </w:r>
      <w:proofErr w:type="gramStart"/>
      <w:r w:rsidRPr="009342F9">
        <w:rPr>
          <w:rFonts w:ascii="Arial" w:eastAsia="Times New Roman" w:hAnsi="Arial" w:cs="Arial"/>
          <w:color w:val="000000"/>
          <w:lang w:eastAsia="es-CO"/>
        </w:rPr>
        <w:t>veces,</w:t>
      </w:r>
      <w:proofErr w:type="gramEnd"/>
      <w:r w:rsidRPr="009342F9">
        <w:rPr>
          <w:rFonts w:ascii="Arial" w:eastAsia="Times New Roman" w:hAnsi="Arial" w:cs="Arial"/>
          <w:color w:val="000000"/>
          <w:lang w:eastAsia="es-CO"/>
        </w:rPr>
        <w:t xml:space="preserve"> dispondrá de un término máximo de quince (15) días para responder mediante concepto la solicitud de que trata el artículo anterior, el cual incluirá, por lo menos, la siguiente información: </w:t>
      </w:r>
    </w:p>
    <w:p w14:paraId="640E6C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52EE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normas urbanísticas aplicables para la formulación del plan parcial. </w:t>
      </w:r>
    </w:p>
    <w:p w14:paraId="408475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9E2E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indicación y reglamentación de las áreas de reserva y protección ambiental, las zonas de amenaza y riesgo y las condiciones específicas para su manejo definidas por el plan de ordenamiento territorial y la entidad ambiental competente. </w:t>
      </w:r>
    </w:p>
    <w:p w14:paraId="335CC9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BD97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delimitación de las afectaciones urbanísticas y la indicación y reglamentación de las zonas de reserva para la construcción de las infraestructuras primarias viales, de transporte, las redes matrices de servicios públicos, así como los espacios públicos de carácter estructural. </w:t>
      </w:r>
    </w:p>
    <w:p w14:paraId="495C55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3718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Las áreas o inmuebles declarados como bienes de interés cultural y las condiciones para su manejo. </w:t>
      </w:r>
    </w:p>
    <w:p w14:paraId="3AA0C1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1D85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delimitación del área de planificación del plan parcial de acuerdo con lo previsto en este capítulo. </w:t>
      </w:r>
    </w:p>
    <w:p w14:paraId="3B908A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1B90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concepto sobre las determinantes del plan parcial emitido por la oficina de planeación municipal o distrital o la entidad que haga sus veces servirán de base para la formulación del proyecto de plan parcial y no otorga derechos ni obligaciones a su peticionario. </w:t>
      </w:r>
    </w:p>
    <w:p w14:paraId="65A51D84" w14:textId="5BFA37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60" w:name="ver_30073093"/>
      <w:bookmarkEnd w:id="1060"/>
    </w:p>
    <w:p w14:paraId="0A6A37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2.2.4.1.1.6 Determinantes ambientales para la formulación del plan parcial. De conformidad con lo dispuesto en el artículo 80 de la Ley 1151 de 2007, La autoridad de planeación municipal o distrital deberá solicitar el pronunciamiento de las autoridades ambientales competentes sobre las siguientes determinantes ambientales, con base en las cuales se adelantará la concertación ambiental: </w:t>
      </w:r>
    </w:p>
    <w:p w14:paraId="27ECA8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18FE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elementos que por sus valores naturales, ambientales o paisajísticos deban ser conservados y las medidas específicas de protección para evitar su alteración o destrucción con la ejecución de la actuación u operación urbana. </w:t>
      </w:r>
    </w:p>
    <w:p w14:paraId="02DE2C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6B4D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características geológicas, geotécnicas, topográficas y ambientales del área objeto de la solicitud. </w:t>
      </w:r>
    </w:p>
    <w:p w14:paraId="4F8E20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87D7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Las áreas de conservación y protección ambiental incluidas y las condiciones específicas para su manejo. </w:t>
      </w:r>
    </w:p>
    <w:p w14:paraId="687455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1323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factibilidad, cantidad y calidad del recurso hídrico y las condiciones para el manejo integral de vertimientos líquidos y de residuos sólidos y peligrosos. (Numeral modificado por Decreto 1478 de 2013, artículo 2°). </w:t>
      </w:r>
    </w:p>
    <w:p w14:paraId="433FEA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1E4E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interesado podrá aportar los estudios y documentos que resulten necesarios para sustentar la formulación del proyecto de plan parcial en relación con las determinantes ambientales de que trata este artículo. </w:t>
      </w:r>
    </w:p>
    <w:p w14:paraId="172B1F56" w14:textId="7D9517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61" w:name="ver_30073094"/>
      <w:bookmarkEnd w:id="1061"/>
    </w:p>
    <w:p w14:paraId="6C5DD4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2.2.4.1.1.7 Formulación y radicación del proyecto de plan parcial. La formulación consiste en la elaboración de la propuesta completa del plan parcial desarrollada conforme con lo establecido en el presente capítulo. </w:t>
      </w:r>
    </w:p>
    <w:p w14:paraId="66A462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7524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proyectos de planes parciales se radicarán en la oficina de planeación municipal o distrital o la dependencia que haga sus veces anexando además de los documentos exigidos en los numerales 1 y 2 del artículo 2.2.4.1.1.3 del presente decreto, los documentos que se señalan a continuación, sin perjuicio de que para la elaboración de planes parciales en tratamiento de desarrollo se tenga en cuenta lo dispuesto en la sección 4 del presente capítulo. </w:t>
      </w:r>
    </w:p>
    <w:p w14:paraId="68023D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F515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Documento Técnico de Soporte que contendrá como mínimo: </w:t>
      </w:r>
    </w:p>
    <w:p w14:paraId="2D54E0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30D7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 Memoria justificativa del plan parcial y sus condiciones de partida y criterios de diseño, donde se expliquen las condiciones evaluadas en la fase de diagnóstico, la pertinencia y procedencia del plan parcial, así como los objetivos y criterios que orientaron las determinaciones de planificación adoptadas en la formulación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68C0C5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532A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Presentación del planteamiento urbanístico proyectado con la definición de los sistemas del espacio público y los espacios privados. </w:t>
      </w:r>
    </w:p>
    <w:p w14:paraId="7F8141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3C3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Presentación de la estrategia de gestión y financiación y de los instrumentos legales aplicables para el efecto. </w:t>
      </w:r>
    </w:p>
    <w:p w14:paraId="1D35CF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5FDE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Cuantificación general de la edificabilidad total, según uso o destino y cuantificación financiera de la intervención. </w:t>
      </w:r>
    </w:p>
    <w:p w14:paraId="5CF225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8901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Cartografía en escalas 1:2000 o 1:5000 que incluya como mínimo: </w:t>
      </w:r>
    </w:p>
    <w:p w14:paraId="330FF5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3D6C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Planos del diagnóstico. </w:t>
      </w:r>
    </w:p>
    <w:p w14:paraId="7D7C45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7226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2.2.1 Plano topográfico del área de planificación, señalando los predios con sus Folios de Matrícula Inmobiliaria. </w:t>
      </w:r>
    </w:p>
    <w:p w14:paraId="6D4051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71D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2.2.2 Plano de localización de los sistemas generales o estructurantes proyectados y existentes. </w:t>
      </w:r>
    </w:p>
    <w:p w14:paraId="466159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A1C2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Planos normativos de la formulación: </w:t>
      </w:r>
    </w:p>
    <w:p w14:paraId="1BA327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33A8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2.3.1 Plano general de la propuesta urbana o planteamiento urbanístico. </w:t>
      </w:r>
    </w:p>
    <w:p w14:paraId="21C591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63B0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2.3.2 Plano de la </w:t>
      </w:r>
      <w:proofErr w:type="gramStart"/>
      <w:r w:rsidRPr="009342F9">
        <w:rPr>
          <w:rFonts w:ascii="Arial" w:eastAsia="Times New Roman" w:hAnsi="Arial" w:cs="Arial"/>
          <w:color w:val="000000"/>
          <w:lang w:eastAsia="es-CO"/>
        </w:rPr>
        <w:t>red vial y perfiles viales</w:t>
      </w:r>
      <w:proofErr w:type="gramEnd"/>
      <w:r w:rsidRPr="009342F9">
        <w:rPr>
          <w:rFonts w:ascii="Arial" w:eastAsia="Times New Roman" w:hAnsi="Arial" w:cs="Arial"/>
          <w:color w:val="000000"/>
          <w:lang w:eastAsia="es-CO"/>
        </w:rPr>
        <w:t>. </w:t>
      </w:r>
    </w:p>
    <w:p w14:paraId="127813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8DCA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2.3.3 Plano de espacio público y de la localización de equipamientos. </w:t>
      </w:r>
    </w:p>
    <w:p w14:paraId="11A57B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70AB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2.3.4 Plano del trazado de las redes de servicios públicos. </w:t>
      </w:r>
    </w:p>
    <w:p w14:paraId="416A6E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2926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2.3.5 Plano de usos y aprovechamientos. </w:t>
      </w:r>
    </w:p>
    <w:p w14:paraId="64A6C0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2B5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2.3.6 Plano de asignación de cargas urbanísticas. </w:t>
      </w:r>
    </w:p>
    <w:p w14:paraId="569CAB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65DB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2.3.7 Plano del proyecto de delimitación de las unidades de actuación urbanística y/o de gestión. </w:t>
      </w:r>
    </w:p>
    <w:p w14:paraId="059C24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34B7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2.3.8 Plano de localización de las etapas de desarrollo previstas. </w:t>
      </w:r>
    </w:p>
    <w:p w14:paraId="4B6ECD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E105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2.3.9 Plano de delimitación de las zonas o subzonas beneficiarias de las acciones urbanísticas que permitan determinar el efecto de plusvalía, cuando a ello hubiere lugar. </w:t>
      </w:r>
    </w:p>
    <w:p w14:paraId="778F83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B014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propuesta del proyecto de decreto que adopta el plan parcial con sus normas urbanísticas. </w:t>
      </w:r>
    </w:p>
    <w:p w14:paraId="1918F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7ACB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proyecto de delimitación del área de planificación del plan parcial. </w:t>
      </w:r>
    </w:p>
    <w:p w14:paraId="1ADEB0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1554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proyecto de delimitación de las unidades de actuación urbanística. </w:t>
      </w:r>
    </w:p>
    <w:p w14:paraId="095DEB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1E97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factibilidad para extender o ampliar las redes de servicios públicos y las condiciones específicas para su prestación efectiva. </w:t>
      </w:r>
    </w:p>
    <w:p w14:paraId="7BD49234" w14:textId="50A38DC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62" w:name="ver_30073095"/>
      <w:bookmarkEnd w:id="1062"/>
    </w:p>
    <w:p w14:paraId="24F9DF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2.2.4.1.1.8 Información pública, citación a propietarios y vecinos. Radicado el proyecto de plan parcial, la oficina de planeación municipal o distrital o la entidad que haga sus veces convocará a los propietarios y vecinos colindantes en los términos del Capítulo V del Título III de la Parte Primera del Código de Procedimiento Administrativo y de lo Contencioso Administrativo, para que conozcan la propuesta y expresen sus recomendaciones y observaciones. </w:t>
      </w:r>
    </w:p>
    <w:p w14:paraId="210059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78D3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respuesta a las recomendaciones y observaciones se realizará en el acto que resuelva sobre la viabilidad de la propuesta de plan parcial. </w:t>
      </w:r>
    </w:p>
    <w:p w14:paraId="5C3BDEF5" w14:textId="35248DA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63" w:name="ver_30073097"/>
      <w:bookmarkEnd w:id="1063"/>
    </w:p>
    <w:p w14:paraId="7FE532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2.2.4.1.1.9 Revisión del proyecto de plan parcial. La oficina de planeación municipal o distrital o la dependencia que haga sus veces revisará el proyecto de plan parcial con el fin de verificar el cumplimiento de las normas urbanísticas tenidas en cuenta para la formulación del plan y pronunciarse sobre su viabilidad, para lo cual contará con treinta (30) días hábiles, contados a partir de la fecha de radicación del proyecto, prorrogables por treinta (30) días hábiles más por una sola vez, so pena que se entienda aprobado en los términos en que fue presentado mediante la aplicación del silencio administrativo positivo. </w:t>
      </w:r>
    </w:p>
    <w:p w14:paraId="16DD74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DE28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Durante este término se podrá requerir a los solicitantes por una sola vez, de conformidad con lo dispuesto en el artículo 17 del Código de Procedimiento Administrativo y de lo Contencioso Administrativo, para que lleven a cabo las actualizaciones, correcciones o aclaraciones que deban realizar al proyecto y/o aporten la información técnica adicional que sea necesaria para expedir el concepto sobre su viabilidad. </w:t>
      </w:r>
    </w:p>
    <w:p w14:paraId="0DBE52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80D0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que la oficina de planeación municipal o distrital, o la dependencia que haga sus veces, apruebe el proyecto de plan parcial, mediante acto administrativo u ocurra el silencio administrativo, éste se someterá a consideración de la autoridad ambiental competente, cuando se requiera según lo previsto en el presente capítulo, a efectos de que conjuntamente con el municipio o distrito acuerden los asuntos exclusivamente ambientales, para lo cual dispondrán de quince (15) días hábiles prorrogables por un término igual. </w:t>
      </w:r>
    </w:p>
    <w:p w14:paraId="3DC6D1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51F2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mediante el cual se expida el concepto favorable de viabilidad indicará que sobre los predios incluidos en el proyecto de plan parcial sobre el cual se rinde el concepto no se podrán adelantar otros proyectos de planes parciales, salvo que de manera concertada entre todos los interesados se redelimite la propuesta de plan parcial, en cuyo caso deberá radicarse la nueva propuesta de formulación. </w:t>
      </w:r>
    </w:p>
    <w:p w14:paraId="55D1CB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69AF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Durante la revisión de los proyectos de plan parcial en los que no se haya solicitado el concepto definición de determinantes para su formulación, la oficina de planeación municipal o distrital o la dependencia que haga sus veces aprobará el proyecto de delimitación del plan parcial o lo ajustará con sujeción a los parámetros que se establecen en el presente capítulo. </w:t>
      </w:r>
    </w:p>
    <w:p w14:paraId="2D70B3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B14A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invocación del silencio administrativo positivo se someterá al procedimiento previsto en el Código de Procedimiento Administrativo y de lo Contencioso Administrativo. </w:t>
      </w:r>
    </w:p>
    <w:p w14:paraId="4772BE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151FAA"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Parágrafo 3°. En caso de rendirse concepto desfavorable procederán los recursos contra los actos administrativos de que trata el artículo 74 del Código de Procedimiento Administrativo y de lo Contencioso Administrativo. </w:t>
      </w:r>
    </w:p>
    <w:p w14:paraId="1CB3CAAB" w14:textId="0D1CF46D" w:rsidR="00287A00"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5EC90025" w14:textId="2AD9AA4D" w:rsidR="00FC79C1" w:rsidRPr="009342F9" w:rsidRDefault="00FC79C1" w:rsidP="00106C26">
      <w:pPr>
        <w:spacing w:after="0" w:line="240" w:lineRule="auto"/>
        <w:jc w:val="center"/>
        <w:rPr>
          <w:rFonts w:ascii="Arial" w:eastAsia="Times New Roman" w:hAnsi="Arial" w:cs="Arial"/>
          <w:b/>
          <w:bCs/>
          <w:color w:val="000000"/>
          <w:lang w:eastAsia="es-CO"/>
        </w:rPr>
      </w:pPr>
      <w:bookmarkStart w:id="1064" w:name="ver_30073098"/>
      <w:bookmarkEnd w:id="1064"/>
      <w:r w:rsidRPr="231E957E">
        <w:rPr>
          <w:rFonts w:ascii="Arial" w:eastAsia="Times New Roman" w:hAnsi="Arial" w:cs="Arial"/>
          <w:b/>
          <w:color w:val="000000" w:themeColor="text1"/>
          <w:lang w:eastAsia="es-CO"/>
        </w:rPr>
        <w:t>SECCIÓN 2</w:t>
      </w:r>
    </w:p>
    <w:p w14:paraId="60176CB2"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ETAPA DE CONCERTACIÓN Y CONSULTA</w:t>
      </w:r>
    </w:p>
    <w:p w14:paraId="7DB1E00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65" w:name="ver_30073099"/>
      <w:bookmarkEnd w:id="1065"/>
    </w:p>
    <w:p w14:paraId="2BEC2D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2.2.4.1.2.1 Planes parciales objeto de concertación con la autoridad ambiental. Serán objeto de concertación con la autoridad ambiental respectiva los planes parciales que presenten alguna de las siguientes situaciones: </w:t>
      </w:r>
    </w:p>
    <w:p w14:paraId="1E9D7A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6140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que contemplen proyectos, obras o actividades que requieran licencia ambiental de acuerdo con lo dispuesto en el decreto único del sector ambiente y desarrollo sostenible sobre licenciamiento ambiental o la norma que lo adicione, modifique o sustituya. </w:t>
      </w:r>
    </w:p>
    <w:p w14:paraId="1FE178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D4BB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planes parciales que precisen la delimitación de los suelos de protección y/o colinden con ecosistemas tales como parques naturales, reservas forestales, distritos de manejo integrado, distritos de conservación de suelo o zonas costeras. </w:t>
      </w:r>
    </w:p>
    <w:p w14:paraId="272C93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2B14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que incluyan o colinden con áreas de amenaza y riesgo, identificadas por el plan de ordenamiento territorial, reglamentaciones o estudios técnicos posteriores relacionadas con las mismas. </w:t>
      </w:r>
    </w:p>
    <w:p w14:paraId="33C59B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FA99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Los que se desarrollen en suelo de expansión urbana. </w:t>
      </w:r>
    </w:p>
    <w:p w14:paraId="0A6991B5" w14:textId="4BD3F59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66" w:name="ver_30073102"/>
      <w:bookmarkEnd w:id="1066"/>
    </w:p>
    <w:p w14:paraId="0F0771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2.2.4.1.2.2 Concertación con la autoridad ambiental y documentos requeridos para ello. Expedido el concepto de viabilidad por parte de la oficina de planeación municipal o distrital o la dependencia que haga sus veces, ésta lo someterá a consideración de la autoridad ambiental correspondiente, a efectos de que </w:t>
      </w:r>
      <w:proofErr w:type="gramStart"/>
      <w:r w:rsidRPr="009342F9">
        <w:rPr>
          <w:rFonts w:ascii="Arial" w:eastAsia="Times New Roman" w:hAnsi="Arial" w:cs="Arial"/>
          <w:color w:val="000000"/>
          <w:lang w:eastAsia="es-CO"/>
        </w:rPr>
        <w:t>conjuntamente con</w:t>
      </w:r>
      <w:proofErr w:type="gramEnd"/>
      <w:r w:rsidRPr="009342F9">
        <w:rPr>
          <w:rFonts w:ascii="Arial" w:eastAsia="Times New Roman" w:hAnsi="Arial" w:cs="Arial"/>
          <w:color w:val="000000"/>
          <w:lang w:eastAsia="es-CO"/>
        </w:rPr>
        <w:t xml:space="preserve"> el municipio o distrito adelanten la concertación de los asuntos exclusivamente ambientales, si esta se requiere de acuerdo con lo dispuesto en el artículo anterior. El proyecto de plan parcial se radicará con los documentos de que tratan los numerales 1, 2 y 5 del artículo 2.2.4.1.1.7 del presente decreto, ante la autoridad ambiental de conformidad con los términos en que se expidió el concepto de viabilidad. </w:t>
      </w:r>
    </w:p>
    <w:p w14:paraId="2BAD01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2632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autoridad ambiental sólo podrá presentar observaciones de carácter exclusivamente ambiental en relación con el ordenamiento territorial, las cuales deben estar técnicamente y con base en la normativa ambiental vigente; y no podrá exigir la entrega de información adicional a la radicada con el proyecto de plan parcial en la oficina de planeación o la que haga sus veces, salvo que se trate de información que pueda suministrar la oficina de planeación municipal o distrital en relación con las condiciones ambientales propias de la escala de planificación del plan parcial. Las observaciones de la autoridad ambiental podrán ser objetadas por las autoridades municipales y distritales, a través del recurso de reposición de que trata el siguiente parágrafo. </w:t>
      </w:r>
    </w:p>
    <w:p w14:paraId="7F7E4E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8BE3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concertación culminará con </w:t>
      </w:r>
      <w:proofErr w:type="gramStart"/>
      <w:r w:rsidRPr="009342F9">
        <w:rPr>
          <w:rFonts w:ascii="Arial" w:eastAsia="Times New Roman" w:hAnsi="Arial" w:cs="Arial"/>
          <w:color w:val="000000"/>
          <w:lang w:eastAsia="es-CO"/>
        </w:rPr>
        <w:t>una acto administrativo</w:t>
      </w:r>
      <w:proofErr w:type="gramEnd"/>
      <w:r w:rsidRPr="009342F9">
        <w:rPr>
          <w:rFonts w:ascii="Arial" w:eastAsia="Times New Roman" w:hAnsi="Arial" w:cs="Arial"/>
          <w:color w:val="000000"/>
          <w:lang w:eastAsia="es-CO"/>
        </w:rPr>
        <w:t>, que hará parte integral de los documentos constitutivos del plan parcial, y contra el cual procederá el recurso de reposición en los términos de que trata el Código de Procedimiento Administrativo y de lo Contencioso Administrativo. La autoridad ambiental no podrá desconocer los actos administrativos previos que sustentan los trámites de concertación sometidos a su consideración. </w:t>
      </w:r>
    </w:p>
    <w:p w14:paraId="2F43F9C0" w14:textId="376565C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67" w:name="ver_30125146"/>
      <w:bookmarkStart w:id="1068" w:name="ver_30125145"/>
      <w:bookmarkEnd w:id="1067"/>
    </w:p>
    <w:p w14:paraId="5DD0F4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2.2.4.1.2.3. Términos para la concertación con la autoridad ambiental. La autoridad de planeación municipal o distrital y la autoridad ambiental competente dispondrán de un término de quince (15) días hábiles, contados a partir del día siguiente de la radicación del proyecto de plan parcial ante la autoridad ambiental, para adelantar el proceso de concertación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y adoptar las decisiones correspondientes relacionadas con los asuntos exclusivamente ambientales.  </w:t>
      </w:r>
    </w:p>
    <w:p w14:paraId="34330E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C117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autoridad ambiental competente en el proceso de concertación analizará, revisará y verificará que las determinantes ambientales se encuentren debidamente definidas e incorporadas en el proyecto de plan parcial.  </w:t>
      </w:r>
    </w:p>
    <w:p w14:paraId="7BB9F2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A298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resultados de este proceso se consignarán en un acta que deberá ser suscrita por los representantes legales o delegados de la autoridad ambiental y de la autoridad de planeación municipal o distrital.  </w:t>
      </w:r>
    </w:p>
    <w:p w14:paraId="23B5BE76"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7C939962" w14:textId="77777777" w:rsidR="005C5EEB" w:rsidRDefault="00FC79C1" w:rsidP="00D4095E">
      <w:pPr>
        <w:spacing w:after="0" w:line="240" w:lineRule="auto"/>
        <w:jc w:val="center"/>
        <w:rPr>
          <w:rFonts w:ascii="Arial" w:eastAsia="Times New Roman" w:hAnsi="Arial" w:cs="Arial"/>
          <w:b/>
          <w:bCs/>
          <w:color w:val="000000"/>
          <w:lang w:eastAsia="es-CO"/>
        </w:rPr>
      </w:pPr>
      <w:bookmarkStart w:id="1069" w:name="ver_30073114"/>
      <w:bookmarkEnd w:id="1068"/>
      <w:bookmarkEnd w:id="1069"/>
      <w:r w:rsidRPr="231E957E">
        <w:rPr>
          <w:rFonts w:ascii="Arial" w:eastAsia="Times New Roman" w:hAnsi="Arial" w:cs="Arial"/>
          <w:b/>
          <w:color w:val="000000" w:themeColor="text1"/>
          <w:lang w:eastAsia="es-CO"/>
        </w:rPr>
        <w:t>SECCIÓN 3</w:t>
      </w:r>
    </w:p>
    <w:p w14:paraId="60554841"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ETAPA DE ADOPCIÓN</w:t>
      </w:r>
    </w:p>
    <w:p w14:paraId="42C1D88E"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70" w:name="ver_30073116"/>
      <w:bookmarkEnd w:id="1070"/>
    </w:p>
    <w:p w14:paraId="219D8B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2.2.4.1.3.1 Expedición del decreto de adopción del plan parcial. Una vez surtidas las etapas previstas en los artículos precedentes y dentro de los quince (15) días hábiles siguientes a la aprobación del proyecto de plan parcial, mediante acto administrativo expreso o ficto o la concertación ambiental, cuando sea el caso, de acuerdo con lo previsto en el artículo 2.2.4.1.2.1 del presente decreto, el alcalde municipal o distrital lo adoptará mediante decreto. </w:t>
      </w:r>
    </w:p>
    <w:p w14:paraId="33FD14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018C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ajuste de planes parciales, en caso de requerirse, se efectuará teniendo en cuenta únicamente las instancias o autoridades a cuyo cargo se encuentren los asuntos objeto del ajuste necesario para el desarrollo del respectivo plan. La solicitud de determinantes únicamente se podrá circunscribir a los aspectos sobre los cuales se solicite de manera expresa y escrita la modificación, y se sustentarán en la misma reglamentación con que fue aprobado el plan parcial, salvo que los interesados manifiesten lo contrario. </w:t>
      </w:r>
    </w:p>
    <w:p w14:paraId="553179C4" w14:textId="531FA077" w:rsidR="00D4095E"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bookmarkStart w:id="1071" w:name="ver_30073117"/>
      <w:bookmarkEnd w:id="1071"/>
    </w:p>
    <w:p w14:paraId="3E7A1F4D" w14:textId="6E0FB259" w:rsidR="005C5EEB"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SECCIÓN 4</w:t>
      </w:r>
    </w:p>
    <w:p w14:paraId="256CF72A"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CONTENIDO DE LOS PLANES PARCIALES PARA LAS ÁREAS SUJETAS A TRATAMIENTO DE DESARROLLO DENTRO DEL PERÍMETRO URBANO Y LAS ÁREAS COMPRENDIDAS EN EL SUELO DE EXPANSIÓN</w:t>
      </w:r>
    </w:p>
    <w:p w14:paraId="6052C2A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72" w:name="ver_30073118"/>
      <w:bookmarkEnd w:id="1072"/>
    </w:p>
    <w:p w14:paraId="62024394"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xml:space="preserve">Artículo 2.2.4.1.4.1 Contenido. Los planes parciales para las áreas sujetas a tratamiento de desarrollo dentro del perímetro urbano y las áreas comprendidas en el suelo de </w:t>
      </w:r>
      <w:proofErr w:type="gramStart"/>
      <w:r w:rsidRPr="231E957E">
        <w:rPr>
          <w:rFonts w:ascii="Arial" w:eastAsia="Times New Roman" w:hAnsi="Arial" w:cs="Arial"/>
          <w:color w:val="000000" w:themeColor="text1"/>
          <w:lang w:eastAsia="es-CO"/>
        </w:rPr>
        <w:t>expansión,</w:t>
      </w:r>
      <w:proofErr w:type="gramEnd"/>
      <w:r w:rsidRPr="231E957E">
        <w:rPr>
          <w:rFonts w:ascii="Arial" w:eastAsia="Times New Roman" w:hAnsi="Arial" w:cs="Arial"/>
          <w:color w:val="000000" w:themeColor="text1"/>
          <w:lang w:eastAsia="es-CO"/>
        </w:rPr>
        <w:t xml:space="preserve"> incluirán los siguientes aspectos que, en todos los casos, deberán subordinarse a las determinaciones de los diferentes contenidos del plan de ordenamiento territorial y de los instrumentos que lo desarrollen y complementen: </w:t>
      </w:r>
    </w:p>
    <w:p w14:paraId="0BE7667A"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475304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delimitación del área de planificación objeto del plan parcial, con el señalamiento de las políticas, objetivos y directrices urbanísticas que orientarán la actuación u operación urbana. </w:t>
      </w:r>
    </w:p>
    <w:p w14:paraId="56DCB2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A911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proyecto de delimitación de las unidades de actuación urbanística, el cual se definirá de forma que permita el cumplimiento conjunto de las cargas de cesión y urbanización de la totalidad de su superficie, mediante el reparto equitativo de cargas y beneficios entre sus afectados. </w:t>
      </w:r>
    </w:p>
    <w:p w14:paraId="50213D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53CF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Las normas urbanísticas específicas para el área de planificación y las unidades de actuación urbanística en que se divida el plan parcial, mediante las cuales se defina: </w:t>
      </w:r>
    </w:p>
    <w:p w14:paraId="785305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0AB2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La asignación específica de usos principales, compatibles, complementarios, restringidos y prohibidos. </w:t>
      </w:r>
    </w:p>
    <w:p w14:paraId="495D4C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564C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La asignación específica de las intensidades de uso; índices de ocupación y construcción; retiros, aislamientos, empates y alturas, de conformidad con las disposiciones contenidas en el presente decreto. </w:t>
      </w:r>
    </w:p>
    <w:p w14:paraId="58B424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FA3B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La asignación de las cargas de conformidad con las disposiciones contenidas en el presente capítulo. </w:t>
      </w:r>
    </w:p>
    <w:p w14:paraId="47C09A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EEA2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identificación de los elementos que por sus valores naturales, ambientales o paisajísticos deban ser conservados, estableciendo las medidas específicas de protección para evitar su alteración o destrucción con la ejecución de la actuación u operación urbana. </w:t>
      </w:r>
    </w:p>
    <w:p w14:paraId="57DDC6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066C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5. La identificación de los bienes de interés cultural del orden municipal o distrital, señalando las condiciones de manejo y los criterios de intervención que aseguren la conservación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Cuando se trate de bienes de interés cultural del ámbito nacional o departamental, el plan parcial se sujetará a lo establecido en los respectivos planes especiales de protección de que trata el artículo 11 de la Ley 397 de 1997 o la norma que la adicione, modifique o sustituya. </w:t>
      </w:r>
    </w:p>
    <w:p w14:paraId="7B6EF1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3F07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definición del trazado y la localización de las áreas de dominio público o reservadas o afectadas al uso o servicio público que, en desarrollo de las previsiones del plan de ordenamiento y los instrumentos que lo desarrollen, constituirán: </w:t>
      </w:r>
    </w:p>
    <w:p w14:paraId="0F1A7A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D730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 La red vial y peatonal. </w:t>
      </w:r>
    </w:p>
    <w:p w14:paraId="2B7B62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7A35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 Las redes de los servicios públicos domiciliarios. </w:t>
      </w:r>
    </w:p>
    <w:p w14:paraId="665D78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F0A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6.3 La red de espacios públicos, zonas verdes y parques, de acuerdo con lo señalado por el plan de ordenamiento territorial o los instrumentos que lo desarrollen y complementen. </w:t>
      </w:r>
    </w:p>
    <w:p w14:paraId="6DA215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16C6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6.4 La red de equipamientos colectivos de interés público o social. </w:t>
      </w:r>
    </w:p>
    <w:p w14:paraId="4ABC37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A673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La fijación y localización del porcentaje obligatorio de suelo que deberá destinarse al desarrollo de programas de vivienda de interés social, sin perjuicio de que estas áreas puedan ubicarse en otras zonas de la ciudad, de conformidad con lo que para el efecto haya previsto el plan de ordenamiento territorial o los instrumentos que lo desarrollen. </w:t>
      </w:r>
    </w:p>
    <w:p w14:paraId="599718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A4FA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La adopción de los instrumentos legales de manejo y gestión del suelo; la participación en plusvalías, y demás instrumentos que sean necesarios para la financiación y ejecución del plan parcial. </w:t>
      </w:r>
    </w:p>
    <w:p w14:paraId="18299F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D58C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La asignación de cargas y beneficios en los términos que se señalan en la Sección 5 de la presente Capítulo. </w:t>
      </w:r>
    </w:p>
    <w:p w14:paraId="0E88B3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63B3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La evaluación financiera de las obras de urbanización de las unidades de actuación y su programa de ejecución, junto con el programa de financiamiento. </w:t>
      </w:r>
    </w:p>
    <w:p w14:paraId="64D9A4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9583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Los planos de diagnóstico, incluido el catastral cuando exista, el documento técnico de soporte que incluya las conclusiones de los estudios que justifiquen las determinaciones del plan parcial, así como los planos normativos y el decreto de adopción en los términos que se señalan en el artículo 2.2.4.1.1.7 de este decreto. </w:t>
      </w:r>
    </w:p>
    <w:p w14:paraId="5EED41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F8E3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información planimétrica y cartográfica se presentará debidamente georreferenciada. </w:t>
      </w:r>
    </w:p>
    <w:p w14:paraId="301920B5" w14:textId="057FAB8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73" w:name="ver_30073119"/>
      <w:bookmarkEnd w:id="1073"/>
    </w:p>
    <w:p w14:paraId="4F0896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2.2.4.1.4.2 Planteamiento urbanístico del plan parcial. El planteamiento urbanístico del plan parcial definirá y delimitará las áreas de dominio público, o reservadas o afectadas al uso o servicio público de que trata el numeral 6 del artículo anterior. </w:t>
      </w:r>
    </w:p>
    <w:p w14:paraId="178073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D4FD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planteamiento urbanístico del plan parcial deberá contemplar las condiciones adecuadas para el desarrollo de las diferentes actividades que se vayan a desarrollar e independientemente de la división predial preexistente, en su diseño se deberán tener en cuenta las siguientes determinantes: </w:t>
      </w:r>
    </w:p>
    <w:p w14:paraId="4719D3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C286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continuidad de la red vial para lograr una adecuada interconexión y movilidad con las zonas vecinas, asegurando la movilidad entre zonas y la coherencia entre perfiles y los usos de las edificaciones sobre las vías. </w:t>
      </w:r>
    </w:p>
    <w:p w14:paraId="75A6CC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0601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La conformación de los elementos ambientales de la zona como áreas protegidas o parques de uso público y la conexión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cuando a ello hubiere lugar, con los parques o elementos ambientales de escala metropolitana, urbana o zonal. </w:t>
      </w:r>
    </w:p>
    <w:p w14:paraId="507850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A8C9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delimitación de las áreas de espacio público destinadas a parques, plazas y demás elementos relacionados con los equipamientos colectivos de interés público o social. </w:t>
      </w:r>
    </w:p>
    <w:p w14:paraId="104271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1548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facilidad de acceso vehicular y peatonal a los equipamientos, así como su directa relación con los espacios recreativos y ambientales. </w:t>
      </w:r>
    </w:p>
    <w:p w14:paraId="2B7CCE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059E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localización de actividades sobre las vías vehiculares, de manera que se facilite la accesibilidad sin afectar la circulación vial y peatonal. </w:t>
      </w:r>
    </w:p>
    <w:p w14:paraId="6898B0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CAF9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El trazado y las características de las redes de servicios públicos domiciliarios. </w:t>
      </w:r>
    </w:p>
    <w:p w14:paraId="39CFE6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BD1C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determinaciones de los planes parciales no podrán imponer condiciones asociadas a las características estéticas de las edificaciones ni exigir detalles constructivos del espacio público, equipamientos o edificaciones, salvo cuando se trate de intervenciones en bienes de interés cultural del orden municipal o distrital. </w:t>
      </w:r>
    </w:p>
    <w:p w14:paraId="590A2C7C" w14:textId="54AF94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74" w:name="ver_30073120"/>
      <w:bookmarkEnd w:id="1074"/>
    </w:p>
    <w:p w14:paraId="765979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2.2.4.1.4.3 Delimitación del área de planificación del plan parcial. La oficina de planeación municipal o distrital o la dependencia que haga sus veces delimitará el área de planificación del plan parcial de acuerdo con los lineamientos del plan de ordenamiento territorial, los instrumentos que lo desarrollen y complementen y los siguientes criterios: </w:t>
      </w:r>
    </w:p>
    <w:p w14:paraId="6193FF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AC4E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Que el área propuesta cuente con la superficie suficiente que permita conformar una parte completa de ciudad, entendiendo por esta la que asegure la dotación de los servicios públicos domiciliarios, equipamientos y espacios públicos suficientes para atender la demanda de los usos que se vayan a desarrollar en su ámbito de planificación, así como las obras de infraestructura vial que permitan garantizar su adecuada conexión con la estructura urbana existente. </w:t>
      </w:r>
    </w:p>
    <w:p w14:paraId="3E5B71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191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se procurará que su ámbito de planificación sea delimitado en alguno de sus costados por lo menos por un elemento del trazado de los sistemas generales o estructurantes de infraestructura vial, de espacio público, por elementos naturales del sistema de áreas protegidas o por otros planes parciales que cuenten con concepto de viabilidad de la oficina de planeación municipal o distrital o la dependencia que haga sus veces. </w:t>
      </w:r>
    </w:p>
    <w:p w14:paraId="3F6B51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0F86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Que no se generen predios o áreas residuales adyacentes a los límites del área de planificación del plan parcial, cuyas dimensiones no permitan asegurar posteriormente el cumplimiento conjunto de las obligaciones de distribución de cargas y beneficios de la totalidad de su superficie. </w:t>
      </w:r>
    </w:p>
    <w:p w14:paraId="55A30A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C7A9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Que haya continuidad con las urbanizaciones existentes cuando sea posible. </w:t>
      </w:r>
    </w:p>
    <w:p w14:paraId="08D041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770E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Que cuente con la factibilidad y la definición de las condiciones técnicas para la futura prestación de los servicios públicos domiciliarios por personas prestadoras de dichos servicios. </w:t>
      </w:r>
    </w:p>
    <w:p w14:paraId="4A660E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4F26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en suelo de expansión urbana queden áreas urbanizables que no sea posible desarrollar mediante plan parcial en los términos dispuestos en el presente capítulo, éstas deberán incorporarse al plan parcial más próximo para garantizar su desarrollo asociado. </w:t>
      </w:r>
    </w:p>
    <w:p w14:paraId="6F220C80" w14:textId="33344BF5"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75" w:name="ver_30073122"/>
      <w:bookmarkEnd w:id="1075"/>
    </w:p>
    <w:p w14:paraId="6235E6CD" w14:textId="6B39F751"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48E4433A"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CARGAS Y BENEFICIOS</w:t>
      </w:r>
    </w:p>
    <w:p w14:paraId="77F3F27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76" w:name="ver_30073123"/>
      <w:bookmarkEnd w:id="1076"/>
    </w:p>
    <w:p w14:paraId="64A9BC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2.2.4.1.5.1 Cargas locales de la urbanización. Las cargas locales de la urbanización que serán objeto de reparto entre los propietarios de inmuebles de las unidades de actuación urbanística del plan parcial, incluirán entre otros componentes las cesiones y la realización de obras públicas correspondientes a redes secundarias y de servicios públicos domiciliarios de acueducto, alcantarillado, energía y teléfonos, así como las cesiones para parques y zonas verdes, vías vehiculares y peatonales y para la dotación de los equipamientos comunitarios. </w:t>
      </w:r>
    </w:p>
    <w:p w14:paraId="5EBA5B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5DC9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zonas comunes, equipamientos comunitarios privados y otros componentes de las propiedades horizontales no se consideran cargas urbanísticas. </w:t>
      </w:r>
    </w:p>
    <w:p w14:paraId="5F14D3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FD48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observancia de lo dispuesto en el artículo 38 de la Ley 388 de 1997, aquellos inmuebles localizados al interior del área de planificación del plan parcial que hubieren sido el resultado de cesiones, afectaciones u otras obligaciones, no serán objeto del reparto de cargas y beneficios, tales como: </w:t>
      </w:r>
    </w:p>
    <w:p w14:paraId="5BC921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1727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vías, parques, zonas verdes, espacios públicos y equipamientos existentes. </w:t>
      </w:r>
    </w:p>
    <w:p w14:paraId="695091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E82D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inmuebles afectados en los términos del artículo 37 de la Ley 9ª de 1989 o la norma que lo adicione, modifique o sustituya. </w:t>
      </w:r>
    </w:p>
    <w:p w14:paraId="3023DA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8474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inmuebles adquiridos por las entidades competentes para adelantar obras del plan vial, de infraestructura de servicios públicos domiciliarios o destinados a equipamientos públicos, que para su desarrollo deberán acogerse a la reglamentación del plan parcial. </w:t>
      </w:r>
    </w:p>
    <w:p w14:paraId="767AB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7DC4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Los predios que tengan licencias urbanísticas vigentes, los cuales se regirán por las condiciones definidas en la respectiva licencia. </w:t>
      </w:r>
    </w:p>
    <w:p w14:paraId="5FD5CE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61F627"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5. Los predios que hayan ejecutado la totalidad de las obras contempladas en la licencia de urbanización y entregado y dotado las cesiones correspondientes. </w:t>
      </w:r>
    </w:p>
    <w:p w14:paraId="7C29E547" w14:textId="05FD9D3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77" w:name="ver_30073124"/>
      <w:bookmarkEnd w:id="1077"/>
    </w:p>
    <w:p w14:paraId="6E4DDC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2.2.4.1.5.2 Las cargas correspondientes al costo de la infraestructura vial principal y redes matrices de servicios públicos se distribuirán entre los propietarios de toda el área beneficiaria de las mismas y deberán ser recuperados mediante tarifas, contribución de valorización, participación en plusvalía, impuesto predial, o cualquier otro sistema que garantice el reparto equitativo de las cargas y beneficios de las actuaciones y que cumpla con lo dispuesto en el artículo 338 de la Constitución Política. En todo caso, serán a cargo de sus propietarios las cesiones gratuitas y los gastos de urbanización previstos en el artículo anterior. </w:t>
      </w:r>
    </w:p>
    <w:p w14:paraId="3C0D9F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B2BF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se trate de la adecuación y habilitación urbanística de predios a cargo de sus propietarios en áreas de desarrollo concertado en suelo de expansión urbana, la distribución de las cargas generales sobre los que se apoye cada plan </w:t>
      </w:r>
      <w:proofErr w:type="gramStart"/>
      <w:r w:rsidRPr="009342F9">
        <w:rPr>
          <w:rFonts w:ascii="Arial" w:eastAsia="Times New Roman" w:hAnsi="Arial" w:cs="Arial"/>
          <w:color w:val="000000"/>
          <w:lang w:eastAsia="es-CO"/>
        </w:rPr>
        <w:t>parcial,</w:t>
      </w:r>
      <w:proofErr w:type="gramEnd"/>
      <w:r w:rsidRPr="009342F9">
        <w:rPr>
          <w:rFonts w:ascii="Arial" w:eastAsia="Times New Roman" w:hAnsi="Arial" w:cs="Arial"/>
          <w:color w:val="000000"/>
          <w:lang w:eastAsia="es-CO"/>
        </w:rPr>
        <w:t xml:space="preserve"> se podrá realizar mediante la asignación de edificabilidad adicional en proporción a la participación de los propietarios en dichas cargas. Para ello, los planes de ordenamiento territorial podrán determinar la asignación de aprovechamientos urbanísticos adicionales, que definan para cada uso la superficie máxima construible por encima del aprovechamiento urbanístico básico que se establezca para el suelo de expansión. Los índices de edificabilidad básica y adicional y su equivalencia con las cargas generales serán establecidos por los municipios y distritos en el componente urbano del plan de ordenamiento territorial. </w:t>
      </w:r>
    </w:p>
    <w:p w14:paraId="715954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041F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construcción de las redes matrices de servicios públicos domiciliarios se regirá por lo dispuesto en la Ley 142 de 1994 y su reglamento o las normas que los adicionen, modifiquen o sustituyan. </w:t>
      </w:r>
    </w:p>
    <w:p w14:paraId="384707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0C0438" w14:textId="6D84CD32" w:rsidR="00FC79C1" w:rsidRPr="007039AE" w:rsidRDefault="00FC79C1" w:rsidP="007039AE">
      <w:pPr>
        <w:spacing w:after="0" w:line="240" w:lineRule="auto"/>
        <w:jc w:val="center"/>
        <w:rPr>
          <w:rFonts w:ascii="Arial" w:eastAsia="Times New Roman" w:hAnsi="Arial" w:cs="Arial"/>
          <w:b/>
          <w:bCs/>
          <w:color w:val="000000"/>
          <w:lang w:eastAsia="es-CO"/>
        </w:rPr>
      </w:pPr>
      <w:bookmarkStart w:id="1078" w:name="ver_30073126"/>
      <w:bookmarkEnd w:id="1078"/>
      <w:r w:rsidRPr="007039AE">
        <w:rPr>
          <w:rFonts w:ascii="Arial" w:eastAsia="Times New Roman" w:hAnsi="Arial" w:cs="Arial"/>
          <w:b/>
          <w:bCs/>
          <w:color w:val="000000"/>
          <w:lang w:eastAsia="es-CO"/>
        </w:rPr>
        <w:t>SECCIÓN 6</w:t>
      </w:r>
    </w:p>
    <w:p w14:paraId="740AD7B8" w14:textId="08468B88"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UNIDADES DE ACTUACIÓN URBANÍSTICA DEL PLAN PARCIAL</w:t>
      </w:r>
    </w:p>
    <w:p w14:paraId="7FD90D27" w14:textId="77777777" w:rsidR="005C5EEB" w:rsidRPr="009342F9" w:rsidRDefault="005C5EEB" w:rsidP="00D4095E">
      <w:pPr>
        <w:spacing w:after="0" w:line="240" w:lineRule="auto"/>
        <w:jc w:val="center"/>
        <w:rPr>
          <w:rFonts w:ascii="Arial" w:eastAsia="Times New Roman" w:hAnsi="Arial" w:cs="Arial"/>
          <w:b/>
          <w:bCs/>
          <w:color w:val="000000"/>
          <w:lang w:eastAsia="es-CO"/>
        </w:rPr>
      </w:pPr>
    </w:p>
    <w:p w14:paraId="5F02A5F4" w14:textId="1AC0FA4B"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03A56214"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7AB043F9"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079" w:name="ver_30073127"/>
      <w:bookmarkEnd w:id="1079"/>
    </w:p>
    <w:p w14:paraId="572C95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2.2.4.1.6.1.1 Unidad de actuación urbanística. Es el área conformada por uno o varios inmuebles explícitamente delimitada en las normas que desarrolla el plan de ordenamiento territorial que debe ser urbanizada o construida como una unidad de planeamiento con el objeto de promover el uso racional del suelo, garantizar el cumplimiento de las normas urbanísticas y facilitar la dotación con cargo a sus propietarios de la infraestructura de transporte, los servicios públicos domiciliarios y los equipamientos colectivos, mediante reparto equitativo de las cargas y beneficios, conforme con lo previsto en el Capítulo V de la Ley 388 de 1997. </w:t>
      </w:r>
    </w:p>
    <w:p w14:paraId="647CAE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4F63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Delimitada la respectiva unidad de actuación urbanística en los términos que se reglamentan en la Subsección 2 de esta sección, para el desarrollo de cada unidad se deberá obtener una única licencia de urbanización o contar con la aprobación de un único proyecto urbanístico general en los términos del artículo 2.2.6.1.2.4.2 del presente decreto o la norma que lo adicione, modifique o sustituya. </w:t>
      </w:r>
    </w:p>
    <w:p w14:paraId="66A763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A245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planes de ordenamiento territorial y los planes parciales podrán determinar el desarrollo o construcción prioritaria de inmuebles que conformen unidades de actuación urbanística. </w:t>
      </w:r>
    </w:p>
    <w:p w14:paraId="605911B9" w14:textId="46D674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80" w:name="ver_30073128"/>
      <w:bookmarkEnd w:id="1080"/>
    </w:p>
    <w:p w14:paraId="5409D6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2.2.4.1.6.1.2 Unidades de gestión. No obstante lo dispuesto en el artículo anterior, los propietarios de la totalidad de los predios incluidos en el proyecto de delimitación de una unidad de actuación urbanística, según lo definido en el respectivo plan parcial, podrán solicitar una única licencia de urbanización o contar con la aprobación de un único proyecto urbanístico general en los términos del artículo 2.2.6.1.2.4.2 del presente decreto , para ejecutar las obras de urbanización de los predios que conforman el proyecto de delimitación de la unidad, siempre y cuando garanticen el reparto equitativo de las cargas y beneficios asignados a la respectiva unidad por el plan parcial. En este caso el área objeto de la operación se denominará unidad de gestión. De no obtenerse una única licencia de urbanización, deberá iniciarse el trámite de delimitación de la respectiva unidad de actuación urbanística, en los términos de que trata el artículo 42 de la Ley 388 de 1997 y la siguiente Subsección. </w:t>
      </w:r>
    </w:p>
    <w:p w14:paraId="5F1AD720" w14:textId="221FE4D0" w:rsidR="00D4095E" w:rsidRPr="009342F9" w:rsidRDefault="00FC79C1" w:rsidP="007039AE">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081" w:name="ver_30073129"/>
      <w:bookmarkEnd w:id="1081"/>
    </w:p>
    <w:p w14:paraId="599E4946" w14:textId="44DA8C46"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286DD54D"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DELIMITACIÓN DE UNIDADES DE ACTUACIÓN URBANÍSTICA DEL PLAN PARCIAL</w:t>
      </w:r>
    </w:p>
    <w:p w14:paraId="189CC0C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82" w:name="ver_30073130"/>
      <w:bookmarkEnd w:id="1082"/>
    </w:p>
    <w:p w14:paraId="509BF8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2.2.4.1.6.2.1 Procedimiento para la delimitación de las unidades de actuación urbanística. El proyecto de delimitación de la unidad de actuación urbanística será presentado ante la oficina de planeación municipal o distrital o la dependencia que haga sus veces, por las autoridades competentes o por los particulares interesados de acuerdo con los parámetros previstos en el correspondiente plan parcial y se acompañará de los siguientes documentos: </w:t>
      </w:r>
    </w:p>
    <w:p w14:paraId="0A8E4E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56A8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Copia del documento de identificación del propietario o propietarios de los predios que presentan la solicitud cuando se trate de personas naturales o certificado de existencia y representación legal si son personas jurídicas, cuya fecha de expedición no sea superior a un mes. </w:t>
      </w:r>
    </w:p>
    <w:p w14:paraId="67933E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D4CC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Poder debidamente otorgado, cuando se actúe mediante apoderado o promotor. </w:t>
      </w:r>
    </w:p>
    <w:p w14:paraId="7CBAB8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3A08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Plancha IGAC o medio cartográfico disponible en el municipio o distrito que haga sus veces a escala 1:2000 o 1:5000 con la localización del predio o predios objeto de la solicitud indicando la propuesta de delimitación de la unidad de actuación urbanística. </w:t>
      </w:r>
    </w:p>
    <w:p w14:paraId="276992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1E8C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relación e identificación de los predios incluidos en la propuesta de delimitación, con sus respectivos Folios de Matrícula Inmobiliaria. </w:t>
      </w:r>
    </w:p>
    <w:p w14:paraId="66F981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EDAE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Boletines catastrales y/o plano de manzana catastral cuando existan. </w:t>
      </w:r>
    </w:p>
    <w:p w14:paraId="155363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110C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Relación de direcciones de titulares de derechos reales y de los vecinos de predios colindantes con la unidad de actuación propuesta. </w:t>
      </w:r>
    </w:p>
    <w:p w14:paraId="1820BD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1240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Plano topográfico de los predios incluidos en la propuesta de delimitación. </w:t>
      </w:r>
    </w:p>
    <w:p w14:paraId="463E4B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D6AB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Estudio de títulos de cada uno de los predios incluidos en la propuesta de delimitación. </w:t>
      </w:r>
    </w:p>
    <w:p w14:paraId="360C2A8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83" w:name="ver_30073131"/>
      <w:bookmarkEnd w:id="1083"/>
    </w:p>
    <w:p w14:paraId="0BC8E0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2.2.4.1.6.2.2 Citación a titulares de derechos reales. La oficina de planeación municipal o distrital o la dependencia que haga sus veces pondrá el proyecto de delimitación en conocimiento de los titulares de derechos reales sobre la superficie de la unidad de actuación propuesta y de sus vecinos colindantes. La oficina de planeación municipal o distrital o la dependencia que haga sus veces los citará, dentro de los cinco (5) días siguientes a la radicación de la propuesta de delimitación, para que formulen sus objeciones u observaciones. Para ello, los titulares de derechos reales y los vecinos colindantes contarán con un término de treinta (30) días contados a partir del recibo de la citación. </w:t>
      </w:r>
    </w:p>
    <w:p w14:paraId="346B9F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CFF2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oficina de planeación dispondrá de un término máximo de quince (15) días contados a partir del vencimiento del término anterior, para pronunciarse sobre las objeciones y definir las modificaciones a que hubiere lugar y someter el proyecto de delimitación en consideración del alcalde municipal o distrital para su aprobación. </w:t>
      </w:r>
    </w:p>
    <w:p w14:paraId="47543B13" w14:textId="77777777" w:rsidR="007039AE" w:rsidRDefault="007039AE" w:rsidP="00FC79C1">
      <w:pPr>
        <w:spacing w:after="0" w:line="240" w:lineRule="auto"/>
        <w:jc w:val="both"/>
        <w:rPr>
          <w:rFonts w:ascii="Arial" w:eastAsia="Times New Roman" w:hAnsi="Arial" w:cs="Arial"/>
          <w:color w:val="000000"/>
          <w:lang w:eastAsia="es-CO"/>
        </w:rPr>
      </w:pPr>
      <w:bookmarkStart w:id="1084" w:name="ver_30073132"/>
      <w:bookmarkEnd w:id="1084"/>
    </w:p>
    <w:p w14:paraId="6AC880FA" w14:textId="42EE342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2.2.4.1.6.2.3 Aprobación. El alcalde municipal o distrital contará con un plazo máximo de tres (3) meses contados a partir de la presentación del proyecto de delimitación de la unidad de actuación por parte de la oficina de planeación municipal o distrital o la dependencia que haga sus veces, para impartir su aprobación definitiva, cuando a ello haya lugar, la cual se hará mediante acto administrativo. </w:t>
      </w:r>
    </w:p>
    <w:p w14:paraId="2908F5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B476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Transcurrido este plazo sin que se hubiere notificado la decisión correspondiente a los titulares de derechos reales y vecinos colindantes que se hayan hecho parte dentro del trámite, la delimitación se entenderá aprobada, siempre y cuando se haya realizado el trámite de citación. </w:t>
      </w:r>
    </w:p>
    <w:p w14:paraId="4120E1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67A3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Contra el acto que resuelva la solicitud de delimitación procede el recurso de reposición ante el alcalde municipal o distrital en los términos previstos en el Código de Procedimiento Administrativo y de lo Contencioso Administrativo. </w:t>
      </w:r>
    </w:p>
    <w:p w14:paraId="52FA4708" w14:textId="2DC04CC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85" w:name="ver_30073134"/>
      <w:bookmarkEnd w:id="1085"/>
    </w:p>
    <w:p w14:paraId="6683D4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2.2.4.1.6.2.4 Contenido del acto de delimitación. El acto de delimitación contendrá como mínimo: </w:t>
      </w:r>
    </w:p>
    <w:p w14:paraId="6A8B50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AE3C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El señalamiento de los inmuebles que conforman la unidad de actuación urbanística con sus respectivas matrículas inmobiliarias y la relación de los titulares de derechos reales de dichos predios. Cuando tengan </w:t>
      </w:r>
      <w:proofErr w:type="gramStart"/>
      <w:r w:rsidRPr="009342F9">
        <w:rPr>
          <w:rFonts w:ascii="Arial" w:eastAsia="Times New Roman" w:hAnsi="Arial" w:cs="Arial"/>
          <w:color w:val="000000"/>
          <w:lang w:eastAsia="es-CO"/>
        </w:rPr>
        <w:t>cédulas catastrales y manzana catastral</w:t>
      </w:r>
      <w:proofErr w:type="gramEnd"/>
      <w:r w:rsidRPr="009342F9">
        <w:rPr>
          <w:rFonts w:ascii="Arial" w:eastAsia="Times New Roman" w:hAnsi="Arial" w:cs="Arial"/>
          <w:color w:val="000000"/>
          <w:lang w:eastAsia="es-CO"/>
        </w:rPr>
        <w:t xml:space="preserve"> se incluirán estos datos. </w:t>
      </w:r>
    </w:p>
    <w:p w14:paraId="2066C2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4552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plano de delimitación del área objeto de la unidad de actuación urbanística con la indicación de sus linderos. </w:t>
      </w:r>
    </w:p>
    <w:p w14:paraId="7B84C6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B19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orden de inscripción de la unidad de actuación urbanística en cada uno de los Folios de Matrícula Inmobiliaria de los predios que conforman la unidad. </w:t>
      </w:r>
    </w:p>
    <w:p w14:paraId="4B19C6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E00D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Cuando se trate de unidades de actuación de desarrollo prioritario, se expresará que los titulares de derechos reales disponen de un plazo de 6 meses para definir las bases de la actuación de que trata el artículo 44 de la Ley 388 de 1997 o la norma que lo adicione, modifique o sustituya. </w:t>
      </w:r>
    </w:p>
    <w:p w14:paraId="4C7FAA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BFAF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señalamiento de que los predios afectados no podrán ser objeto de licencias de urbanización o construcción por fuera de la unidad de actuación. </w:t>
      </w:r>
    </w:p>
    <w:p w14:paraId="4CBADE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E7EA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aspectos que se deben contemplar en la definición de las bases para la actuación de que tratan los artículos 44 y siguientes de la Ley 388 de 1997. </w:t>
      </w:r>
    </w:p>
    <w:p w14:paraId="5724EC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9FA7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La orden de notificación del acto de delimitación a los titulares de derechos reales y a los vecinos colindantes que se hayan hecho parte dentro del trámite. </w:t>
      </w:r>
    </w:p>
    <w:p w14:paraId="78851C5A"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086" w:name="ver_30073135"/>
      <w:bookmarkEnd w:id="1086"/>
    </w:p>
    <w:p w14:paraId="1D03CDF6" w14:textId="0F44440E"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7</w:t>
      </w:r>
    </w:p>
    <w:p w14:paraId="36010F7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VARIAS</w:t>
      </w:r>
    </w:p>
    <w:p w14:paraId="61BB0B7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87" w:name="ver_30073136"/>
      <w:bookmarkEnd w:id="1087"/>
    </w:p>
    <w:p w14:paraId="5FB2C5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2.2.4.1.7.1 Licencias de intervención y ocupación del espacio público. Expedido el decreto que adopte el plan parcial por parte del alcalde municipal o distrital, no se requerirá licencia de intervención u ocupación del espacio público para ejecutar las obras que se encuentren previstas en el respectivo plan parcial. </w:t>
      </w:r>
    </w:p>
    <w:p w14:paraId="6846AC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4258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Tampoco se requerirá licencia de intervención u ocupación del espacio público para ejecutar las obras que permitan conectar las vías aprobadas en la licencia de urbanización con las demás vías o espacios públicos existentes de propiedad del correspondiente municipio o distrito. </w:t>
      </w:r>
    </w:p>
    <w:p w14:paraId="1BAA2D3B" w14:textId="1DB3EE2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88" w:name="ver_30073138"/>
      <w:bookmarkEnd w:id="1088"/>
    </w:p>
    <w:p w14:paraId="6A95F1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2.2.4.1.7.2 Incorporación al perímetro urbano. Los suelos de expansión urbana se entenderán incorporados al perímetro urbano cuando acrediten la calidad de áreas urbanizadas, entendiendo por estas las áreas conformadas por los predios que, de conformidad con las normas urbanísticas, hayan culminado la ejecución de las obras y dotaciones a cargo del urbanizador sobre las zonas de cesión obligatoria contempladas en la respectiva licencia y hecho entrega de ellas a satisfacción de los municipios y distritos, así como de las empresas de servicios públicos correspondientes, cuando sea del caso, en los términos de que tratan los artículos 2.2.6.1.4.6 y siguientes del presente decreto, la reglamentación aplicable a los servicios públicos y demás normas que los adicionen, modifiquen o sustituyan. </w:t>
      </w:r>
    </w:p>
    <w:p w14:paraId="363E9D46" w14:textId="58DF9A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89" w:name="ver_30073139"/>
      <w:bookmarkEnd w:id="1089"/>
    </w:p>
    <w:p w14:paraId="1B244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2.2.4.1.7.3 Régimen de transición. Las disposiciones contenidas en el presente decreto se aplicarán teniendo en cuenta el siguiente régimen de transición: </w:t>
      </w:r>
    </w:p>
    <w:p w14:paraId="59F632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EDB7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proyectos de planes parciales que hubieren sido radicados antes del 5 de julio de </w:t>
      </w:r>
      <w:proofErr w:type="gramStart"/>
      <w:r w:rsidRPr="009342F9">
        <w:rPr>
          <w:rFonts w:ascii="Arial" w:eastAsia="Times New Roman" w:hAnsi="Arial" w:cs="Arial"/>
          <w:color w:val="000000"/>
          <w:lang w:eastAsia="es-CO"/>
        </w:rPr>
        <w:t>2006,</w:t>
      </w:r>
      <w:proofErr w:type="gramEnd"/>
      <w:r w:rsidRPr="009342F9">
        <w:rPr>
          <w:rFonts w:ascii="Arial" w:eastAsia="Times New Roman" w:hAnsi="Arial" w:cs="Arial"/>
          <w:color w:val="000000"/>
          <w:lang w:eastAsia="es-CO"/>
        </w:rPr>
        <w:t xml:space="preserve"> continuarán su trámite de adopción de acuerdo con las disposiciones vigentes al momento de su radicación. </w:t>
      </w:r>
    </w:p>
    <w:p w14:paraId="3E93C4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D573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proyectos de planes parciales que al 5 de julio de 2006 cuenten con el concepto de viabilidad expedido por la oficina de planeación municipal o distrital o la dependencia que haga sus veces, con el acta de concertación de los aspectos ambientales suscrita por la autoridad de planeación y la autoridad ambiental competente y con el concepto del Consejo Consultivo de Ordenamiento, culminarán su trámite de adopción en los términos de que trata el artículo 2.2.4.1.3.1 del presente decreto. </w:t>
      </w:r>
    </w:p>
    <w:p w14:paraId="298936AD" w14:textId="27CAFA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90" w:name="ver_30073140"/>
      <w:bookmarkEnd w:id="1090"/>
    </w:p>
    <w:p w14:paraId="100348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2.2.4.1.7.4 Régimen de transición. Los proyectos de planes parciales que hubieren sido radicados antes del 7 de noviembre de </w:t>
      </w:r>
      <w:proofErr w:type="gramStart"/>
      <w:r w:rsidRPr="009342F9">
        <w:rPr>
          <w:rFonts w:ascii="Arial" w:eastAsia="Times New Roman" w:hAnsi="Arial" w:cs="Arial"/>
          <w:color w:val="000000"/>
          <w:lang w:eastAsia="es-CO"/>
        </w:rPr>
        <w:t>2007,</w:t>
      </w:r>
      <w:proofErr w:type="gramEnd"/>
      <w:r w:rsidRPr="009342F9">
        <w:rPr>
          <w:rFonts w:ascii="Arial" w:eastAsia="Times New Roman" w:hAnsi="Arial" w:cs="Arial"/>
          <w:color w:val="000000"/>
          <w:lang w:eastAsia="es-CO"/>
        </w:rPr>
        <w:t xml:space="preserve"> continuarán su trámite de adopción de acuerdo con las disposiciones vigentes al momento de su radicación, salvo que el interesado manifieste su interés de acogerse al nuevo procedimiento. </w:t>
      </w:r>
    </w:p>
    <w:p w14:paraId="31E1E6CC" w14:textId="02A1BA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91" w:name="ver_30073142"/>
      <w:bookmarkEnd w:id="1091"/>
    </w:p>
    <w:p w14:paraId="425FFF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2.2.4.1.7.5 Cartografía oficial del plan parcial. La información señalada en los numerales 4, 5 y 6 del artículo 2.2.4.1.4.1 del presente decreto estará contenida en los planos topográficos y normativos de los predios que hacen parte del plan parcial y deberá incorporarse de oficio en la cartografía oficial del municipio o distrito. </w:t>
      </w:r>
    </w:p>
    <w:p w14:paraId="77DF3E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5F1B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este caso, el trámite de licencias de urbanización no requerirá de actualización vial y cartográfica incorporada en la cartografía oficial del municipio o distrito, y las solicitudes de licencia se resolverán de acuerdo con la cartografía adoptada en el plan parcial. </w:t>
      </w:r>
    </w:p>
    <w:p w14:paraId="532CF224" w14:textId="7B1A522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92" w:name="ver_30073143"/>
      <w:bookmarkEnd w:id="1092"/>
    </w:p>
    <w:p w14:paraId="7E5228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2.2.4.1.7.6 Asignación de nomenclatura urbana en suelo de expansión. Una vez adoptado el plan parcial para el desarrollo de predios localizados en suelo de expansión urbana, las autoridades municipales y distritales competentes podrán asignar la nomenclatura urbana a dichos predios, así sea en forma provisional, con la correspondiente solicitud de licencia urbanística. </w:t>
      </w:r>
    </w:p>
    <w:p w14:paraId="3EBFD044" w14:textId="68ED3C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93" w:name="ver_30073145"/>
      <w:bookmarkEnd w:id="1093"/>
    </w:p>
    <w:p w14:paraId="5FA584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2.2.4.1.7.7 Adecuación de las normas urbanísticas. Los municipios y distritos ajustarán sus planes de ordenamiento territorial y los instrumentos que los desarrollen y complementen a lo señalado en este capítulo. </w:t>
      </w:r>
    </w:p>
    <w:p w14:paraId="6BE4FD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E48E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Mientras se ajustan dichas normas de conformidad con los términos previstos en la ley para la revisión o ajuste de los planes de ordenamiento en el estudio, trámite y adopción de los planes parciales las autoridades municipales y distritales competentes deberán aplicar las disposiciones previstas en el presente capítulo. </w:t>
      </w:r>
    </w:p>
    <w:p w14:paraId="2A5D08C9" w14:textId="60EFE267"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094" w:name="ver_30073147"/>
      <w:bookmarkEnd w:id="1094"/>
    </w:p>
    <w:p w14:paraId="4712BAB6" w14:textId="259D9B56"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3491B34E" w14:textId="77777777" w:rsidR="00FC79C1"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MACROPROYECTOS DE INTERÉS SOCIAL NACIONAL</w:t>
      </w:r>
    </w:p>
    <w:p w14:paraId="27D51068" w14:textId="77777777" w:rsidR="00287A00" w:rsidRPr="009342F9" w:rsidRDefault="00287A00" w:rsidP="00D4095E">
      <w:pPr>
        <w:spacing w:after="0" w:line="240" w:lineRule="auto"/>
        <w:jc w:val="center"/>
        <w:rPr>
          <w:rFonts w:ascii="Arial" w:eastAsia="Times New Roman" w:hAnsi="Arial" w:cs="Arial"/>
          <w:b/>
          <w:bCs/>
          <w:color w:val="000000"/>
          <w:lang w:eastAsia="es-CO"/>
        </w:rPr>
      </w:pPr>
    </w:p>
    <w:p w14:paraId="54989359" w14:textId="48F392C5"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7C599944" w14:textId="77777777" w:rsidR="00FC79C1"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MACROPROYECTOS DE INTERÉS SOCIAL NACIONAL DE PRIMERA GENERACIÓN</w:t>
      </w:r>
    </w:p>
    <w:p w14:paraId="2BB13A9D" w14:textId="77777777" w:rsidR="00287A00" w:rsidRPr="009342F9" w:rsidRDefault="00287A00" w:rsidP="00D4095E">
      <w:pPr>
        <w:spacing w:after="0" w:line="240" w:lineRule="auto"/>
        <w:jc w:val="center"/>
        <w:rPr>
          <w:rFonts w:ascii="Arial" w:eastAsia="Times New Roman" w:hAnsi="Arial" w:cs="Arial"/>
          <w:b/>
          <w:bCs/>
          <w:color w:val="000000"/>
          <w:lang w:eastAsia="es-CO"/>
        </w:rPr>
      </w:pPr>
    </w:p>
    <w:p w14:paraId="1459C10A" w14:textId="4352668F"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524F4F82"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47AA14E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95" w:name="ver_30073245"/>
      <w:bookmarkEnd w:id="1095"/>
    </w:p>
    <w:p w14:paraId="62EFCF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2.2.4.2.1.1.1 Macroproyectos de interés social nacional. Los Macroproyectos de Interés Social Nacional son el conjunto de decisiones administrativas y actuaciones urbanísticas adoptadas por el Gobierno Nacional, en los que se vinculan instrumentos de planeación, financiación y gestión del suelo para ejecutar una operación de gran escala que contribuya al desarrollo territorial de determinados municipios, distritos, áreas metropolitanas o regiones del país. </w:t>
      </w:r>
    </w:p>
    <w:p w14:paraId="25012A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C93E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Macroproyectos de que trata la presente sección se refieren a la ejecución de operaciones urbanísticas integrales de gestión y provisión de suelo para vivienda, con especial énfasis en vivienda de interés social y vivienda de interés prioritario. </w:t>
      </w:r>
    </w:p>
    <w:p w14:paraId="1B7397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8E99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macroproyecto deberá proveer suelo para desarrollar un número de viviendas de interés social que no podrá ser inferior al (1%) del número de hogares existentes en los municipios o distritos objeto del macroproyecto, de conformidad con las estadísticas del DANE. </w:t>
      </w:r>
    </w:p>
    <w:p w14:paraId="45ACFC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5897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decisiones administrativas y actuaciones urbanísticas adoptadas por el Gobierno Nacional conforman la acción urbanística de la Nación. </w:t>
      </w:r>
    </w:p>
    <w:p w14:paraId="19BEAE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3AF2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Siempre que en esta sección se mencionen los Macroproyectos, se entenderá que se hace referencia a los Macroproyectos de Interés Social Nacional de que trata el artículo 79 de la Ley 1151 de 2007. </w:t>
      </w:r>
    </w:p>
    <w:p w14:paraId="490B26F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96" w:name="ver_30073246"/>
      <w:bookmarkEnd w:id="1096"/>
    </w:p>
    <w:p w14:paraId="4BE3CD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2.2.4.2.1.1.2 Objetivo. Los Macroproyectos deberán promover el diseño y ejecución de proyectos integrales que contemplen la habilitación de suelo para vivienda de interés social, la provisión de servicios públicos domiciliarios, redes viales de integración urbana, zonal y local, espacios públicos y equipamientos colectivos; desarrollando asentamientos urbanos con altos parámetros de calidad urbanística y ambiental. </w:t>
      </w:r>
    </w:p>
    <w:p w14:paraId="7D511D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DAD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Así mismo, los Macroproyectos deberán promover el ordenamiento territorial, la compactación urbana, la densificación, el desarrollo y crecimiento equilibrado y equitativo de las ciudades y su articulación con los sistemas de movilidad regional. </w:t>
      </w:r>
    </w:p>
    <w:p w14:paraId="049F1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338F7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097" w:name="ver_30073247"/>
      <w:bookmarkEnd w:id="1097"/>
      <w:r w:rsidRPr="009342F9">
        <w:rPr>
          <w:rFonts w:ascii="Arial" w:eastAsia="Times New Roman" w:hAnsi="Arial" w:cs="Arial"/>
          <w:color w:val="000000"/>
          <w:lang w:eastAsia="es-CO"/>
        </w:rPr>
        <w:t>Artículo 2.2.4.2.1.1.3 Determinantes. De conformidad con lo previsto en el artículo 79 de la Ley 1151 de 2007, los Macroproyectos son determinantes que se constituyen en normas de superior jerarquía en los términos del artículo 10 de la Ley 388 de 1997, y se entenderán incorporados en los Planes de Ordenamiento Territorial de los municipios y distritos, así como en las directrices de ordenamiento de las áreas metropolitanas. </w:t>
      </w:r>
    </w:p>
    <w:p w14:paraId="6F1342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DE03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procesos de revisión y ajuste de los Planes de Ordenamiento Territorial los municipios y distritos deberán dar estricto cumplimiento a las disposiciones contenidas en los respectivos Macroproyectos. </w:t>
      </w:r>
    </w:p>
    <w:p w14:paraId="211FBA63" w14:textId="77777777" w:rsidR="007039AE" w:rsidRDefault="007039AE" w:rsidP="00FC79C1">
      <w:pPr>
        <w:spacing w:after="0" w:line="240" w:lineRule="auto"/>
        <w:jc w:val="both"/>
        <w:rPr>
          <w:rFonts w:ascii="Arial" w:eastAsia="Times New Roman" w:hAnsi="Arial" w:cs="Arial"/>
          <w:color w:val="000000"/>
          <w:lang w:eastAsia="es-CO"/>
        </w:rPr>
      </w:pPr>
      <w:bookmarkStart w:id="1098" w:name="ver_30073248"/>
      <w:bookmarkEnd w:id="1098"/>
    </w:p>
    <w:p w14:paraId="5F1A0F92" w14:textId="25CF69E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2.2.4.2.1.1.4 Etapas de los Macroproyectos. Las etapas de los Macroproyectos son: </w:t>
      </w:r>
    </w:p>
    <w:p w14:paraId="05D438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948F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Identificación y determinación. </w:t>
      </w:r>
    </w:p>
    <w:p w14:paraId="135313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22A6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Formulación. </w:t>
      </w:r>
    </w:p>
    <w:p w14:paraId="4D5E1E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BBD2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Adopción. </w:t>
      </w:r>
    </w:p>
    <w:p w14:paraId="768FC9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376888"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4. Ejecución </w:t>
      </w:r>
    </w:p>
    <w:p w14:paraId="4EC41ED1" w14:textId="4E26D8FE" w:rsidR="00FC79C1" w:rsidRPr="009342F9" w:rsidRDefault="00FC79C1" w:rsidP="00D4095E">
      <w:pPr>
        <w:spacing w:after="0" w:line="240" w:lineRule="auto"/>
        <w:jc w:val="center"/>
        <w:rPr>
          <w:rFonts w:ascii="Arial" w:eastAsia="Times New Roman" w:hAnsi="Arial" w:cs="Arial"/>
          <w:b/>
          <w:bCs/>
          <w:color w:val="000000"/>
          <w:lang w:eastAsia="es-CO"/>
        </w:rPr>
      </w:pPr>
      <w:bookmarkStart w:id="1099" w:name="ver_30073249"/>
      <w:bookmarkEnd w:id="1099"/>
      <w:r w:rsidRPr="009342F9">
        <w:rPr>
          <w:rFonts w:ascii="Arial" w:eastAsia="Times New Roman" w:hAnsi="Arial" w:cs="Arial"/>
          <w:b/>
          <w:bCs/>
          <w:color w:val="000000"/>
          <w:lang w:eastAsia="es-CO"/>
        </w:rPr>
        <w:t>SUBSECCIÓN 2</w:t>
      </w:r>
    </w:p>
    <w:p w14:paraId="54DF089F"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IDENTIFICACIÓN Y DETERMINACIÓN DE LOS MACROPROYECTOS</w:t>
      </w:r>
    </w:p>
    <w:p w14:paraId="0B5AADA8"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00" w:name="ver_30073250"/>
      <w:bookmarkEnd w:id="1100"/>
    </w:p>
    <w:p w14:paraId="30C4BD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2.2.4.2.1.2.1 Identificación y determinación de los Macroproyectos. Para identificar y determinar un macroproyecto, el Ministerio de Ambiente, Vivienda y Desarrollo Territorial deberá tener en cuenta los siguientes criterios: </w:t>
      </w:r>
    </w:p>
    <w:p w14:paraId="06977B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7108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dinámica poblacional. </w:t>
      </w:r>
    </w:p>
    <w:p w14:paraId="176774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FB7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déficit cuantitativo y cualitativo de vivienda de interés social. </w:t>
      </w:r>
    </w:p>
    <w:p w14:paraId="273FB5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30CD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impacto territorial de la intervención. </w:t>
      </w:r>
    </w:p>
    <w:p w14:paraId="18371061" w14:textId="7AC717D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1" w:name="ver_30073251"/>
      <w:bookmarkEnd w:id="1101"/>
    </w:p>
    <w:p w14:paraId="137C26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2.2.4.2.1.2.2 Documento técnico de soporte. Con el fin de establecer si un Macroproyecto cumple con los criterios establecidos en el artículo anterior, se deberá elaborar un documento técnico de soporte que contenga los siguientes aspectos: </w:t>
      </w:r>
    </w:p>
    <w:p w14:paraId="1CD1EE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AB46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Objeto, descripción y localización del macroproyecto. </w:t>
      </w:r>
    </w:p>
    <w:p w14:paraId="11B7F8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B65A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Análisis de la dinámica poblacional que describa el impacto del macroproyecto en el respectivo municipio, distrito, área metropolitana o región. </w:t>
      </w:r>
    </w:p>
    <w:p w14:paraId="43BCFA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E72A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Análisis del déficit cualitativo y cuantitativo de vivienda de interés social del municipio, distrito, área metropolitana y en su caso del área de influencia de las ciudades con más de 500.000 habitantes, de acuerdo con Resolución 461 de 2006 expedida por el Ministerio de Ambiente, Vivienda y Desarrollo Territorial, o la norma que la modifique, adicione o la sustituya. </w:t>
      </w:r>
    </w:p>
    <w:p w14:paraId="165B5B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C95E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Descripción del impacto territorial de la intervención, entendido como los aportes demostrables al mejoramiento cualitativo y cuantitativo del hábitat existente, la oferta de nuevos equipamientos colectivos y la ampliación o mejoramiento de los servicios públicos, espacio público e infraestructura vial y de transporte en municipios, distritos, áreas metropolitanas y regiones del país. </w:t>
      </w:r>
    </w:p>
    <w:p w14:paraId="4D45C3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706C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Prefactibilidad técnica y financiera del macroproyecto. </w:t>
      </w:r>
    </w:p>
    <w:p w14:paraId="5C11CE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326F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Las características ambientales, sociales, culturales y/o agrológicas de la zona en la cual se desarrollará el Macroproyecto, identificando las categorías de protección de que trata el artículo 2.2.2.2.1.3 del presente decreto y las demás categorías de protección al interior del perímetro urbano y de expansión </w:t>
      </w:r>
      <w:proofErr w:type="spellStart"/>
      <w:r w:rsidRPr="009342F9">
        <w:rPr>
          <w:rFonts w:ascii="Arial" w:eastAsia="Times New Roman" w:hAnsi="Arial" w:cs="Arial"/>
          <w:color w:val="000000"/>
          <w:lang w:eastAsia="es-CO"/>
        </w:rPr>
        <w:t>urba</w:t>
      </w:r>
      <w:proofErr w:type="spellEnd"/>
      <w:r w:rsidRPr="009342F9">
        <w:rPr>
          <w:rFonts w:ascii="Arial" w:eastAsia="Times New Roman" w:hAnsi="Arial" w:cs="Arial"/>
          <w:color w:val="000000"/>
          <w:lang w:eastAsia="es-CO"/>
        </w:rPr>
        <w:t xml:space="preserve"> </w:t>
      </w:r>
      <w:proofErr w:type="spellStart"/>
      <w:r w:rsidRPr="009342F9">
        <w:rPr>
          <w:rFonts w:ascii="Arial" w:eastAsia="Times New Roman" w:hAnsi="Arial" w:cs="Arial"/>
          <w:color w:val="000000"/>
          <w:lang w:eastAsia="es-CO"/>
        </w:rPr>
        <w:t>na</w:t>
      </w:r>
      <w:proofErr w:type="spellEnd"/>
      <w:r w:rsidRPr="009342F9">
        <w:rPr>
          <w:rFonts w:ascii="Arial" w:eastAsia="Times New Roman" w:hAnsi="Arial" w:cs="Arial"/>
          <w:color w:val="000000"/>
          <w:lang w:eastAsia="es-CO"/>
        </w:rPr>
        <w:t xml:space="preserve"> que se encuentren definidas en las normas urbanísticas estructurales de los Planes de Ordenamiento Territorial. </w:t>
      </w:r>
    </w:p>
    <w:p w14:paraId="6B654FC1" w14:textId="42FEA7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2" w:name="ver_30073252"/>
      <w:bookmarkEnd w:id="1102"/>
    </w:p>
    <w:p w14:paraId="28B18A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2.2.4.2.1.2.3 Macroproyectos sugeridos por entidades territoriales, áreas metropolitanas y/o por particulares. Las entidades territoriales, áreas metropolitanas y/o particulares podrán sugerir al Ministerio Ambiente, Vivienda y Desarrollo Territorial que se identifiquen o determinen Macroproyectos. Dicha solicitud deberá acreditar los requisitos de que trata el artículo anterior y anexar los siguientes documentos: </w:t>
      </w:r>
    </w:p>
    <w:p w14:paraId="3E095C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3DD7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Certificado(s) de existencia y representación legal cuya fecha de expedición no sea mayor a un (1) mes, cuando se trate de personas jurídicas. Documento de identidad cuando se trate de personas naturales. </w:t>
      </w:r>
    </w:p>
    <w:p w14:paraId="477D10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EE5A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Poder debidamente otorgado por los propietarios de los bienes inmuebles, cuando el Macroproyecto haya sido sugerido por particulares (Numeral modificado por Decreto 3671 de 2009, artículo 2).  </w:t>
      </w:r>
    </w:p>
    <w:p w14:paraId="0A088C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137E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La relación e identificación de los predios incluidos en la propuesta de delimitación y sus propietarios, localizándolos sobre la plancha IGAC o plano georreferenciado disponible en el municipio o distrito que haga sus veces a escala 1:2000 </w:t>
      </w:r>
      <w:proofErr w:type="spellStart"/>
      <w:r w:rsidRPr="009342F9">
        <w:rPr>
          <w:rFonts w:ascii="Arial" w:eastAsia="Times New Roman" w:hAnsi="Arial" w:cs="Arial"/>
          <w:color w:val="000000"/>
          <w:lang w:eastAsia="es-CO"/>
        </w:rPr>
        <w:t>ó</w:t>
      </w:r>
      <w:proofErr w:type="spellEnd"/>
      <w:r w:rsidRPr="009342F9">
        <w:rPr>
          <w:rFonts w:ascii="Arial" w:eastAsia="Times New Roman" w:hAnsi="Arial" w:cs="Arial"/>
          <w:color w:val="000000"/>
          <w:lang w:eastAsia="es-CO"/>
        </w:rPr>
        <w:t xml:space="preserve"> 1:5000, además de los respectivos certificados de tradición y libertad, cuya fecha de expedición no sea superior a un mes, así como la información catastral disponible de los predios objeto de la solicitud. </w:t>
      </w:r>
    </w:p>
    <w:p w14:paraId="57DD28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60C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Ambiente, Vivienda y Desarrollo Territorial evaluará el documento presentado, para lo cual contará con un término de sesenta (60) días hábiles contados a partir de su radicación, y comunicará la viabilidad de identificar y determinar el Macroproyecto sugerido, la cual no generará obligación de formular o adoptar dicho Macroproyecto. </w:t>
      </w:r>
    </w:p>
    <w:p w14:paraId="23BCEFF6" w14:textId="20253B2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3" w:name="ver_30073253"/>
      <w:bookmarkEnd w:id="1103"/>
    </w:p>
    <w:p w14:paraId="224E7D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2.2.4.2.1.2.4 Anuncio de los Macroproyectos. La identificación y determinación del Macroproyecto culminará con su anuncio mediante resolución expedida por el Ministro de Ambiente, Vivienda y Desarrollo Territorial, de conformidad con los términos y para los efectos del parágrafo 1 del artículo 61 de la Ley 388 de 1997. </w:t>
      </w:r>
    </w:p>
    <w:p w14:paraId="382D5B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0A76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que constituye el anuncio del Macroproyecto tendrá, por lo menos, el siguiente contenido: </w:t>
      </w:r>
    </w:p>
    <w:p w14:paraId="0F64C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BE9A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plano que delimita mediante coordenadas geográficas el área preliminar en la cual se formulará el Macroproyecto. </w:t>
      </w:r>
    </w:p>
    <w:p w14:paraId="564823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763D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orden de solicitar la práctica de avalúos de referencia para determinar el precio del suelo antes del anuncio del proyecto, programa u obra, cuando estos no hayan sido presentados con el documento técnico de soporte de que trata el artículo 6 del presente decreto. </w:t>
      </w:r>
    </w:p>
    <w:p w14:paraId="5B0F5C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6BE8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Dichos avalúos deberán tener en cuenta la reglamentación urbanística vigente antes del anuncio y en ningún caso incorporarán las expectativas que pueda generar el Macroproyecto. </w:t>
      </w:r>
    </w:p>
    <w:p w14:paraId="01BCB3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35D5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orden de publicación del anuncio en el Diario Oficial, Gaceta o registro municipal o distrital, o en el medio oficial idóneo del respectivo municipio o distrito y en un diario de amplia circulación en el municipio o distrito. </w:t>
      </w:r>
    </w:p>
    <w:p w14:paraId="0F503A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E620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El Instituto Geográfico Agustín Codazzi (IGAC), la entidad que cumpla sus funciones o peritos privados inscritos en las lonjas o asociaciones correspondientes, según lo determinado por el Decreto-ley 2150 de 1995 o la norma que lo modifique, adicione o sustituya, descontará del valor comercial de los inmuebles individuales, que se requieran para el desarrollo del Macroproyecto, el monto correspondiente al mayor valor generado por el anuncio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7E7901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3783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El anuncio de que trata este artículo no generará obligación de formular o adoptar el respectivo Macroproyecto ni obligará a la Administración a presentar oferta de compra sobre los bienes objeto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07A29A9C" w14:textId="1BEFEEF8"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4" w:name="ver_30073254"/>
      <w:bookmarkEnd w:id="1104"/>
    </w:p>
    <w:p w14:paraId="5F7C4760" w14:textId="4C86A2ED"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3DCB22D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FORMULACIÓN DE LOS MACROPROYECTOS</w:t>
      </w:r>
    </w:p>
    <w:p w14:paraId="35045A5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05" w:name="ver_30073255"/>
      <w:bookmarkEnd w:id="1105"/>
    </w:p>
    <w:p w14:paraId="030A72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2.2.4.2.1.3.1 Formulación de los Macroproyectos. El Ministerio de Ambiente, Vivienda y Desarrollo Territorial formulará los Macroproyectos teniendo en cuenta los siguientes contenidos: </w:t>
      </w:r>
    </w:p>
    <w:p w14:paraId="42E9C3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00C7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Delimitación definitiva del área mediante coordenadas geográficas donde se desarrollarán las actuaciones urbanísticas previstas en las normas que adopte el macroproyecto. </w:t>
      </w:r>
    </w:p>
    <w:p w14:paraId="41F93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C8A9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Estudio ambiental que deberá contemplar la descripción, caracterización y análisis ambiental del área en la cual se pretende desarrollar el Macroproyecto, incluyendo la identificación y delimitación de las áreas que componen la estructura ecológica principal y aquellos otros elementos que por sus valores ambientales, naturales o paisajísticos deban ser conservados, así como la identificación y evaluación de los efectos ambientales indicando las medidas para su manejo, conservación y protección. Igualmente incluirá la identificación de los recursos naturales renovables que requieran ser aprovechados para la ejecución del Macroproyecto y la solicitud de sustracción de las áreas de reserva forestal de carácter nacional, cuando la adopción y ejecución del Macroproyecto presentado implique su intervención. (Numeral modificado por Decreto 3671 de 2009, artículo 4). </w:t>
      </w:r>
    </w:p>
    <w:p w14:paraId="2014CB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BD27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Formulación general de la estructura urbana, la cual contemplará: </w:t>
      </w:r>
    </w:p>
    <w:p w14:paraId="6BA42B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2242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Localización y trazado del sistema de movilidad (malla arterial e intermedia, y sistemas de transporte urbano y regional). </w:t>
      </w:r>
    </w:p>
    <w:p w14:paraId="015A02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13FC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Localización y trazado de la estructura de espacio público (parques, plazas, alamedas y otros espacios peatonales). </w:t>
      </w:r>
    </w:p>
    <w:p w14:paraId="1ADA0C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2237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Localización y trazado de la infraestructura de servicios públicos domiciliarios. </w:t>
      </w:r>
    </w:p>
    <w:p w14:paraId="4DB815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13F3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El dimensionamiento y las condiciones para la localización de equipamientos colectivos tales como educación, cultura, salud, bienestar social, culto, deporte; y equipamientos de servicios públicos tales como seguridad, defensa y justicia, abastecimiento de alimentos, recintos feriales, mataderos, cementerios, administración pública, terminales de transporte y carga, y aeropuertos. </w:t>
      </w:r>
    </w:p>
    <w:p w14:paraId="5A6C43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5524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3.5 Las condiciones para la localización de los usos previstos en el macroproyecto, con especial énfasis en la localización de los terrenos para la vivienda de interés social y/o de interés prioritario. </w:t>
      </w:r>
    </w:p>
    <w:p w14:paraId="0B701A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C567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proyecto de normas urbanísticas necesarias para el desarrollo de los usos contemplados en cada una de las unidades de ejecución. </w:t>
      </w:r>
    </w:p>
    <w:p w14:paraId="3E1470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32BD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Estructuración financiera del Macroproyecto, la cual deberá contemplar los siguientes aspectos: </w:t>
      </w:r>
    </w:p>
    <w:p w14:paraId="028FCF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248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5.1 Presupuesto general. </w:t>
      </w:r>
    </w:p>
    <w:p w14:paraId="2DE056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615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5.2 Fuentes de financiación. </w:t>
      </w:r>
    </w:p>
    <w:p w14:paraId="572D71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771D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5.3 Cronograma de actividades. </w:t>
      </w:r>
    </w:p>
    <w:p w14:paraId="45B0EA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209B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(Numeral modificado por Decreto 3671 de 2009, artículo 5) </w:t>
      </w:r>
    </w:p>
    <w:p w14:paraId="110C5B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299D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Estrategia de gestión y fases para su ejecución. </w:t>
      </w:r>
    </w:p>
    <w:p w14:paraId="3181EC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5F8A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Salvo los componentes señalados en los numerales 4, 5 y 6 del presente artículo, los demás deberán quedar plasmados en cartografía en la escala que se determine en el acto administrativo de adopción del macroproyecto. </w:t>
      </w:r>
    </w:p>
    <w:p w14:paraId="4C4572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4117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estructuración financiera de cada macroproyecto deberá contemplar los mecanismos que aseguren su ejecución. </w:t>
      </w:r>
    </w:p>
    <w:p w14:paraId="0DAD80E1" w14:textId="59AD42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6" w:name="ver_30073257"/>
      <w:bookmarkEnd w:id="1106"/>
    </w:p>
    <w:p w14:paraId="5435FB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2.2.4.2.1.3.2 Estudios para la formulación de macroproyectos de interés social nacional sugeridos por entidades territoriales, áreas metropolitanas o particulares. Las entidades territoriales, áreas metropolitanas o particulares podrán presentar los estudios ambientales, técnicos y financieros correspondientes y los demás requisitos y documentos con base en los cuales el Ministerio podrá adelantar la formulación del Macroproyecto de acuerdo con lo establecido en el artículo anterior. </w:t>
      </w:r>
    </w:p>
    <w:p w14:paraId="35FD32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8A98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Estudio ambiental deberá contemplar la descripción, caracterización y análisis ambiental del área en la cual se pretende desarrollar el Macroproyecto, incluyendo la identificación y delimitación de las áreas que componen la estructura ecológica principal y aquellos otros elementos que por sus valores ambientales, naturales o paisajísticos deban ser conservados, así como la identificación y evaluación de los efectos ambientales indicando las medidas para su manejo, conservación y protección. Igualmente incluirá la identificación de los recursos naturales renovables que requieran ser aprovechados para la ejecución del Macroproyecto y la solicitud de sustracción de las áreas de reserva forestal de carácter nacional, cuando la adopción y ejecución del Macroproyecto presentado implique su intervención. </w:t>
      </w:r>
    </w:p>
    <w:p w14:paraId="5902C7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B306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Ambiente, Vivienda y Desarrollo Territorial realizará la evaluación técnica, financiera y ambiental de los estudios, para lo cual tendrá un término de ciento veinte (120) días hábiles, contados a partir de la radicación de los documentos de que trata este artículo. </w:t>
      </w:r>
    </w:p>
    <w:p w14:paraId="2113D1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5D92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estudios que presenten las entidades territoriales, áreas metropolitanas o particulares no generarán la obligación de formular o adoptar el respectivo Macroproyecto. </w:t>
      </w:r>
    </w:p>
    <w:p w14:paraId="70BC06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47E4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Ambiente, Vivienda y Desarrollo Territorial, mediante resolución, podrá establecer requisitos técnicos, financieros y legales complementarios para la elaboración de los estudios de que trata este artículo. </w:t>
      </w:r>
    </w:p>
    <w:p w14:paraId="7B188517" w14:textId="7B883E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7" w:name="ver_30073259"/>
      <w:bookmarkEnd w:id="1107"/>
    </w:p>
    <w:p w14:paraId="76B6B9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2.2.4.2.1.3.3 Aviso a los municipios y distritos. Formulado el Macroproyecto, el Ministerio de Ambiente, Vivienda y Desarrollo Territorial dará aviso mediante comunicación escrita a los representantes legales de los municipios y/o distritos en cuya jurisdicción se ejecutará el Macroproyecto, con el propósito de que las acciones urbanísticas que pretendan desarrollar estas entidades territoriales en las áreas que hagan parte del Macroproyecto sean concertadas con el Ministerio de Ambiente, Vivienda y Desarrollo Territorial. </w:t>
      </w:r>
    </w:p>
    <w:p w14:paraId="5AFAC7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D667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alcaldes de los municipios o distritos en los cuales se vayan a ejecutar los Macroproyectos contarán con un término máximo de treinta (30) días hábiles, contados a partir de la fecha de recibo del aviso para que presenten propuestas u observaciones. </w:t>
      </w:r>
    </w:p>
    <w:p w14:paraId="794DC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E7A5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dentro del plazo establecido, el Ministerio no hubiere recibido propuestas u observaciones, podrá adoptar el Macroproyecto. Las observaciones que presenten los municipios y distritos deberán resolverse en el acto administrativo de adopción. </w:t>
      </w:r>
    </w:p>
    <w:p w14:paraId="44123F80" w14:textId="12F824FA"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08" w:name="ver_30073260"/>
      <w:bookmarkEnd w:id="1108"/>
    </w:p>
    <w:p w14:paraId="5978AF78" w14:textId="64253C95"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4</w:t>
      </w:r>
    </w:p>
    <w:p w14:paraId="05F0708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ADOPCIÓN DE MACROPROYECTOS</w:t>
      </w:r>
    </w:p>
    <w:p w14:paraId="7419AE0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09" w:name="ver_30073261"/>
      <w:bookmarkEnd w:id="1109"/>
    </w:p>
    <w:p w14:paraId="18362B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2.2.4.2.1.4.1 Adopción de los Macroproyectos. Una vez surtidas las etapas anteriores, el Ministerio de Ambiente, Vivienda y Desarrollo Territorial podrá adoptar el Macroproyecto el cual incluirá las licencias, permisos autorizaciones y concesiones de carácter ambiental que se </w:t>
      </w:r>
      <w:proofErr w:type="gramStart"/>
      <w:r w:rsidRPr="009342F9">
        <w:rPr>
          <w:rFonts w:ascii="Arial" w:eastAsia="Times New Roman" w:hAnsi="Arial" w:cs="Arial"/>
          <w:color w:val="000000"/>
          <w:lang w:eastAsia="es-CO"/>
        </w:rPr>
        <w:t>requieran</w:t>
      </w:r>
      <w:proofErr w:type="gramEnd"/>
      <w:r w:rsidRPr="009342F9">
        <w:rPr>
          <w:rFonts w:ascii="Arial" w:eastAsia="Times New Roman" w:hAnsi="Arial" w:cs="Arial"/>
          <w:color w:val="000000"/>
          <w:lang w:eastAsia="es-CO"/>
        </w:rPr>
        <w:t xml:space="preserve"> así como la sustracción de las áreas de reserva forestal nacional cuando la adopción y ejecución del Macroproyecto implique su intervención. </w:t>
      </w:r>
    </w:p>
    <w:p w14:paraId="7124D3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DBF6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Una vez entre en vigencia el acto administrativo por el cual se adopte un Macroproyecto se enviará copia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a los municipios, distritos y autoridades ambientales con jurisdicción en su área de ejecución. </w:t>
      </w:r>
    </w:p>
    <w:p w14:paraId="0D7ACB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DFCB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municipios y distritos en los cuales se ejecuten los macroproyectos serán los beneficiarios de la plusvalía que se genere por la adopción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y podrán destinar dichos recursos para el desarrollo del macroproyecto en los términos del artículo 85 de la Ley 388 de 1997. </w:t>
      </w:r>
    </w:p>
    <w:p w14:paraId="36A0CA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884F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áreas incluidas en un Macroproyecto, que no se encuentren en suelo urbano se considerarán incorporadas a esta clase de suelo cuando se acredite la calidad de áreas urbanizadas, entendiendo por estas últimas las áreas conformadas por los predios que, de conformidad con las normas urbanísticas del respectivo macroproyecto, hayan culminado la ejecución de las obras y dotaciones a cargo del urbanizador sobre las zonas de cesión obligatoria contempladas en la respectiva licencia y hecho entrega de ellas a satisfacción de los municipios y distritos, así como de las empresas de servicios públicos domiciliarios correspondientes, cuando sea del caso, en los términos de que tratan el artículo 2.2.6.1.4.6 y siguientes del presente decreto, la reglamentación aplicable a los servicios públicos domiciliarios y las demás normas que los adicionen, modifiquen o sustituyan. </w:t>
      </w:r>
    </w:p>
    <w:p w14:paraId="75573E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00B6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 conformidad con lo establecido en el Parágrafo 4 del artículo 83 de la Ley 388 de 1997, los municipios podrán exonerar del cobro de la participación en plusvalía a los inmuebles destinados a vivienda de interés social. </w:t>
      </w:r>
    </w:p>
    <w:p w14:paraId="49776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8E58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macroproyectos reglamentados en el presente decreto únicamente requerirán la adopción de planes parciales para su ejecución cuando así lo determine el acto administrativo que lo adopte y la entidad ejecutora tendrá la iniciativa para su formulación. </w:t>
      </w:r>
    </w:p>
    <w:p w14:paraId="23169687" w14:textId="02177F87"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10" w:name="ver_30073263"/>
      <w:bookmarkEnd w:id="1110"/>
    </w:p>
    <w:p w14:paraId="65FB42D9" w14:textId="66C93264"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5</w:t>
      </w:r>
    </w:p>
    <w:p w14:paraId="734069AD"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EJECUCIÓN DE MACROPROYECTOS</w:t>
      </w:r>
    </w:p>
    <w:p w14:paraId="092312CE"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11" w:name="ver_30073264"/>
      <w:bookmarkEnd w:id="1111"/>
    </w:p>
    <w:p w14:paraId="21950D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2.2.4.2.1.5.1 Licencias urbanísticas para la ejecución de Macroproyectos. Las licencias urbanísticas para el macroproyecto se otorgarán con sujeción a las normas urbanísticas adoptadas en este. Dichas normas serán de obligatorio cumplimiento por parte de quien tenga la competencia para expedir las licencias urbanísticas. El Ministerio de Ambiente, Vivienda y Desarrollo Territorial por solicitud de la autoridad competente para expedir licencias urbanísticas, se pronunciará sobre las contradicciones y vacíos que se presenten en la interpretación de las normas contenidas en los decretos de adopción de los Macroproyectos. </w:t>
      </w:r>
    </w:p>
    <w:p w14:paraId="6E2754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EF49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Corresponderá a la autoridad municipal o distrital o a los curadores urbanos, según el caso, estudiar, tramitar y expedir la licencia urbanística en aplicación y cumplimiento de las normas adoptadas en los Macroproyectos. </w:t>
      </w:r>
    </w:p>
    <w:p w14:paraId="77EE00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8D8B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Macroproyectos que involucren áreas de terreno de varios municipios o distritos, únicamente se podrán ejecutar mediante la obtención de licencias urbanísticas por etapas correspondientes a cada una de las unidades de ejecución. Cada una de estas unidades deberá delimitarse dentro de un sólo municipio o distrito. </w:t>
      </w:r>
    </w:p>
    <w:p w14:paraId="512A69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29C6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Se entiende por unidad de ejecución el área integrada por uno o más predios, específicamente determinada sobre la cual se adelantarán las actuaciones urbanísticas propias de la operación a gran escala objeto del Macroproyecto. Este último podrá conformarse por una o varias unidades de ejecución, para efectos de contemplar su desarrollo por fases. </w:t>
      </w:r>
    </w:p>
    <w:p w14:paraId="54BD5A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42F6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Además de lo dispuesto en el Título 6 de la Parte 2 del presente decreto en materia de licencias urbanísticas, podrán ser titulares de licencias urbanísticas para el desarrollo de los predios incluidos en los Macroproyectos, las entidades públicas que hayan expedido el acto administrativo por medio del cual se disponga la adquisición de tales predios mediante enajenación voluntaria, con la respectiva oferta de compra, a partir de la fecha en que aquel acto se inscriba en el folio de matrícula inmobiliaria de cada inmueble. En todo caso, no se podrá ejecutar ninguna obra sobre el predio o predios objeto de adquisición hasta tanto se haga la entrega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w:t>
      </w:r>
    </w:p>
    <w:p w14:paraId="36CA3B28" w14:textId="71C1A24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12" w:name="ver_30073265"/>
      <w:bookmarkEnd w:id="1112"/>
    </w:p>
    <w:p w14:paraId="074C4B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2.2.4.2.1.5.2 Ejecución de los Macroproyectos. La ejecución de los Macroproyectos estará a cargo del Fondo Nacional de Vivienda, FONVIVIENDA, y/o de las entidades territoriales. Las áreas metropolitanas y/o los particulares podrán participar en la ejecución de los Macroproyectos, en los términos que se disponga en el acto administrativo que lo adopte. </w:t>
      </w:r>
    </w:p>
    <w:p w14:paraId="150191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3EB7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acuerdo con lo determinado en el artículo 12 del Decreto-ley 555 de 2003, así como en los artículos 79 y 82 de la Ley 1151 de 2007, el manejo de los recursos para la ejecución de los Macroproyectos a cargo de FONVIVIENDA podrá ser contratado total o parcialmente mediante contratos de fiducia mercantil, encargo fiduciario, fondos fiduciarios, de mandato, convenios de administración y demás negocios jurídicos que sean necesarios, así como gerencias de proyecto o patrimonios autónomos. </w:t>
      </w:r>
    </w:p>
    <w:p w14:paraId="190404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2297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garantizar la transparencia y eficiencia en la administración y ejecución de los recursos de Fonvivienda, estos serán manejados a través de cuentas separadas. </w:t>
      </w:r>
    </w:p>
    <w:p w14:paraId="6BDE2724" w14:textId="7B6BE4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13" w:name="ver_30073266"/>
      <w:bookmarkEnd w:id="1113"/>
    </w:p>
    <w:p w14:paraId="44908E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2.2.4.2.1.5.3 Esquemas de participación. El Gobierno Nacional podrá financiar directamente o bajo esquemas de participación público-privada los Macroproyectos y contratar las actividades relacionadas con la gerencia, supervisión y seguimiento de cada uno de ellos. </w:t>
      </w:r>
    </w:p>
    <w:p w14:paraId="78AB6F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E248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ejecución de Macroproyectos las autoridades nacionales y territoriales podrán celebrar contratos de fiducia mercantil, en calidad de fideicomitentes y/o beneficiarios en los que además podrán ser aportantes los particulares y percibir derechos de participación del fideicomiso. </w:t>
      </w:r>
    </w:p>
    <w:p w14:paraId="01E9E22F" w14:textId="0B50096E"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14" w:name="ver_30073268"/>
      <w:bookmarkEnd w:id="1114"/>
    </w:p>
    <w:p w14:paraId="5214C194" w14:textId="4F9F0842"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6</w:t>
      </w:r>
    </w:p>
    <w:p w14:paraId="01533E16"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MACROPROYECTOS DE INTERÉS SOCIAL NACIONAL QUE SE ENCUENTREN ADOPTADOS</w:t>
      </w:r>
    </w:p>
    <w:p w14:paraId="3EF46049" w14:textId="77777777" w:rsidR="000D2B8A" w:rsidRDefault="000D2B8A" w:rsidP="00D4095E">
      <w:pPr>
        <w:spacing w:after="0" w:line="240" w:lineRule="auto"/>
        <w:jc w:val="center"/>
        <w:rPr>
          <w:rFonts w:ascii="Arial" w:eastAsia="Times New Roman" w:hAnsi="Arial" w:cs="Arial"/>
          <w:b/>
          <w:bCs/>
          <w:color w:val="000000"/>
          <w:lang w:eastAsia="es-CO"/>
        </w:rPr>
      </w:pPr>
    </w:p>
    <w:p w14:paraId="71817402" w14:textId="230CB554"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1</w:t>
      </w:r>
    </w:p>
    <w:p w14:paraId="0E4C5C6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22819B2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15" w:name="ver_30073270"/>
      <w:bookmarkEnd w:id="1115"/>
    </w:p>
    <w:p w14:paraId="612B23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2.2.4.2.1.6.1.1 Requisitos para la ampliación de Macroproyectos de Interés Social Nacional adoptados. Los Macroproyectos de Interés Social Nacional (MISN) que se encuentran adoptados a la entrada en vigencia del Decreto 4821 de 2010, en concordancia con lo previsto en el artículo 79 de la Ley 1151 de 2007 así como lo previsto en la presente sección, podrán ampliar su área de intervención siempre y cuando esta modificación esté dirigida a incorporar nuevos suelos urbanizables o proyectos de vivienda, y el 100% del área residencial se destine para: (i) Personas damnificadas por la situación de desastre, incluidas en los sistemas de información que para el efecto determine el Gobierno Nacional; o (ii) Personas ubicadas en zonas de alto riesgo no mitigable y que deban ser reubicadas, según lo determine la oficina competente del respetivo municipio o distrito. En este caso, sólo se permitirá el desarrollo de usos complementarios y compatibles a la actividad residencial. </w:t>
      </w:r>
    </w:p>
    <w:p w14:paraId="4F03A5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FA4F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área de ampliación del respectivo MISN deberá estar ubicada en el mismo municipio o distrito donde se encuentra el MISN adoptado. </w:t>
      </w:r>
    </w:p>
    <w:p w14:paraId="60D82617" w14:textId="1A6C6F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16" w:name="ver_30073282"/>
      <w:bookmarkEnd w:id="1116"/>
    </w:p>
    <w:p w14:paraId="5F3A18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2.2.4.2.1.6.1.2 Titulares de la iniciativa. Además del Ministerio de Ambiente, Vivienda y Desarrollo Territorial podrán solicitar la ampliación de MISN la entidad territorial y/o el particular que hubieran sugerido el Macroproyecto que se encuentre adoptado. </w:t>
      </w:r>
    </w:p>
    <w:p w14:paraId="3388F982" w14:textId="4AD1621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17" w:name="ver_30073284"/>
      <w:bookmarkEnd w:id="1117"/>
    </w:p>
    <w:p w14:paraId="28D8C7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2.2.4.2.1.6.1.3 Fases de la ampliación de MISN. Para efectos de ampliar el área de los MISN que se encuentren adoptados de acuerdo con lo dispuesto en la presente sección, los interesados deberán adelantar las siguientes fases: </w:t>
      </w:r>
    </w:p>
    <w:p w14:paraId="1F6264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BB73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Identificación y determinación. </w:t>
      </w:r>
    </w:p>
    <w:p w14:paraId="5E41DE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FEFC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Formulación. </w:t>
      </w:r>
    </w:p>
    <w:p w14:paraId="1439D7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01CE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Adopción. </w:t>
      </w:r>
    </w:p>
    <w:p w14:paraId="025001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5BFA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ampliación del área del MISN para atender a personas damnificadas y/o personas ubicadas en zonas de alto riesgo que deban ser reubicadas por el fenómeno de La Niña 2010-2011 la situación de desastre y/o personas ubicadas en zonas de alto riesgo no mitigable y que deban ser reubicadas, se regirá exclusivamente por la presente Subsección. </w:t>
      </w:r>
    </w:p>
    <w:p w14:paraId="2DA989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6CB25D" w14:textId="399519D4" w:rsidR="00FC79C1" w:rsidRPr="009342F9" w:rsidRDefault="00FC79C1" w:rsidP="00D4095E">
      <w:pPr>
        <w:spacing w:after="0" w:line="240" w:lineRule="auto"/>
        <w:jc w:val="center"/>
        <w:rPr>
          <w:rFonts w:ascii="Arial" w:eastAsia="Times New Roman" w:hAnsi="Arial" w:cs="Arial"/>
          <w:b/>
          <w:bCs/>
          <w:color w:val="000000"/>
          <w:lang w:eastAsia="es-CO"/>
        </w:rPr>
      </w:pPr>
      <w:bookmarkStart w:id="1118" w:name="ver_30073285"/>
      <w:bookmarkEnd w:id="1118"/>
      <w:r w:rsidRPr="009342F9">
        <w:rPr>
          <w:rFonts w:ascii="Arial" w:eastAsia="Times New Roman" w:hAnsi="Arial" w:cs="Arial"/>
          <w:b/>
          <w:bCs/>
          <w:color w:val="000000"/>
          <w:lang w:eastAsia="es-CO"/>
        </w:rPr>
        <w:t>SUBSUBSECCIÓN 2</w:t>
      </w:r>
    </w:p>
    <w:p w14:paraId="3B038BC0"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 APLICABLE PARA LA AMPLIACIÓN DEL ÁREA DE MISN</w:t>
      </w:r>
    </w:p>
    <w:p w14:paraId="1215292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19" w:name="ver_30073288"/>
      <w:bookmarkEnd w:id="1119"/>
    </w:p>
    <w:p w14:paraId="50D8A6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2.2.4.2.1.6.2.1 Identificación y determinación. Para identificar y determinar la ampliación del área de un MISN, el interesado deberá presentar al Ministerio de Ambiente, Vivienda y Desarrollo Territorial toda la documentación e información contenida en el artículo 2.2.4.3.2.1 del presente decreto referida únicamente al área del MISN que se pretende ampliar. </w:t>
      </w:r>
    </w:p>
    <w:p w14:paraId="22705F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F9F9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iniciativa provenga del municipio, distrito o promotor del macroproyecto adoptado, el interesado deberá adicionalmente adjuntar a su solicitud la información y documentación relacionada en el 2.2.4.3.2.2 del presente decreto. </w:t>
      </w:r>
    </w:p>
    <w:p w14:paraId="4FD7A8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5504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verificada la existencia de todos los documentos y requisitos requeridos, el Ministerio de Ambiente, Vivienda y Desarrollo Territorial o la entidad que se designe para el efecto, evaluará la prefactibilidad de la solicitud de ampliación del área del MISN, para lo cual contará con un término de quince (15) días hábiles contados a partir de su radicación. </w:t>
      </w:r>
    </w:p>
    <w:p w14:paraId="1B9E8A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3E86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Ministerio determine que la solicitud de ampliación del área del MISN cuenta con prefactibilidad expedirá el acto administrativo de anuncio en los términos y las consecuencias previstas en el artículo 2.2.4.3.3.1 del presente decreto. </w:t>
      </w:r>
    </w:p>
    <w:p w14:paraId="75CBFA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648B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En los macroproyectos adoptados que existieran áreas </w:t>
      </w:r>
      <w:proofErr w:type="gramStart"/>
      <w:r w:rsidRPr="009342F9">
        <w:rPr>
          <w:rFonts w:ascii="Arial" w:eastAsia="Times New Roman" w:hAnsi="Arial" w:cs="Arial"/>
          <w:color w:val="000000"/>
          <w:lang w:eastAsia="es-CO"/>
        </w:rPr>
        <w:t>anunciadas</w:t>
      </w:r>
      <w:proofErr w:type="gramEnd"/>
      <w:r w:rsidRPr="009342F9">
        <w:rPr>
          <w:rFonts w:ascii="Arial" w:eastAsia="Times New Roman" w:hAnsi="Arial" w:cs="Arial"/>
          <w:color w:val="000000"/>
          <w:lang w:eastAsia="es-CO"/>
        </w:rPr>
        <w:t xml:space="preserve"> pero no incluidas en la formulación ni en la adopción del mismo, el Ministerio de Ambiente, Vivienda y Desarrollo Territorial o el titular de la iniciativa, elaborarán el proyecto de ampliación del área del MISN y el documento de soporte técnico sobre el área anunciada, con el fin de someterlo al trámite de viabilidad, de conformidad con lo señalado en el artículo siguiente del presente decreto. Sin perjuicio de lo anterior, cuando el Ministerio de Ambiente, Vivienda o Desarrollo Territorial o el titular de la iniciativa pretendan ampliar el respectivo macroproyecto que se encuentre adoptado en un área superior a la que fue anunciada, deberán iniciar el trámite para la ampliación del área de MISN desde la fase de identificación y determinación, tal como se prevé en el presente artículo. </w:t>
      </w:r>
    </w:p>
    <w:p w14:paraId="054631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EDEDC7" w14:textId="3A175DD2"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avalúos de referencia tienen por objeto determinar el precio del suelo antes del respectivo anuncio y deberán tener en cuenta la reglamentación urbanística vigente antes del anuncio y en ningún caso incorporarán las expectativas que pueda generar la ampliación del MISN. </w:t>
      </w:r>
    </w:p>
    <w:p w14:paraId="2D77276B" w14:textId="77777777" w:rsidR="00C8117B" w:rsidRPr="009342F9" w:rsidRDefault="00C8117B" w:rsidP="00FC79C1">
      <w:pPr>
        <w:spacing w:after="0" w:line="240" w:lineRule="auto"/>
        <w:jc w:val="both"/>
        <w:rPr>
          <w:rFonts w:ascii="Arial" w:eastAsia="Times New Roman" w:hAnsi="Arial" w:cs="Arial"/>
          <w:color w:val="000000"/>
          <w:lang w:eastAsia="es-CO"/>
        </w:rPr>
      </w:pPr>
    </w:p>
    <w:p w14:paraId="72C7E3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Instituto Geográfico Agustín Codazzi (IGAC), la entidad que cumpla sus funciones o peritos privados inscritos en las lonjas o asociaciones correspondientes, según lo determinado por el Decreto-ley 2150 de 1995 o la norma que lo modifique, adicione o sustituya, descontarán del valor comercial de los inmuebles individuales, que se requieran para el desarrollo de la ampliación del MISN, el monto correspondiente al mayor valor generado por el anuncio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553BE09D" w14:textId="1FEF97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0" w:name="ver_30073289"/>
      <w:bookmarkEnd w:id="1120"/>
    </w:p>
    <w:p w14:paraId="7524B9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2.2.4.2.1.6.2.2 Formulación. Una vez expedido el acto administrativo de anuncio y cuando la iniciativa de ampliación sea del Ministerio de Ambiente, Vivienda y Desarrollo Territorial, éste elaborará el proyecto de ampliación del área del MISN y el documento técnico de soporte en los términos previstos en el artículo 2.2.4.3.4.1.3 del presente decreto, con el fin de someterlo al correspondiente análisis de viabilidad técnico, financiero y jurídico. </w:t>
      </w:r>
    </w:p>
    <w:p w14:paraId="1CF70F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1411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iniciativa de ampliación del MISN provenga de una entidad territorial o de un promotor, estos dispondrán de un término máximo de cuatro (4) meses contados a partir de la publicación del acto administrativo mediante el cual se anuncia el proyecto de ampliación de MISN, para presentar la documentación correspondiente. En todo caso, la solicitud de formulación y la presentación de la documentación del proyecto de ampliación del área del MISN no generan ningún tipo de obligación para su adopción. </w:t>
      </w:r>
    </w:p>
    <w:p w14:paraId="15E51C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8663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Ambiente, Vivienda y Desarrollo Territorial o la entidad que este designe para el efecto, procederá a efectuar la evaluación técnica (ambiental y urbanística), financiera y jurídica del proyecto de ampliación del área del MISN, para lo cual contará con un plazo máximo de treinta (30) días hábiles, contados a partir de la radicación de la solicitud que cumpla con todos los requisitos y documentos previstos en el artículo 2.2.4.3.4.1.2 del presente decreto. </w:t>
      </w:r>
    </w:p>
    <w:p w14:paraId="0B0E3712" w14:textId="4C7E231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1" w:name="ver_30073292"/>
      <w:bookmarkEnd w:id="1121"/>
    </w:p>
    <w:p w14:paraId="3B636A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2.2.4.2.1.6.2.3 Aviso a los municipios y distritos. Formulado el proyecto de ampliación de MISN, el Ministerio de Ambiente, Vivienda y Desarrollo Territorial dará aviso mediante comunicación escrita al representante legal del municipio y/o distrito en cuya jurisdicción se ejecutará el macroproyecto, con el propósito de que las acciones urbanísticas que pretendan desarrollar estas entidades territoriales en las áreas que hagan parte del macroproyecto sean concertadas con el Ministerio de Ambiente, Vivienda y Desarrollo Territorial. </w:t>
      </w:r>
    </w:p>
    <w:p w14:paraId="6FFAB7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6635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w:t>
      </w:r>
      <w:proofErr w:type="gramStart"/>
      <w:r w:rsidRPr="009342F9">
        <w:rPr>
          <w:rFonts w:ascii="Arial" w:eastAsia="Times New Roman" w:hAnsi="Arial" w:cs="Arial"/>
          <w:color w:val="000000"/>
          <w:lang w:eastAsia="es-CO"/>
        </w:rPr>
        <w:t>Alcaldes</w:t>
      </w:r>
      <w:proofErr w:type="gramEnd"/>
      <w:r w:rsidRPr="009342F9">
        <w:rPr>
          <w:rFonts w:ascii="Arial" w:eastAsia="Times New Roman" w:hAnsi="Arial" w:cs="Arial"/>
          <w:color w:val="000000"/>
          <w:lang w:eastAsia="es-CO"/>
        </w:rPr>
        <w:t xml:space="preserve"> de los distritos en los cuales se vaya a ejecutar la ampliación del respectivo MISN contarán con un término máximo de quince (15) días hábiles, contados a partir de la fecha de recibo del aviso para que presenten propuestas u observaciones. </w:t>
      </w:r>
    </w:p>
    <w:p w14:paraId="6C110A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C9F6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dentro del plazo establecido, el Ministerio no hubiere recibido propuestas u observaciones, podrá adoptar la ampliación del MISN. Las observaciones que presenten los municipios y distritos se resolverán en el acto administrativo de adopción. </w:t>
      </w:r>
    </w:p>
    <w:p w14:paraId="7B9D92F9" w14:textId="4B12E8D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2" w:name="ver_30073293"/>
      <w:bookmarkEnd w:id="1122"/>
    </w:p>
    <w:p w14:paraId="671C4F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2.2.4.2.1.6.2.4 Adopción. Cumplidas las fases precedentes, el Ministerio de Ambiente, Vivienda y Desarrollo Territorial podrá adoptar mediante resolución la respectiva ampliación de MISN, a la cual se anexará el documento técnico soporte consolidado con las observaciones que hubiesen resultado pertinentes durante las fases precedentes. </w:t>
      </w:r>
    </w:p>
    <w:p w14:paraId="44170B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0DF7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adopción de la ampliación del área del MISN producirá los siguientes efectos: </w:t>
      </w:r>
    </w:p>
    <w:p w14:paraId="09CAED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0C3A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prevalencia de sus normas que constituirán determinantes de ordenamiento y serán, por tanto, de obligada observancia por parte de los municipios, distritos y autoridades ambientales en las posteriores revisiones y modificaciones de los planes de ordenamiento territorial. </w:t>
      </w:r>
    </w:p>
    <w:p w14:paraId="7531B1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73E0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La obligatoriedad del cumplimiento de sus disposiciones por todas las personas de derecho público y privado. Para el efecto, las licencias de urbanización y construcción y la ejecución de las actuaciones previstas en el </w:t>
      </w:r>
      <w:proofErr w:type="gramStart"/>
      <w:r w:rsidRPr="009342F9">
        <w:rPr>
          <w:rFonts w:ascii="Arial" w:eastAsia="Times New Roman" w:hAnsi="Arial" w:cs="Arial"/>
          <w:color w:val="000000"/>
          <w:lang w:eastAsia="es-CO"/>
        </w:rPr>
        <w:t>MISN,</w:t>
      </w:r>
      <w:proofErr w:type="gramEnd"/>
      <w:r w:rsidRPr="009342F9">
        <w:rPr>
          <w:rFonts w:ascii="Arial" w:eastAsia="Times New Roman" w:hAnsi="Arial" w:cs="Arial"/>
          <w:color w:val="000000"/>
          <w:lang w:eastAsia="es-CO"/>
        </w:rPr>
        <w:t xml:space="preserve"> se otorgarán con sujeción a las normas adoptadas en los mismos. </w:t>
      </w:r>
    </w:p>
    <w:p w14:paraId="0E88EB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BF23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destinación de los predios e inmuebles incluidos en su ámbito de planificación y/o gestión a los usos urbanos y aprovechamientos que resulten aplicables en virtud de las disposiciones del MISN. </w:t>
      </w:r>
    </w:p>
    <w:p w14:paraId="00B75B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4AEC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Una vez entre en vigencia el acto administrativo por el cual se adopte la ampliación del área del MISN se enviará copia del mismo a los municipios, distritos y autoridades ambientales con jurisdicción en su área de </w:t>
      </w:r>
      <w:proofErr w:type="gramStart"/>
      <w:r w:rsidRPr="009342F9">
        <w:rPr>
          <w:rFonts w:ascii="Arial" w:eastAsia="Times New Roman" w:hAnsi="Arial" w:cs="Arial"/>
          <w:color w:val="000000"/>
          <w:lang w:eastAsia="es-CO"/>
        </w:rPr>
        <w:t>ejecución</w:t>
      </w:r>
      <w:proofErr w:type="gramEnd"/>
      <w:r w:rsidRPr="009342F9">
        <w:rPr>
          <w:rFonts w:ascii="Arial" w:eastAsia="Times New Roman" w:hAnsi="Arial" w:cs="Arial"/>
          <w:color w:val="000000"/>
          <w:lang w:eastAsia="es-CO"/>
        </w:rPr>
        <w:t xml:space="preserve"> así como a FONVIVIENDA. </w:t>
      </w:r>
    </w:p>
    <w:p w14:paraId="76626F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6EFE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Los municipios y distritos en los cuales se ejecuten los MISN serán los beneficiarios de la plusvalía que se genere por la adopción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la cual deberá destinarse al desarrollo del respectivo MISN para los fines descritos en el artículo 85 de la Ley 388 de 1997. </w:t>
      </w:r>
    </w:p>
    <w:p w14:paraId="307E07A3" w14:textId="02D41764"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3" w:name="ver_30073295"/>
      <w:bookmarkEnd w:id="1123"/>
    </w:p>
    <w:p w14:paraId="58C3C983" w14:textId="280CAA5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6A167F27" w14:textId="77777777"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MACROPROYECTOS DE INTERÉS SOCIAL NACIONAL DE SEGUNDA GENERACIÓN</w:t>
      </w:r>
    </w:p>
    <w:p w14:paraId="69950D20" w14:textId="77777777" w:rsidR="005C5EEB" w:rsidRPr="009342F9" w:rsidRDefault="005C5EEB" w:rsidP="00D4095E">
      <w:pPr>
        <w:spacing w:after="0" w:line="240" w:lineRule="auto"/>
        <w:jc w:val="center"/>
        <w:rPr>
          <w:rFonts w:ascii="Arial" w:eastAsia="Times New Roman" w:hAnsi="Arial" w:cs="Arial"/>
          <w:b/>
          <w:bCs/>
          <w:color w:val="000000"/>
          <w:lang w:eastAsia="es-CO"/>
        </w:rPr>
      </w:pPr>
    </w:p>
    <w:p w14:paraId="7C18EFD4" w14:textId="08EF9AA9"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63B5911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478C5A4D"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24" w:name="ver_30073296"/>
      <w:bookmarkEnd w:id="1124"/>
    </w:p>
    <w:p w14:paraId="6E711D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2.2.4.2.2.1.1 Macroproyectos de Interés Social Nacional. Son el conjunto de decisiones administrativas y de actuaciones urbanísticas, definidas de común acuerdo entre el Gobierno Nacional y las administraciones municipales y distritales en el ámbito de sus respectivas competencias, para la ejecución de operaciones urbanas integrales de impacto municipal, metropolitano o regional que garanticen la habilitación de suelo para la construcción de vivienda y otros usos asociados a la vivienda y la correspondiente infraestructura de soporte para el sistema vial, de transporte, de servicios públicos, espacios públicos y equipamientos colectivos. </w:t>
      </w:r>
    </w:p>
    <w:p w14:paraId="047B31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2430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Macroproyectos de Interés Social Nacional deberán atender de forma preferente el déficit de vivienda de la respectiva entidad territorial, y establecer mecanismos para asegurar que los hogares de menores ingresos y la población vulnerable puedan acceder a las soluciones habitacionales que produzcan los Macroproyectos. </w:t>
      </w:r>
    </w:p>
    <w:p w14:paraId="58630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E780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Siempre que en el presente decreto se mencionen los “MISN” o los “Macroproyectos”, se entenderá que se trata de los Macroproyectos de Interés Social Nacional a que hace referencia la Ley 1469 de 2011. </w:t>
      </w:r>
    </w:p>
    <w:p w14:paraId="566E0981" w14:textId="3B477A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5" w:name="ver_30073297"/>
      <w:bookmarkEnd w:id="1125"/>
    </w:p>
    <w:p w14:paraId="566F6E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2.2.4.2.2.1.2 Ámbito de aplicación. Las disposiciones de esta sección se aplican al trámite de adopción de los Macroproyectos que tengan por objeto la habilitación de suelo para la construcción de vivienda y otros usos asociados a la misma, en áreas que en virtud de las disposiciones del respectivo Macroproyecto se sometan a tratamientos urbanísticos de desarrollo y de renovación urbana en la modalidad de redesarrollo. </w:t>
      </w:r>
    </w:p>
    <w:p w14:paraId="720BEF1C" w14:textId="3F5AC0D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6" w:name="ver_30073299"/>
      <w:bookmarkEnd w:id="1126"/>
    </w:p>
    <w:p w14:paraId="4EE0EF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2.2.4.2.2.1.3 Categorías de Macroproyectos. Los MISN serán adoptados por el Ministerio de Vivienda, Ciudad y Territorio y se diferenciarán, según tengan por objeto: </w:t>
      </w:r>
    </w:p>
    <w:p w14:paraId="2650AB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CBBD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Macroproyectos Categoría 1. La definición de los términos y las condiciones de gestión y ejecución de los contenidos, actuaciones o normas urbanísticas del plan de ordenamiento territorial vigente, sobre la base de un convenio entre el Ministerio de Vivienda, Ciudad y Territorio y el alcalde del respectivo municipio o distrito. Con la adopción de estos Macroproyectos, en ningún caso, podrán modificarse las disposiciones del respectivo plan de ordenamiento territorial vigente. </w:t>
      </w:r>
    </w:p>
    <w:p w14:paraId="462045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09FA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Macroproyectos Categoría 2. La definición, además de lo previsto en el numeral anterior, de las posibles modificaciones de las normas urbanísticas previstas en el plan de ordenamiento territorial vigente, cuando ello resulte necesario para asegurar la viabilidad de la operación urbana que se adopta con el Macroproyecto. En estos casos, la adopción del Macroproyecto implicará la aprobación previa del concejo municipal o distrital de la modificación de dichas normas, sobre la base de un convenio entre el Ministerio de Vivienda, Ciudad y Territorio y el alcalde del respectivo municipio o distrito acerca de la oportunidad, conveniencia y posibilidad de la nueva solución de ordenamiento. </w:t>
      </w:r>
    </w:p>
    <w:p w14:paraId="1CDFD5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328D1F" w14:textId="504344A5" w:rsidR="00FC79C1" w:rsidRPr="009342F9" w:rsidRDefault="00FC79C1" w:rsidP="00FC79C1">
      <w:pPr>
        <w:spacing w:after="0" w:line="240" w:lineRule="auto"/>
        <w:jc w:val="both"/>
        <w:rPr>
          <w:rFonts w:ascii="Arial" w:eastAsia="Times New Roman" w:hAnsi="Arial" w:cs="Arial"/>
          <w:color w:val="000000"/>
          <w:lang w:eastAsia="es-CO"/>
        </w:rPr>
      </w:pPr>
      <w:bookmarkStart w:id="1127" w:name="ver_30073301"/>
      <w:bookmarkEnd w:id="1127"/>
      <w:r w:rsidRPr="009342F9">
        <w:rPr>
          <w:rFonts w:ascii="Arial" w:eastAsia="Times New Roman" w:hAnsi="Arial" w:cs="Arial"/>
          <w:color w:val="000000"/>
          <w:lang w:eastAsia="es-CO"/>
        </w:rPr>
        <w:t>Artículo 2.2.4.2.2.1.4 Titulares de la iniciativa. En los términos del artículo 6 de la Ley 1469 de 2011, la iniciativa para promover, formular, ejecutar y financiar MISN podrá ser del Ministerio de Vivienda, Ciudad y Territorio, de las entidades territoriales, de las áreas metropolitanas, de las asociaciones de municipios, de otras entidades públicas interesadas y de los particulares. </w:t>
      </w:r>
    </w:p>
    <w:p w14:paraId="6A5CE2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67A6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Vivienda, Ciudad y Territorio podrá mediante resolución establecer requisitos que debe reunir el promotor del proyecto teniendo en cuenta aspectos relacionados con la capacidad jurídica, financiera y las condiciones de experiencia de los promotores particulares. </w:t>
      </w:r>
    </w:p>
    <w:p w14:paraId="54C58167" w14:textId="2A137A64"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28" w:name="ver_30073302"/>
      <w:bookmarkEnd w:id="1128"/>
    </w:p>
    <w:p w14:paraId="65546568" w14:textId="162569B5"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71C32736"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GENERALES DE LOS MACROPROYECTOS</w:t>
      </w:r>
    </w:p>
    <w:p w14:paraId="66C43A0D"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29" w:name="ver_30073304"/>
      <w:bookmarkEnd w:id="1129"/>
    </w:p>
    <w:p w14:paraId="10F3F3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2.2.4.2.2.2.1 Focalización e impacto de los Macroproyectos. Los Macroproyectos se deberán proponer en jurisdicción de un solo municipio o distrito, de acuerdo con los siguientes criterios de focalización e impactos en el déficit cuantitativo de vivienda: </w:t>
      </w:r>
    </w:p>
    <w:p w14:paraId="79C768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F8C5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Macroproyectos de impacto metropolitano o regional. Macroproyectos localizados en áreas metropolitanas, o áreas conformadas por capitales departamentales de categoría Especial y 1, cuya población sea superior a 300.000 habitantes que con sus municipios contiguos y/o aledaños tengan un déficit cuantitativo, según censo DANE 2005, agregado de vivienda urbana igual o superior a 20.000. Se entiende por municipios contiguos aquellos que comparten límite municipal con la capital departamental. Se entiende por municipios aledaños aquellos ubicados a una distancia no mayor de cincuenta (50) kilómetros de los límites del perímetro urbano de la respectiva ciudad con población superior a 300.000 habitantes y que tengan un déficit cuantitativo superior a 1.000. </w:t>
      </w:r>
    </w:p>
    <w:p w14:paraId="6FC78C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6404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señalará mediante resolución los municipios y distritos en los que se pueden formular Macroproyectos de impacto metropolitano o regional. </w:t>
      </w:r>
    </w:p>
    <w:p w14:paraId="78FC2C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3D88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Macroproyectos de impacto urbano a gran escala. Macroproyectos localizados en cualquier municipio o distrito de categoría especial, 1 o 2 o en capitales departamentales del país y que tengan un déficit cuantitativo de vivienda urbana igual o superior a 3.000 según Censo DANE 2005. </w:t>
      </w:r>
    </w:p>
    <w:p w14:paraId="3CB9DF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BE67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Macroproyectos de impacto urbano. Macroproyectos localizados en cualquier municipio o distrito de categoría 2, 3, 4, 5 o 6 y que tengan un déficit cuantitativo, según censo DANE 2005, de vivienda urbana igual o superior a 2.500. </w:t>
      </w:r>
    </w:p>
    <w:p w14:paraId="409EAE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9953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Sin perjuicio de lo dispuesto en el presente artículo, el Ministerio de Vivienda, Ciudad y Territorio mantendrá la iniciativa para formular MISN en cualquier municipio del país, siempre que guarden concordancia con los objetivos y alcances establecidos en la Ley 1469 de 2011 para este tipo de operaciones urbanas integrales. </w:t>
      </w:r>
    </w:p>
    <w:p w14:paraId="53A4C48E" w14:textId="598B0AA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30" w:name="ver_30073305"/>
      <w:bookmarkEnd w:id="1130"/>
    </w:p>
    <w:p w14:paraId="731552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2.2.4.2.2.2.2 Dimensión de los Macroproyectos y porcentajes mínimos y máximos de las áreas destinadas a VIP y VIS. Los Macroproyectos deberán cumplir para efectos de su anuncio, formulación y adopción las condiciones de área mínima y máxima y porcentaje de área útil para actividad residencial y para VIS y VIP que se señalan a continuación, según se trate de Macroproyectos de impacto metropolitano o regional, Macroproyectos de impacto urbano a gran escala o Macroproyectos de impacto urbano: </w:t>
      </w:r>
    </w:p>
    <w:p w14:paraId="1410AD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CBCA93" w14:textId="5C0FBD57"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0BAEC4A6" wp14:editId="27176B19">
            <wp:extent cx="5486400" cy="5546723"/>
            <wp:effectExtent l="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3"/>
                    <pic:cNvPicPr/>
                  </pic:nvPicPr>
                  <pic:blipFill>
                    <a:blip r:embed="rId19">
                      <a:extLst>
                        <a:ext uri="{28A0092B-C50C-407E-A947-70E740481C1C}">
                          <a14:useLocalDpi xmlns:a14="http://schemas.microsoft.com/office/drawing/2010/main" val="0"/>
                        </a:ext>
                      </a:extLst>
                    </a:blip>
                    <a:stretch>
                      <a:fillRect/>
                    </a:stretch>
                  </pic:blipFill>
                  <pic:spPr>
                    <a:xfrm>
                      <a:off x="0" y="0"/>
                      <a:ext cx="5486400" cy="5546723"/>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4B2757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4530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disposiciones del presente artículo no serán de aplicación para MISN que desarrollen programas o proyectos de renovación urbana en la modalidad de redesarrollo. En estos casos, las condiciones de área y porcentajes de suelo útil para actividad residencial y para la construcción de Vivienda de Interés Social (VIS) y Vivienda de Interés Prioritario (VIP), se definirán por el Ministerio de Vivienda, Ciudad y Territorio de acuerdo con las condiciones de cada proyecto, previo a la adopción del Macroproyecto. </w:t>
      </w:r>
    </w:p>
    <w:p w14:paraId="3893018C" w14:textId="65717563" w:rsidR="00FC79C1" w:rsidRPr="009342F9" w:rsidRDefault="00FC79C1" w:rsidP="00C8117B">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AF1718" w14:textId="3454F981" w:rsidR="00FC79C1" w:rsidRPr="009342F9" w:rsidRDefault="00FC79C1" w:rsidP="00D4095E">
      <w:pPr>
        <w:spacing w:after="0" w:line="240" w:lineRule="auto"/>
        <w:jc w:val="center"/>
        <w:rPr>
          <w:rFonts w:ascii="Arial" w:eastAsia="Times New Roman" w:hAnsi="Arial" w:cs="Arial"/>
          <w:b/>
          <w:bCs/>
          <w:color w:val="000000"/>
          <w:lang w:eastAsia="es-CO"/>
        </w:rPr>
      </w:pPr>
      <w:bookmarkStart w:id="1131" w:name="ver_30073308"/>
      <w:bookmarkEnd w:id="1131"/>
      <w:r w:rsidRPr="009342F9">
        <w:rPr>
          <w:rFonts w:ascii="Arial" w:eastAsia="Times New Roman" w:hAnsi="Arial" w:cs="Arial"/>
          <w:b/>
          <w:bCs/>
          <w:color w:val="000000"/>
          <w:lang w:eastAsia="es-CO"/>
        </w:rPr>
        <w:t>SUBSECCIÓN 3</w:t>
      </w:r>
    </w:p>
    <w:p w14:paraId="2A15FF9D"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w:t>
      </w:r>
    </w:p>
    <w:p w14:paraId="28FBE24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32" w:name="ver_30073309"/>
      <w:bookmarkEnd w:id="1132"/>
    </w:p>
    <w:p w14:paraId="6225B3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2.2.4.2.2.3.1. Fases de los Macroproyectos. El procedimiento general de anuncio, formulación, concertación y adopción de Macroproyectos comprende las siguientes fases: </w:t>
      </w:r>
    </w:p>
    <w:p w14:paraId="5B76A8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33F4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Análisis de prefactibilidad y anuncio. </w:t>
      </w:r>
    </w:p>
    <w:p w14:paraId="4E29B3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CEF5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Formulación y concertación. </w:t>
      </w:r>
    </w:p>
    <w:p w14:paraId="0EA803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A66B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Análisis de viabilidad técnica, financiera y jurídica. </w:t>
      </w:r>
    </w:p>
    <w:p w14:paraId="31685F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143B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Concertación interadministrativa entre el Ministerio de Vivienda, Ciudad y Territorio y el municipio o distrito correspondiente. </w:t>
      </w:r>
    </w:p>
    <w:p w14:paraId="7F3901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0974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Tratándose de MISN de categoría 2, ajuste especial del plan de ordenamiento territorial, previo cumplimiento de los requisitos legales y de aquellos establecidos en el presente decreto. </w:t>
      </w:r>
    </w:p>
    <w:p w14:paraId="0AD087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F670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Adopción del Macroproyecto. </w:t>
      </w:r>
    </w:p>
    <w:p w14:paraId="154F84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A203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Ejecución. </w:t>
      </w:r>
    </w:p>
    <w:p w14:paraId="233126F1" w14:textId="51EBF99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33" w:name="ver_30073315"/>
      <w:bookmarkEnd w:id="1133"/>
    </w:p>
    <w:p w14:paraId="2FAFA0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2.2.4.2.2.3.2 Modificación de los Macroproyectos. La modificación de los Macroproyectos será adoptada por el Ministerio de Vivienda, Ciudad y Territorio siguiendo el mismo trámite previsto en la Ley 1469 de 2011 para su adopción, teniendo en cuenta únicamente las instancias o dependencias a cuyo cargo se encuentren los asuntos objeto de la modificación necesaria para el desarrollo del respectivo MISN. La propuesta de modificación deberá contener el documento técnico de soporte que justifique la </w:t>
      </w:r>
      <w:proofErr w:type="spellStart"/>
      <w:r w:rsidRPr="009342F9">
        <w:rPr>
          <w:rFonts w:ascii="Arial" w:eastAsia="Times New Roman" w:hAnsi="Arial" w:cs="Arial"/>
          <w:color w:val="000000"/>
          <w:lang w:eastAsia="es-CO"/>
        </w:rPr>
        <w:t>respective</w:t>
      </w:r>
      <w:proofErr w:type="spellEnd"/>
      <w:r w:rsidRPr="009342F9">
        <w:rPr>
          <w:rFonts w:ascii="Arial" w:eastAsia="Times New Roman" w:hAnsi="Arial" w:cs="Arial"/>
          <w:color w:val="000000"/>
          <w:lang w:eastAsia="es-CO"/>
        </w:rPr>
        <w:t xml:space="preserve"> modificación y garantizar el cumplimiento de todos los requisitos previstos en la presente sección. </w:t>
      </w:r>
    </w:p>
    <w:p w14:paraId="7FAE1E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D9DA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modificación propuesta pretenda ampliar el área anunciada, se iniciará el trámite desde la fase de análisis de prefactibilidad y anuncio, en los demás casos se adelantará la fase de formulación y concertación con respecto de la modificación propuesta. </w:t>
      </w:r>
    </w:p>
    <w:p w14:paraId="1E07487F" w14:textId="45AC807E" w:rsidR="00D4095E" w:rsidRPr="009342F9" w:rsidRDefault="00FC79C1" w:rsidP="00C8117B">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134" w:name="ver_30073318"/>
      <w:bookmarkEnd w:id="1134"/>
    </w:p>
    <w:p w14:paraId="6FC0F681" w14:textId="3AF49EE8"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1</w:t>
      </w:r>
    </w:p>
    <w:p w14:paraId="58BD9338"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ANUNCIO</w:t>
      </w:r>
    </w:p>
    <w:p w14:paraId="7BC5BBF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35" w:name="ver_30073320"/>
      <w:bookmarkEnd w:id="1135"/>
    </w:p>
    <w:p w14:paraId="6BC8A6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2.2.4.2.2.3.1.1 Análisis de Prefactibilidad. El análisis de prefactibilidad tiene por objeto que el Ministerio de Vivienda, Ciudad y Territorio identifique de manera preliminar si existen las condiciones técnicas, jurídicas y financieras que posibiliten el desarrollo de un Macroproyecto. </w:t>
      </w:r>
    </w:p>
    <w:p w14:paraId="0BA5B0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782A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análisis ambiental a nivel de prefactibilidad corresponderá a la Corporación Autónoma Regional o de Desarrollo Sostenible correspondiente, y debe evaluar las condiciones de viabilidad ambiental del área de planificación del proyecto en términos de la localización e impacto en su área de planificación preliminar y su correspondiente área de influencia; disponibilidad, demanda y uso de recursos naturales renovables. El pronunciamiento ambiental favorable de la Corporación Autónoma Regional o de Desarrollo Sostenible, será requisito previo para la expedición del acto administrativo de anuncio. </w:t>
      </w:r>
    </w:p>
    <w:p w14:paraId="131586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E4E3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De conformidad con lo dispuesto en el presente artículo y la normativa ambiental vigente, no procederá la localización de un Macroproyecto de Interés Social Nacional en áreas de conservación y protección ambiental, tales como las áreas del sistema nacional de áreas protegidas salvo lo dispuesto en el parágrafo 2 del presente artículo, áreas de especial importancia ecosistémica como reservas de recursos naturales, páramos, subpáramos, nacimientos de agua, zonas de recarga de acuíferos, humedales de la lista de importancia internacional de la Convención Ramsar, manglares, zonas de playa y bajamar. </w:t>
      </w:r>
    </w:p>
    <w:p w14:paraId="56F947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7C4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humedales, la franja paralela a los cuerpos de agua de que trata el artículo 83 literal d) del Decreto Ley 2811 de 1974, y los distritos de manejo integrado podrán considerarse al interior de la unidad de planificación del macroproyecto respectivo, como suelo de protección y en ningún caso podrán ser tenidos como parte de las áreas netas urbanizables. Los macroproyectos que puedan afectar reservas forestales protectoras atenderán lo establecido en la legislación ambiental vigente. </w:t>
      </w:r>
    </w:p>
    <w:p w14:paraId="02F75851" w14:textId="6E6A0F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36" w:name="ver_30073322"/>
      <w:bookmarkEnd w:id="1136"/>
    </w:p>
    <w:p w14:paraId="6603CF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2.2.4.2.2.3.1.2 Contenido del documento técnico de soporte para la fase prefactibilidad del Macroproyecto. Para el análisis de prefactibilidad de la propuesta de Macroproyecto, el interesado debe elaborar radicar ante el Ministerio de Vivienda, Ciudad y Territorio un Documento Técnico de Soporte de Prefactibilidad DTS-P y la respectiva cartografía en medio físico y magnético, que incluya la siguiente información: </w:t>
      </w:r>
    </w:p>
    <w:p w14:paraId="3B4204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ABC5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Información general del MISN  </w:t>
      </w:r>
    </w:p>
    <w:p w14:paraId="4EB758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C890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Nombre, categoría y titular de la iniciativa. </w:t>
      </w:r>
    </w:p>
    <w:p w14:paraId="2B5BD0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491E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Objetivo y justificación de la intervención propuesta. </w:t>
      </w:r>
    </w:p>
    <w:p w14:paraId="1C24BD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760C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w:t>
      </w:r>
      <w:proofErr w:type="gramStart"/>
      <w:r w:rsidRPr="009342F9">
        <w:rPr>
          <w:rFonts w:ascii="Arial" w:eastAsia="Times New Roman" w:hAnsi="Arial" w:cs="Arial"/>
          <w:color w:val="000000"/>
          <w:lang w:eastAsia="es-CO"/>
        </w:rPr>
        <w:t>3.Análisis</w:t>
      </w:r>
      <w:proofErr w:type="gramEnd"/>
      <w:r w:rsidRPr="009342F9">
        <w:rPr>
          <w:rFonts w:ascii="Arial" w:eastAsia="Times New Roman" w:hAnsi="Arial" w:cs="Arial"/>
          <w:color w:val="000000"/>
          <w:lang w:eastAsia="es-CO"/>
        </w:rPr>
        <w:t xml:space="preserve"> que justifique el cumplimiento de los requisitos y las condiciones para el desarrollo del MISN según lo establecido en los artículos 2.2.4.2.2.2.1 y 2.2.4.2.2.2.2 de esta sección.  </w:t>
      </w:r>
    </w:p>
    <w:p w14:paraId="73CEE2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CB0E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Descripción del municipio y del impacto metropolitano o regional.  </w:t>
      </w:r>
    </w:p>
    <w:p w14:paraId="22F8A0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2921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Descripción general del municipio que incluya: i) la dinámica poblacional; ii) el déficit cualitativo y cuantitativo de vivienda en el municipio y en la cabecera municipal; iii) las características agrológicas del área cuando se encuentre en suelo rural;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los indicadores de espacio público efectivo y equipamientos colectivos municipales, y v) análisis de mercado del suelo y de vivienda que permita establecer la imposibilidad de destinar otros suelos para estos usos. Cuando el MISN sea de impacto metropolitano o regional o atienda población de otros municipios, esta descripción deberá incluir la información de los numerales i) y ii) para todos los municipios en los que se genera dicho impacto. </w:t>
      </w:r>
    </w:p>
    <w:p w14:paraId="3FE4D8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560A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Localización e identificación del área de planificación del MISN  </w:t>
      </w:r>
    </w:p>
    <w:p w14:paraId="04ECDE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231F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3.1 La localización del área de planificación del MISN en el municipio, señalando la clasificación del suelo, los sistemas generales de movilidad, espacio público y equipamientos colectivos y las características de la infraestructura de servicios públicos domiciliarios, en la que se determine cómo se conecta con el </w:t>
      </w:r>
      <w:proofErr w:type="gramStart"/>
      <w:r w:rsidRPr="009342F9">
        <w:rPr>
          <w:rFonts w:ascii="Arial" w:eastAsia="Times New Roman" w:hAnsi="Arial" w:cs="Arial"/>
          <w:color w:val="000000"/>
          <w:lang w:eastAsia="es-CO"/>
        </w:rPr>
        <w:t>casco urbano o el área urbana</w:t>
      </w:r>
      <w:proofErr w:type="gramEnd"/>
      <w:r w:rsidRPr="009342F9">
        <w:rPr>
          <w:rFonts w:ascii="Arial" w:eastAsia="Times New Roman" w:hAnsi="Arial" w:cs="Arial"/>
          <w:color w:val="000000"/>
          <w:lang w:eastAsia="es-CO"/>
        </w:rPr>
        <w:t xml:space="preserve"> consolidada. </w:t>
      </w:r>
    </w:p>
    <w:p w14:paraId="74753A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54CC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La identificación del área de planificación preliminar donde se desarrollará el MISN que incluya i) la composición predial con base en la información catastral disponible con la identificación del inmueble o de los inmuebles que conforman el área de planificación preliminar, incluyendo el propietario, el área de cada uno de ellos, el número de matrícula inmobiliaria y/o cédula catastral del predio; ii) el área total del área de planificación del MISN y el alinderamiento de dicha área, con los mojones y cuadro de coordenadas de mojones, y iii) la identificación de los predios vecinos. </w:t>
      </w:r>
    </w:p>
    <w:p w14:paraId="602AC6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168D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Plano con las características topográficas básicas del terreno, incluyendo la delimitación preliminar del área de planificación, las curvas de nivel, la altimetría del terreno y las obras civiles que se encuentren ubicadas en el área del Macroproyecto de Interés Social Nacional. </w:t>
      </w:r>
    </w:p>
    <w:p w14:paraId="503605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8F27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Cuando el MISN se pretenda localizar en suelo rural, se debe determinar si se encuentra ubicado en suelo de clasificación agrológica IGAC I, II o III, en cuyo caso el promotor deberá presentar una memoria en el que se analice y justifique la imposibilidad de destinar para el desarrollo urbano otros suelos de diferente calidad y condición. </w:t>
      </w:r>
    </w:p>
    <w:p w14:paraId="65EA31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889E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Estudio Ambiental de prefactibilidad  </w:t>
      </w:r>
    </w:p>
    <w:p w14:paraId="683AD6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51BB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4.1 Descripción de las determinantes ambientales en el área de planificación preliminar, que comprenda como mínimo: i) la identificación de las áreas de conservación y protección ambiental, reservas forestales y reservas de la sociedad civil así como el régimen de uso correspondiente y posibles traslapes con el área de planificación preliminar; ii) la existencia de prioridades de conservación del nivel nacional, regional y local; iii) identificación preliminar de disponibilidad de recursos naturales renovables y la demanda de uso o aprovechamiento de los mismos requeridos para el desarrollo del Macroproyecto y de las necesidades de permisos o autorizaciones ambientales correspondientes;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Zonificación ambiental del área de planificación preliminar, y v) relación del área de planificación del MISN con los instrumentos de planificación ambiental y territorial. </w:t>
      </w:r>
    </w:p>
    <w:p w14:paraId="3E9691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665E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Identificación y evaluación de los impactos ambientales positivos y negativos asociados a la propuesta de Macroproyecto a nivel de prefactibilidad en su área preliminar de planificación y su área de influencia y análisis preliminar de la viabilidad ambiental y las medidas y alternativas preliminares para su manejo. </w:t>
      </w:r>
    </w:p>
    <w:p w14:paraId="3F31A9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2E48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Análisis de amenaza y vulnerabilidad.  </w:t>
      </w:r>
    </w:p>
    <w:p w14:paraId="5DAA24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529C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Análisis a nivel de prefactibilidad de amenaza y vulnerabilidad por ocurrencia de fenómenos naturales que puedan llegar a generar restricciones para el desarrollo del Macroproyecto y su área de influencia ambiental. </w:t>
      </w:r>
    </w:p>
    <w:p w14:paraId="73532D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FD3F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Corporación Autónoma Regional o de Desarrollo Sostenible correspondiente, se pronunciará en la etapa de prefactibilidad únicamente sobre el análisis de amenaza y vulnerabilidad por inundación, crecientes súbitas y deslizamientos de origen hidrometeorológico. </w:t>
      </w:r>
    </w:p>
    <w:p w14:paraId="0680E1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4F76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Descripción de otras determinantes de suelos de protección.  </w:t>
      </w:r>
    </w:p>
    <w:p w14:paraId="1887A2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8282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Descripción de las principales determinantes para el desarrollo del área de planificación preliminar, que comprenda: i) las áreas de protección por el componente cultural y arqueológico tales como bienes declarados patrimonio cultural, histórico, artístico y arquitectónico o áreas declaradas de interés arqueológico; ii) áreas destinadas para infraestructura de vías, puertos y aeropuertos, líneas de gasoductos y oleoductos, infraestructura de comunicaciones y servicios públicos domiciliarios. </w:t>
      </w:r>
    </w:p>
    <w:p w14:paraId="77D4E3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1C39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Infraestructura  </w:t>
      </w:r>
    </w:p>
    <w:p w14:paraId="7ED78D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4A9D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Debe anexar una memoria descriptiva que contenga como mínimo la siguiente información del proyecto: i) cómo se suple la demanda de los servicios públicos domiciliarios; ii) cuál es la estructura del sistema vial y de transporte, identificando las vías existentes y proyectadas; iii) cuál es la respuesta del sistema de espacio público y equipamientos, identificando las áreas existentes y proyectadas, y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factibilidad de servicios públicos. </w:t>
      </w:r>
    </w:p>
    <w:p w14:paraId="7F940A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5A18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Propuesta urbanística preliminar y presupuesto preliminar  </w:t>
      </w:r>
    </w:p>
    <w:p w14:paraId="345BC2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41FB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8.1 Propuesta urbanística preliminar que incluya un esquema básico del planteamiento urbano, señalando, entre otros aspectos, i) zonificación ambiental; ii) los sistemas generales del Macroproyecto, tales como el sistema de movilidad, servicios públicos domiciliarios, espacio público y equipamientos; iii) las posibles áreas de actividad y tratamientos urbanísticos;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cuadro de áreas que discrimine de forma preliminar el área bruta, área neta urbanizable, área útil, área destinada a infraestructura y cesiones obligatorias de suelo para la red vial local y secundaria, equipamientos colectivos y espacio público, y v) la propuesta preliminar del potencial de viviendas VIS, VIP y no VIS que se busca generar, especificando cómo se cumplirá con los requisitos señalados en los artículos 2.2.4.2.2.2.1 y 2.2.4.2.2.2.2 de esta Sección. </w:t>
      </w:r>
    </w:p>
    <w:p w14:paraId="615744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E38D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8.2 Presupuesto preliminar que contenga: i) valor del suelo; ii) costos directos e indirectos de urbanismo; ii) costos directos e indirectos de construcción de viviendas según el esquema de ventas del MISN, y iii) se debe especificar si en el municipio está reglamentada plusvalía. </w:t>
      </w:r>
    </w:p>
    <w:p w14:paraId="13B806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F03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se deberá aportar un cronograma preliminar de ejecución anual de urbanismo y ejecución de viviendas, especificando el número de viviendas a construir; fuentes de financiación del MISN; los componentes del reparto de cargas y beneficios, especificando la fuente de financiación de cada una con su respectivo soporte. </w:t>
      </w:r>
    </w:p>
    <w:p w14:paraId="3C61DC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4F6C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Análisis de la propuesta de MISN y el contenido del plan de ordenamiento territorial. Análisis de la propuesta de MISN y el contenido del plan de ordenamiento territorial vigente, principalmente en relación con lo dispuesto en los componentes general y urbano y las normas urbanísticas. </w:t>
      </w:r>
    </w:p>
    <w:p w14:paraId="2EFC4B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E0BE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Descripción de impacto del macroproyecto.  </w:t>
      </w:r>
    </w:p>
    <w:p w14:paraId="0BF661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042F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fin de determinar la viabilidad de la propuesta de macroproyecto, deberá anexarse un documento que sintetice la información descriptiva con la justificación de la intervención propuesta y el impacto ambiental, en el que se demuestre el impacto estructural sobre políticas y estrategias de ordenamiento urbano, la calidad de vida y la organización espacial del respectivo municipio, región o área metropolitana, según sea del caso. </w:t>
      </w:r>
    </w:p>
    <w:p w14:paraId="699CFF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07AD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Documentos anexos  </w:t>
      </w:r>
    </w:p>
    <w:p w14:paraId="0CA3D4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2517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 Certificado del Ministerio del Interior sobre presencia o no de comunidades étnicas en el área de planificación del Macroproyecto. </w:t>
      </w:r>
    </w:p>
    <w:p w14:paraId="1E0DDA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91A1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 Certificado del ICAHN. </w:t>
      </w:r>
    </w:p>
    <w:p w14:paraId="31EBCB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DEC7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11.3 Certificado del </w:t>
      </w:r>
      <w:proofErr w:type="spellStart"/>
      <w:r w:rsidRPr="009342F9">
        <w:rPr>
          <w:rFonts w:ascii="Arial" w:eastAsia="Times New Roman" w:hAnsi="Arial" w:cs="Arial"/>
          <w:color w:val="000000"/>
          <w:lang w:eastAsia="es-CO"/>
        </w:rPr>
        <w:t>Incoder</w:t>
      </w:r>
      <w:proofErr w:type="spellEnd"/>
      <w:r w:rsidRPr="009342F9">
        <w:rPr>
          <w:rFonts w:ascii="Arial" w:eastAsia="Times New Roman" w:hAnsi="Arial" w:cs="Arial"/>
          <w:color w:val="000000"/>
          <w:lang w:eastAsia="es-CO"/>
        </w:rPr>
        <w:t xml:space="preserve"> sobre la existencia o de territorios legalmente titulados o resguardos indígenas o títulos colectivos pertenecientes a comunidades afrocolombianas en el área de planificación del proyecto. </w:t>
      </w:r>
    </w:p>
    <w:p w14:paraId="26959C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9D11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11.4 Certificado de tradición y libertad de los predios que se encuentran en el área de planificación de MISN, cuya fecha de expedición no sea superior a un (1) mes. </w:t>
      </w:r>
    </w:p>
    <w:p w14:paraId="28BFBF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1A0B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11.5 Estudio de títulos por lo menos de los últimos diez (10) años. </w:t>
      </w:r>
    </w:p>
    <w:p w14:paraId="053D6E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BCF3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11.6 Plano de delimitación preliminar amarrado a las coordenadas IGAC, con el señalamiento y localización de los suelos de protección en los términos del artículo 35 de la Ley 388 de 1997, la identificación y delimitación de las áreas de conservación y protección ambiental y las zonas de amenazas y riesgos. </w:t>
      </w:r>
    </w:p>
    <w:p w14:paraId="0BCF03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B8C6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11.7 Plano catastral con la relación e identificación de los predios del área de planificación con indicación de sus propietarios y/o poseedores. </w:t>
      </w:r>
    </w:p>
    <w:p w14:paraId="0EADE7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8E70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11.8 Información catastral disponible de los predios que se encuentran en el área de planificación del respetivo MISN. </w:t>
      </w:r>
    </w:p>
    <w:p w14:paraId="338752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76FA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11.9 Certificado y plancha IGAC o la autoridad competente a escala 1:2.000 o 1:5.000, que contenga el inmueble o los inmuebles que conforman el área de planificación del MISN. </w:t>
      </w:r>
    </w:p>
    <w:p w14:paraId="146BAC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CBC4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11.10 Poder o poderes de todos los propietarios de los inmuebles del área de planificación preliminar, inscritos en los folios de matrículas inmobiliarias, que faculten al promotor, cuando la iniciativa sea privada, para representar sus intereses. </w:t>
      </w:r>
    </w:p>
    <w:p w14:paraId="014A04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A9F0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11.11 Folios de matrículas inmobiliarias expedidas en un término no mayor a 30 días. </w:t>
      </w:r>
    </w:p>
    <w:p w14:paraId="0585CB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D873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11.12 Certificado de Existencia y Representación Legal, o del documento que haga sus veces, cuya fecha de expedición no sea mayor a un (1) mes, expedido por autoridad competente de acuerdo con la naturaleza jurídica del promotor; o copia del documento de identidad, cuando se trate de personas naturales. </w:t>
      </w:r>
    </w:p>
    <w:p w14:paraId="22CB66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32D9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11.13 Soportes de la información suministrada en el DTS especificando la fuente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69D2C5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F785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11.14 Certificado de la autoridad competente, con los usos del suelo del área del macroproyecto. </w:t>
      </w:r>
    </w:p>
    <w:p w14:paraId="13D4C3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501D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Para efectos de lo previsto en la presente sección, se entiende por área de actividad la destinación general asignada a las diferentes zonas dentro del área de planificación de un Macroproyecto en función de la estructura urbana propuesta. Las áreas de actividad establecen los parámetros generales </w:t>
      </w:r>
      <w:proofErr w:type="gramStart"/>
      <w:r w:rsidRPr="009342F9">
        <w:rPr>
          <w:rFonts w:ascii="Arial" w:eastAsia="Times New Roman" w:hAnsi="Arial" w:cs="Arial"/>
          <w:color w:val="000000"/>
          <w:lang w:eastAsia="es-CO"/>
        </w:rPr>
        <w:t>a</w:t>
      </w:r>
      <w:proofErr w:type="gramEnd"/>
      <w:r w:rsidRPr="009342F9">
        <w:rPr>
          <w:rFonts w:ascii="Arial" w:eastAsia="Times New Roman" w:hAnsi="Arial" w:cs="Arial"/>
          <w:color w:val="000000"/>
          <w:lang w:eastAsia="es-CO"/>
        </w:rPr>
        <w:t xml:space="preserve"> tener en cuenta para la asignación de usos específicos en las fases posteriores a la adopción del mismo. </w:t>
      </w:r>
    </w:p>
    <w:p w14:paraId="707DA3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F9C5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Ministerio de Vivienda, Ciudad y Territorio podrá señalar los documentos que se requieren para efectos de la elaboración de los estudios y el cumplimiento de los requisitos señalados en el presente artículo para adelantar la evaluación técnica, financiera y jurídica de los Macroproyectos. </w:t>
      </w:r>
    </w:p>
    <w:p w14:paraId="6F0E29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65E7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El Ministerio de Ambiente y Desarrollo Sostenible establecerá los términos de referencia para la elaboración del estudio ambiental de prefactibilidad que será adoptado mediante acto administrativo. </w:t>
      </w:r>
    </w:p>
    <w:p w14:paraId="195EA2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99CA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Ministerio de Vivienda, Ciudad y Territorio enviará el documento técnico de soporte a la Corporación Autónoma Regional o de Desarrollo Sostenible correspondiente para el análisis ambiental a nivel de prefactibilidad. El pronunciamiento ambiental favorable de la respectiva Corporación Autónoma Regional será requisito previo para la expedición del acto administrativo de anuncio. </w:t>
      </w:r>
    </w:p>
    <w:p w14:paraId="4D09CD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220E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Si la información y/o documentos no son suficientes para el pronunciamiento de la autoridad competente, ésta podrá requerirla por una sola vez. Este requerimiento interrumpirá los términos establecidos para que estas Corporaciones decidan. </w:t>
      </w:r>
    </w:p>
    <w:p w14:paraId="5E8AAEC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37" w:name="ver_30073324"/>
      <w:bookmarkEnd w:id="1137"/>
      <w:r w:rsidRPr="009342F9">
        <w:rPr>
          <w:rFonts w:ascii="Arial" w:eastAsia="Times New Roman" w:hAnsi="Arial" w:cs="Arial"/>
          <w:color w:val="000000"/>
          <w:lang w:eastAsia="es-CO"/>
        </w:rPr>
        <w:t>Artículo 2.2.4.2.2.3.1.3 Costos de elaboración y análisis de prefactibilidad. Los costos de elaboración del documento técnico de soporte de prefactibilidad serán asumidos por cuenta exclusiva de quienes presenten el respectivo Macroproyecto. </w:t>
      </w:r>
    </w:p>
    <w:p w14:paraId="095F53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067A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evaluación y análisis de prefactibilidad de la propuesta de MISN se adelante por parte de un tercero designado por el Ministerio de Vivienda, Ciudad y Territorio, los costos que se generen por concepto de dicha evaluación correrán por cuenta del promotor del MISN. </w:t>
      </w:r>
    </w:p>
    <w:p w14:paraId="4295A901" w14:textId="77777777" w:rsidR="00C8117B" w:rsidRDefault="00C8117B" w:rsidP="00FC79C1">
      <w:pPr>
        <w:spacing w:after="0" w:line="240" w:lineRule="auto"/>
        <w:jc w:val="both"/>
        <w:rPr>
          <w:rFonts w:ascii="Arial" w:eastAsia="Times New Roman" w:hAnsi="Arial" w:cs="Arial"/>
          <w:color w:val="000000"/>
          <w:lang w:eastAsia="es-CO"/>
        </w:rPr>
      </w:pPr>
      <w:bookmarkStart w:id="1138" w:name="ver_30073325"/>
      <w:bookmarkEnd w:id="1138"/>
    </w:p>
    <w:p w14:paraId="30229CFE" w14:textId="161F1C8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2.2.4.2.2.3.1.4 Anuncio de los Macroproyectos. El análisis y evaluación del estudio de prefactibilidad de cada MISN culminará con la expedición de un acto administrativo de anuncio o de archivo por parte del Ministerio de Vivienda, Ciudad y Territorio según corresponda. </w:t>
      </w:r>
    </w:p>
    <w:p w14:paraId="3AED97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C726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de anuncio tendrá por lo menos el siguiente contenido: </w:t>
      </w:r>
    </w:p>
    <w:p w14:paraId="3E22C9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9294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delimitación del área de planificación preliminar mediante coordenadas IGAC. </w:t>
      </w:r>
    </w:p>
    <w:p w14:paraId="2D5B9F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0E5C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orden de solicitar la práctica de avalúos de referencia para determinar el precio del suelo antes del anuncio del Macroproyecto, en caso de que éstos no se hubiesen realizado, y siempre y cuando no tengan más de diez (10) meses de anterioridad a la fecha de la expedición del acto de anuncio del proyecto. </w:t>
      </w:r>
    </w:p>
    <w:p w14:paraId="550842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FC8B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orden de publicación del acto administrativo de anuncio en el Diario Oficial y en la Gaceta o registro municipal o distrital o en un diario de amplia circulación en el municipio o distrito cuando carezcan de los anteriores medios de publicidad. </w:t>
      </w:r>
    </w:p>
    <w:p w14:paraId="4B8E6A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8E6E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orden de inscripción del acto administrativo de anuncio en el folio de matrícula inmobiliaria del predio o predios incluidos en el área de planificación. </w:t>
      </w:r>
    </w:p>
    <w:p w14:paraId="40338F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20AC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Documento Técnico de Soporte de Prefactibilidad, el plano de delimitación preliminar amarrado a las coordenadas IGAC, y el plano catastral del área de planificación, que fundamentan la decisión contenida en el acto administrativo de anuncio, estarán disponibles en la página web del Ministerio de Vivienda, Ciudad y Territorio hasta que se expida el acto administrativo de adopción o archivo del respectivo Macroproyecto. De igual forma, copia de esta información se remitirá al alcalde del respectivo municipio o distrito con el fin de que esta esté disponible en las instalaciones de la alcaldía para que cualquier interesado pueda consultar la información respectiva. </w:t>
      </w:r>
    </w:p>
    <w:p w14:paraId="2180BC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C6C9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Contra el acto administrativo que ordena el archivo de la iniciativa del Macroproyecto proceden los recursos de ley. </w:t>
      </w:r>
    </w:p>
    <w:p w14:paraId="12DC4A53" w14:textId="3FC761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39" w:name="ver_30073326"/>
      <w:bookmarkEnd w:id="1139"/>
    </w:p>
    <w:p w14:paraId="281C1D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2.2.4.2.2.3.1.5 Efectos del acto administrativo de anuncio. La publicación del anuncio del Macroproyecto concreta los motivos de utilidad pública e interés social a que hace referencia el artículo 11 de la Ley 1469 de 2011 y permite descontar del avalúo comercial del predio, el monto correspondiente a la plusvalía o mayor valor generado por el anuncio del proyecto, salvo aquellos casos en que los propietarios hubieren pagado la participación en plusvalía o la contribución de valorización, según sea del caso. </w:t>
      </w:r>
    </w:p>
    <w:p w14:paraId="59A5B9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D9C8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De conformidad con lo previsto en los artículos 7 y 8 de la Ley 1469 de 2011, el anuncio de que trata esta sección no generará obligación de formular o adoptar el respectivo Macroproyecto ni obligará a la Administración a presentar oferta de compra sobre los bienes objeto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4EEA10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850C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fin de garantizar el pleno conocimiento de los propietarios y terceros, el acto administrativo que contiene el anuncio del Macroproyecto se inscribirá en el folio de matrícula inmobiliaria de todos los predios incluidos en el área de planificación. </w:t>
      </w:r>
    </w:p>
    <w:p w14:paraId="7F4AC6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A2D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efectos del anuncio cesarán y, por consiguiente, el Ministerio de Vivienda, Ciudad y Territorio adelantará, de oficio o a solicitud de parte, los trámites para cancelar la inscripción en el folio de matrícula inmobiliaria de los predios del área anunciada cuando: </w:t>
      </w:r>
    </w:p>
    <w:p w14:paraId="6C01CD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2580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 ordene el archivo de la iniciativa de Macroproyecto mediante acto administrativo motivado. </w:t>
      </w:r>
    </w:p>
    <w:p w14:paraId="65B657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569F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Se excluyan predios del área de planificación según lo determine la resolución de adopción o modificación del respectivo Macroproyecto. </w:t>
      </w:r>
    </w:p>
    <w:p w14:paraId="58A00072" w14:textId="786D83FF"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40" w:name="ver_30073327"/>
      <w:bookmarkEnd w:id="1140"/>
    </w:p>
    <w:p w14:paraId="3A40A1BD" w14:textId="55810A5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2</w:t>
      </w:r>
    </w:p>
    <w:p w14:paraId="5C899F02"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FORMULACIÓN Y CONCERTACIÓN</w:t>
      </w:r>
    </w:p>
    <w:p w14:paraId="5BB1F7AE" w14:textId="77777777" w:rsidR="00D07FCE" w:rsidRDefault="00D07FCE" w:rsidP="00D4095E">
      <w:pPr>
        <w:spacing w:after="0" w:line="240" w:lineRule="auto"/>
        <w:jc w:val="center"/>
        <w:rPr>
          <w:rFonts w:ascii="Arial" w:eastAsia="Times New Roman" w:hAnsi="Arial" w:cs="Arial"/>
          <w:b/>
          <w:bCs/>
          <w:color w:val="000000"/>
          <w:lang w:eastAsia="es-CO"/>
        </w:rPr>
      </w:pPr>
    </w:p>
    <w:p w14:paraId="26A5F748" w14:textId="52768033"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1</w:t>
      </w:r>
    </w:p>
    <w:p w14:paraId="480C39AE"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EVALUACIÓN TÉCNICA, FINANCIERA Y JURÍDICA</w:t>
      </w:r>
    </w:p>
    <w:p w14:paraId="180DAEB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41" w:name="ver_30073328"/>
      <w:bookmarkEnd w:id="1141"/>
    </w:p>
    <w:p w14:paraId="5FF468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2.2.4.2.2.3.2.1.1. Formulación del Macroproyecto. Una vez el Ministerio de Vivienda, Ciudad y Territorio expida el acto administrativo de anuncio, se iniciará la fase de formulación de la propuesta de Macroproyecto con la elaboración del Documento Técnico de Soporte - DTS a que hace referencia el artículo siguiente, con el fin de someterlo al correspondiente análisis de viabilidad técnica, ambiental, financiera y jurídica. </w:t>
      </w:r>
    </w:p>
    <w:p w14:paraId="3E5B49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2380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interesados en adelantar el respectivo Macroproyecto deben presentar dentro de los ocho (8) meses siguientes a la publicación del acto administrativo de anuncio, la formulación de la propuesta de Macroproyecto con el Documento Técnico de Soporte. La presentación de esta iniciativa ante el Ministerio no genera ningún tipo de obligación para su adopción. </w:t>
      </w:r>
    </w:p>
    <w:p w14:paraId="6646459E" w14:textId="1B25379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42" w:name="ver_30073329"/>
      <w:bookmarkEnd w:id="1142"/>
    </w:p>
    <w:p w14:paraId="30E9A3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2.2.4.2.2.3.2.1.2 Contenido del Documento Técnico de Soporte - DTS para la formulación del Macroproyecto. Con la solicitud de inicio de la fase de formulación de la propuesta de Macroproyecto, el interesado deberá anexar un Documento Técnico de Soporte de formulación en medio físico y magnético, que incluya la siguiente información: </w:t>
      </w:r>
    </w:p>
    <w:p w14:paraId="0E315A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6729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Información general del MISN.  </w:t>
      </w:r>
    </w:p>
    <w:p w14:paraId="0EAADB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A854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Nombre, categoría y titular de la iniciativa. </w:t>
      </w:r>
    </w:p>
    <w:p w14:paraId="13CBE5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2E0D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Objetivo y justificación de la intervención propuesta. </w:t>
      </w:r>
    </w:p>
    <w:p w14:paraId="51C3CF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0AA0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Análisis que justifique el cumplimiento de los requisitos y las condiciones para el desarrollo del MISN según lo establecido en los artículos 2.2.4.2.2.2.1 y 2.2.4.2.2.2.2 de esta sección. </w:t>
      </w:r>
    </w:p>
    <w:p w14:paraId="12BAB1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42C9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Análisis del municipio y del impacto metropolitano o regional.  </w:t>
      </w:r>
    </w:p>
    <w:p w14:paraId="6043B0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E0D7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Análisis general del municipio que incluya: i) la dinámica poblacional, ii) el déficit cualitativo y cuantitativo de vivienda en el municipio y en la cabecera municipal; iii) las características agrológicas del área cuando se encuentre en suelo rural,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los indicadores de espacio público efectivo y equipamientos colectivos municipales, y v) análisis de mercado del suelo y de vivienda que permita establecer la imposibilidad de destinar otros suelos para estos usos. </w:t>
      </w:r>
    </w:p>
    <w:p w14:paraId="0FBEA9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6AB0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MISN sea de impacto metropolitano o regional o atienda población de otros municipios, esta descripción deberá incluir la información de los numerales (i) y (ii) para todos los municipios en los que se genera dicho impacto. </w:t>
      </w:r>
    </w:p>
    <w:p w14:paraId="37F864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389A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Localización definitiva del área de planificación del MISN.  </w:t>
      </w:r>
    </w:p>
    <w:p w14:paraId="499D33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D8D2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3.1 La localización del área de planificación del MISN en el municipio, señalando la clasificación del suelo, los sistemas generales de movilidad, espacio público y equipamientos colectivos y las características de la infraestructura de servicios públicos domiciliarios, en la que se determine cómo se conecta con el </w:t>
      </w:r>
      <w:proofErr w:type="gramStart"/>
      <w:r w:rsidRPr="009342F9">
        <w:rPr>
          <w:rFonts w:ascii="Arial" w:eastAsia="Times New Roman" w:hAnsi="Arial" w:cs="Arial"/>
          <w:color w:val="000000"/>
          <w:lang w:eastAsia="es-CO"/>
        </w:rPr>
        <w:t>casco urbano o el área urbana</w:t>
      </w:r>
      <w:proofErr w:type="gramEnd"/>
      <w:r w:rsidRPr="009342F9">
        <w:rPr>
          <w:rFonts w:ascii="Arial" w:eastAsia="Times New Roman" w:hAnsi="Arial" w:cs="Arial"/>
          <w:color w:val="000000"/>
          <w:lang w:eastAsia="es-CO"/>
        </w:rPr>
        <w:t xml:space="preserve"> consolidada. </w:t>
      </w:r>
    </w:p>
    <w:p w14:paraId="4F135D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0303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La identificación del área de planificación donde se desarrollará el MISN que incluya i) la composición predial con base en la información catastral disponible con la identificación del inmueble o de los inmuebles que conforman el área de planificación definitiva señalando el propietario, el área de cada uno de ellos, el número de matrícula inmobiliaria y/o cédula catastral del predio; ii) el área total del área de planificación del MISN y el alinderamiento de dicha área, con los mojones y cuadro de coordenadas de mojones, y iii) la identificación de los predios vecinos. </w:t>
      </w:r>
    </w:p>
    <w:p w14:paraId="4FB97A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A6FC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delimitación definitiva del área de planificación en la cual se desarrollarán las actuaciones urbanísticas previstas en las normas que adopte el Macroproyecto. </w:t>
      </w:r>
    </w:p>
    <w:p w14:paraId="36386C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A2EF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área de planificación presentada en la formulación es menor al área de planificación del anuncio, en el DTS de formulación se deberá justificar técnicamente el motivo de dicho cambio. </w:t>
      </w:r>
    </w:p>
    <w:p w14:paraId="5EC149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2FCE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área de planificación resultante del proceso de formulación sea superior al área de planificación preliminar se deberá justificar técnica, jurídica y financieramente el motivo de dicha modificación y una vez determinada la viabilidad de toda el área de planificación, se expedirá el acto administrativo de anuncio, sobre el área adicional. </w:t>
      </w:r>
    </w:p>
    <w:p w14:paraId="1D152F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DD66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Topográfico que contenga la precisión de la delimitación del área de planificación, la altimetría y planimetría del terreno, los elementos naturales tales como la red hídrica y la cobertura vegetal; así como las obras civiles que se encuentren ubicadas en el área </w:t>
      </w:r>
    </w:p>
    <w:p w14:paraId="58BF9069"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4813F6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MISN, las curvas de nivel, el área del MISN. Lo anterior deberá identificarse y delimitarse mediante mojones y coordenadas, con el sistema de unidades según lo establecido por el IGAC. </w:t>
      </w:r>
    </w:p>
    <w:p w14:paraId="40E329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C62B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el MISN se localice en suelo rural, se debe determinar si se encuentra ubicado en suelo de </w:t>
      </w:r>
      <w:proofErr w:type="spellStart"/>
      <w:r w:rsidRPr="009342F9">
        <w:rPr>
          <w:rFonts w:ascii="Arial" w:eastAsia="Times New Roman" w:hAnsi="Arial" w:cs="Arial"/>
          <w:color w:val="000000"/>
          <w:lang w:eastAsia="es-CO"/>
        </w:rPr>
        <w:t>clasifícación</w:t>
      </w:r>
      <w:proofErr w:type="spellEnd"/>
      <w:r w:rsidRPr="009342F9">
        <w:rPr>
          <w:rFonts w:ascii="Arial" w:eastAsia="Times New Roman" w:hAnsi="Arial" w:cs="Arial"/>
          <w:color w:val="000000"/>
          <w:lang w:eastAsia="es-CO"/>
        </w:rPr>
        <w:t xml:space="preserve"> agrológica IGAC 1, II o III, en cuyo caso el promotor deberá presentar un estudio en el que se analice y justifique la imposibilidad de destinar para el desarrollo urbano suelos de diferente calidad y condición. </w:t>
      </w:r>
    </w:p>
    <w:p w14:paraId="7E8686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D48A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Estudio Ambiental de formulación  </w:t>
      </w:r>
    </w:p>
    <w:p w14:paraId="39D66E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653F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estudio ambiental contendrá, como mínimo: i) la delimitación y descripción de las características ambientales del área específica del proyecto, que comprenda: determinantes ambientales; la identificación y delimitación de los elementos que por sus valores naturales, ambientales o paisajísticos deban ser conservados y las medidas específicas de protección para evitar su alteración o afectación con la ejecución del macroproyecto; hidrología e hidráulica; ii) identificación y evaluación de los impactos ambientales del proyecto y las correspondientes medidas de manejo. </w:t>
      </w:r>
    </w:p>
    <w:p w14:paraId="3149D4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58D3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deberán presentar las medidas de manejo de los impactos ambientales, que contenga las medidas de prevención, mitigación, corrección y compensación de los impactos ambientales identificados y dimensionados y la definición del manejo de vertimientos, emisiones y residuos. Estas medidas de manejo deberán incluir, de manera preliminar, la estructura organizacional y los recursos para su ejecución, durante la construcción y operación del proyecto. </w:t>
      </w:r>
    </w:p>
    <w:p w14:paraId="02BEB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87FD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base en la información obtenida sobre recursos naturales renovables y descargas al medio ambiente, en esta fase se determinará la demanda de uso, aprovechamiento y/o afectación de los recursos naturales renovables, con el señalamiento de los permisos ambientales que se requerirían para la ejecución del MISN. </w:t>
      </w:r>
    </w:p>
    <w:p w14:paraId="440EF6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23F0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Otras determinantes de suelos de protección  </w:t>
      </w:r>
    </w:p>
    <w:p w14:paraId="36D83C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9CE9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Identificar las principales determinantes para el desarrollo del área de planificación preliminar, que comprenda entre otras: i) las áreas de protección por el componente cultural y arqueológico tales como bienes declarados patrimonio cultural, histórico, artístico y arquitectónico o áreas declaradas de interés arqueológico; ii) áreas destinadas para infraestructura de vías, puertos y aeropuertos, líneas de gasoductos y oleoductos, infraestructura de comunicaciones y servicios públicos domiciliarios, y iii) las zonas de amenaza y riesgos. </w:t>
      </w:r>
    </w:p>
    <w:p w14:paraId="3EAC4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0F68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Corporación Autónoma Regional o de Desarrollo Sostenible correspondiente, se pronunciará en la etapa de formulación únicamente sobre el análisis de amenaza, vulnerabilidad y riesgo por inundación, crecientes súbitas y deslizamientos de origen hidrometeorológico. </w:t>
      </w:r>
    </w:p>
    <w:p w14:paraId="543373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D88F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Infraestructura  </w:t>
      </w:r>
    </w:p>
    <w:p w14:paraId="130BBE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A1B7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 Se debe entregar anteproyecto de los diseños de los sistemas de servicios públicos domiciliarios. </w:t>
      </w:r>
    </w:p>
    <w:p w14:paraId="0B1204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3924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 Se deben entregar los diseños, memorias y estudios que garanticen la prestación efectiva de los servicios públicos domiciliarios al Macroproyecto. </w:t>
      </w:r>
    </w:p>
    <w:p w14:paraId="244C40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57D7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6.3 Memoria </w:t>
      </w:r>
      <w:proofErr w:type="spellStart"/>
      <w:r w:rsidRPr="009342F9">
        <w:rPr>
          <w:rFonts w:ascii="Arial" w:eastAsia="Times New Roman" w:hAnsi="Arial" w:cs="Arial"/>
          <w:color w:val="000000"/>
          <w:lang w:eastAsia="es-CO"/>
        </w:rPr>
        <w:t>Sintesis</w:t>
      </w:r>
      <w:proofErr w:type="spellEnd"/>
      <w:r w:rsidRPr="009342F9">
        <w:rPr>
          <w:rFonts w:ascii="Arial" w:eastAsia="Times New Roman" w:hAnsi="Arial" w:cs="Arial"/>
          <w:color w:val="000000"/>
          <w:lang w:eastAsia="es-CO"/>
        </w:rPr>
        <w:t xml:space="preserve"> que contenga la aplicación del estudio de tráfico en el MISN. </w:t>
      </w:r>
    </w:p>
    <w:p w14:paraId="70EA65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3789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Estructura urbanística del MISN.  </w:t>
      </w:r>
    </w:p>
    <w:p w14:paraId="4C9DD3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BE6B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7.1 Estructura urbana que incluya el planteamiento definitivo, señalando, entre otros, lo siguiente: i) zonificación ambiental que incluye la estructura ecológica; ii) Sistema de tráfico y movilidad, iii) Sistema general de servicios públicos domiciliarios,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Sistema de espacio público y equipamientos colectivos. </w:t>
      </w:r>
    </w:p>
    <w:p w14:paraId="6D2B6C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E368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Justificación técnica de la necesidad de áreas fuera del Macroproyecto que se requieran para ejecutar obras de conexión del Macroproyecto con las redes matrices de servicios públicos domiciliarios y la red vial principal. </w:t>
      </w:r>
    </w:p>
    <w:p w14:paraId="70270D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419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7.2 Proyecto de normas urbanísticas, que incluya: i) planteamiento urbanístico general, ii) áreas de actividad; iii) usos del suelo;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unidades de ejecución, v) tratamientos urbanísticos; vi) organización de las unidades prediales; vii) índices de edificabilidad, y (</w:t>
      </w:r>
      <w:proofErr w:type="spellStart"/>
      <w:r w:rsidRPr="009342F9">
        <w:rPr>
          <w:rFonts w:ascii="Arial" w:eastAsia="Times New Roman" w:hAnsi="Arial" w:cs="Arial"/>
          <w:color w:val="000000"/>
          <w:lang w:eastAsia="es-CO"/>
        </w:rPr>
        <w:t>viii</w:t>
      </w:r>
      <w:proofErr w:type="spellEnd"/>
      <w:r w:rsidRPr="009342F9">
        <w:rPr>
          <w:rFonts w:ascii="Arial" w:eastAsia="Times New Roman" w:hAnsi="Arial" w:cs="Arial"/>
          <w:color w:val="000000"/>
          <w:lang w:eastAsia="es-CO"/>
        </w:rPr>
        <w:t>) normas volumétricas. </w:t>
      </w:r>
    </w:p>
    <w:p w14:paraId="612430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580E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7.3 El planteamiento urbanístico general adicionalmente debe contener un cuadro de áreas que discrimine por lo menos área bruta, área neta urbanizable, área útil, área destinada a infraestructura y cesiones obligatorias de suelo; y la propuesta del potencial de viviendas VIS, VIP y no VIS que se busca generar, con su cuadro de áreas, especificando cómo se cumplirá con los requisitos señalados en los artículos 2.2.4.2.2.2.1 y 2.2.4.2.2.2.2 de esta sección. </w:t>
      </w:r>
    </w:p>
    <w:p w14:paraId="012F3A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D6C4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MISN de categoría 2 las cesiones obligatorias de suelo destinadas a parques, zonas verdes y equipamientos colectivos, será el 25% del área neta urbanizable y deberá configurar un sistema integrado a la infraestructura general del área de planificación del MISN. </w:t>
      </w:r>
    </w:p>
    <w:p w14:paraId="494FB0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3B58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Estructuración financiera del MISN que incluya:  </w:t>
      </w:r>
    </w:p>
    <w:p w14:paraId="2CBFEE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2920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8.1 Presupuesto de factibilidad de urbanismo discriminando cargas generales y cargas locales. El presupuesto debe contener: (i) valor del suelo; (ii) costos directos con unidad, cantidad, valor global de mercado unitario (incluidos los costos de “Administración, Imprevistos y Utilidad” - AIU) y valor total; (iii) Costos Indirectos de Urbanismo: el cual debe cubrir: impuestos, derechos y servicios, honorarios diseños y gerencia, interventoría, construcción, gastos de administración, costos de ventas, costos financieros, entre otros;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se debe anexar el soporte del cálculo de las cantidades, el avalúo objeto del anuncio, y si el esquema de gestión del MISN consiste en la venta de vivienda anexar presupuesto de factibilidad de construcción de viviendas incluyendo costos directos con AIU y costos indirectos de los inmuebles contemplados en el MISN. </w:t>
      </w:r>
    </w:p>
    <w:p w14:paraId="76CD2A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F089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8.2 Mecanismo(s) de reparto de cargas generales, cuando a ello haya lugar, de conformidad con la normatividad vigente. </w:t>
      </w:r>
    </w:p>
    <w:p w14:paraId="21D75A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A85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8.3 Cronograma de actividades semestral que describa la ejecución de las obras de urbanismo propuestas además de la construcción de las viviendas y los otros usos. </w:t>
      </w:r>
    </w:p>
    <w:p w14:paraId="1EBED5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0B5E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8.4 Flujo de caja anual proyectado discriminando cada una de las fuentes de financiación. Se debe incluir las ventas discriminadas por usos. </w:t>
      </w:r>
    </w:p>
    <w:p w14:paraId="41330E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B4FC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8.5 Fuentes de financiación esperadas del MISN y la destinación que se dará a cada uno de los recursos. </w:t>
      </w:r>
    </w:p>
    <w:p w14:paraId="604558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54FA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Análisis de la propuesta de MISN y el contenido del plan de ordenamiento territorial vigente.  </w:t>
      </w:r>
    </w:p>
    <w:p w14:paraId="5A26BB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E3CC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Análisis de la propuesta de MISN y el contenido del plan de ordenamiento territorial vigente, principalmente en relación con lo dispuesto en los componentes general y urbano y las normas urbanísticas. </w:t>
      </w:r>
    </w:p>
    <w:p w14:paraId="303B5D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6E7B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propongan Macroproyectos categoría 2 se deberá incluir el alcance y la necesidad del ajuste propuesto, haciendo un análisis comparativo en el que se indiquen las disposiciones del POT aplicables al área en que se propone desarrollar el MISN, las disposiciones que contendría la propuesta del MISN y la identificación de los ajustes que se requerían al POT vigente y los instrumentos que lo desarrollan y complementan. </w:t>
      </w:r>
    </w:p>
    <w:p w14:paraId="599699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8438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Descripción de impacto del Macroproyecto.  </w:t>
      </w:r>
    </w:p>
    <w:p w14:paraId="4883E6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39B6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fin de determinar la viabilidad de la propuesta de Macroproyecto, deberá anexarse un documento que sintetice la información y estudios contenidos en la fase de formulación con la justificación de la intervención propuesta y el impacto ambiental, en el que se demuestre el impacto estructural sobre políticas y estrategias de ordenamiento urbano, la calidad de vida y la organización espacial del respectivo municipio, región o área metropolitana, según sea del caso. De igual manera se deberán anexar los estudios adicionales que se requieran para justificar el impacto del Macroproyecto. </w:t>
      </w:r>
    </w:p>
    <w:p w14:paraId="4C2730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7461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deberá incluir el Impacto de la operación del MISN sobre los hechos metropolitanos, cuando a ello hubiere lugar. </w:t>
      </w:r>
    </w:p>
    <w:p w14:paraId="09DA88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C447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Documentos anexos  </w:t>
      </w:r>
    </w:p>
    <w:p w14:paraId="47F75A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4E53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 Certificados de tradición y libertad de los predios que se encuentran en el área de planificación del MISN, cuya fecha de expedición no sea superior a un (1) mes. </w:t>
      </w:r>
    </w:p>
    <w:p w14:paraId="12DD47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1B0C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 Estudio de títulos actualizado de por lo menos diez (10) años. </w:t>
      </w:r>
    </w:p>
    <w:p w14:paraId="7EC335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E091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11.3 Información catastral disponible de los predios que se encuentran en el área de planificación del respectivo MISN. </w:t>
      </w:r>
    </w:p>
    <w:p w14:paraId="3F3FB2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AC80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11.4 Certificado y plancha IGAC o la autoridad competente a escala 1:2.000 o 1:5.000, que contenga el inmueble o los inmuebles que conforman el área de planificación del MISN. </w:t>
      </w:r>
    </w:p>
    <w:p w14:paraId="39B929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7F7E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11.5 La orden de inscripción del acto administrativo de anuncio en el folio de matrícula inmobiliaria del predio o predios incluidos en el área de planificación. </w:t>
      </w:r>
    </w:p>
    <w:p w14:paraId="291B38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623B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11.6 Poder o poderes de los propietarios de los inmuebles del área de planificación preliminar, inscritos en los folios de matrículas inmobiliarias, cuando existan novedades relacionadas con el predio, ocurridas después de que se otorgó el poder inicialmente y se trate de iniciativa privada. </w:t>
      </w:r>
    </w:p>
    <w:p w14:paraId="17A1B6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DBCB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11.7 Certificado de Existencia y Representación Legal cuya fecha de expedición no sea mayor a un (1) mes y/o acreditar con certificación de autoridad competente cuando la representación legal de quien tenga la iniciativa o quien sea propietario sean personas jurídicas. Copia del documento de identidad, cuando se trate de personas naturales. </w:t>
      </w:r>
    </w:p>
    <w:p w14:paraId="582ABA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3B1F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Estudios Técnicos.  </w:t>
      </w:r>
    </w:p>
    <w:p w14:paraId="49231D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2401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Anexo al DTS se presentarán los siguientes estudios técnicos que servirán de soporte para las decisiones del MISN: (i) Ambiental, (ii) hidrológico e hidráulico, (iii) geología y suelo,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amenazas, vulnerabilidad y riesgos, (v) de tráfico y movilidad, (vi) paisajístico, (</w:t>
      </w:r>
      <w:proofErr w:type="spellStart"/>
      <w:r w:rsidRPr="009342F9">
        <w:rPr>
          <w:rFonts w:ascii="Arial" w:eastAsia="Times New Roman" w:hAnsi="Arial" w:cs="Arial"/>
          <w:color w:val="000000"/>
          <w:lang w:eastAsia="es-CO"/>
        </w:rPr>
        <w:t>vii</w:t>
      </w:r>
      <w:proofErr w:type="spellEnd"/>
      <w:r w:rsidRPr="009342F9">
        <w:rPr>
          <w:rFonts w:ascii="Arial" w:eastAsia="Times New Roman" w:hAnsi="Arial" w:cs="Arial"/>
          <w:color w:val="000000"/>
          <w:lang w:eastAsia="es-CO"/>
        </w:rPr>
        <w:t>) topográfico, (</w:t>
      </w:r>
      <w:proofErr w:type="spellStart"/>
      <w:r w:rsidRPr="009342F9">
        <w:rPr>
          <w:rFonts w:ascii="Arial" w:eastAsia="Times New Roman" w:hAnsi="Arial" w:cs="Arial"/>
          <w:color w:val="000000"/>
          <w:lang w:eastAsia="es-CO"/>
        </w:rPr>
        <w:t>viii</w:t>
      </w:r>
      <w:proofErr w:type="spellEnd"/>
      <w:r w:rsidRPr="009342F9">
        <w:rPr>
          <w:rFonts w:ascii="Arial" w:eastAsia="Times New Roman" w:hAnsi="Arial" w:cs="Arial"/>
          <w:color w:val="000000"/>
          <w:lang w:eastAsia="es-CO"/>
        </w:rPr>
        <w:t>) Arqueológico (</w:t>
      </w:r>
      <w:proofErr w:type="spellStart"/>
      <w:r w:rsidRPr="009342F9">
        <w:rPr>
          <w:rFonts w:ascii="Arial" w:eastAsia="Times New Roman" w:hAnsi="Arial" w:cs="Arial"/>
          <w:color w:val="000000"/>
          <w:lang w:eastAsia="es-CO"/>
        </w:rPr>
        <w:t>ix</w:t>
      </w:r>
      <w:proofErr w:type="spellEnd"/>
      <w:r w:rsidRPr="009342F9">
        <w:rPr>
          <w:rFonts w:ascii="Arial" w:eastAsia="Times New Roman" w:hAnsi="Arial" w:cs="Arial"/>
          <w:color w:val="000000"/>
          <w:lang w:eastAsia="es-CO"/>
        </w:rPr>
        <w:t>) cultural y de territorios de grupos étnicos y (</w:t>
      </w:r>
      <w:proofErr w:type="spellStart"/>
      <w:r w:rsidRPr="009342F9">
        <w:rPr>
          <w:rFonts w:ascii="Arial" w:eastAsia="Times New Roman" w:hAnsi="Arial" w:cs="Arial"/>
          <w:color w:val="000000"/>
          <w:lang w:eastAsia="es-CO"/>
        </w:rPr>
        <w:t>ix</w:t>
      </w:r>
      <w:proofErr w:type="spellEnd"/>
      <w:r w:rsidRPr="009342F9">
        <w:rPr>
          <w:rFonts w:ascii="Arial" w:eastAsia="Times New Roman" w:hAnsi="Arial" w:cs="Arial"/>
          <w:color w:val="000000"/>
          <w:lang w:eastAsia="es-CO"/>
        </w:rPr>
        <w:t>) de títulos. </w:t>
      </w:r>
    </w:p>
    <w:p w14:paraId="775B3C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3C78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Durante la etapa de formulación, el Ministerio de Vivienda, Ciudad y Territorio coordinará con otras entidades del Gobierno Nacional las inversiones sectoriales para la ejecución del Macroproyecto, cuando a ello haya lugar. </w:t>
      </w:r>
    </w:p>
    <w:p w14:paraId="64DC60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7665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 conformidad con el artículo 9 del Decreto 019 de 2012, para la fase de formulación los documentos que se hayan presentado en la fase de prefactibilidad y hayan perdido vigencia deberán ser presentados al Ministerio de Vivienda, Ciudad y Territorio. </w:t>
      </w:r>
    </w:p>
    <w:p w14:paraId="5A21ED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965C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El Ministerio de Ambiente y Desarrollo Sostenible establecerá los términos de referencia para la elaboración del estudio ambiental en la fase de formulación mediante acto administrativo. </w:t>
      </w:r>
    </w:p>
    <w:p w14:paraId="3D75ED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3523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Ministerio de Vivienda, Ciudad y Territorio mediante resolución podrá señalar los documentos que se requieren para efectos de la elaboración de los estudios y el cumplimiento de los requisitos señalados en el presente artículo para adelantar la evaluación técnica, financiera y jurídica de los Macroproyectos. </w:t>
      </w:r>
    </w:p>
    <w:p w14:paraId="419E76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4555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El Ministerio de Vivienda, Ciudad y Territorio enviará el documento técnico de soporte a la Corporación Autónoma Regional y de Desarrollo Sostenible correspondiente para la evaluación ambiental respectiva. </w:t>
      </w:r>
    </w:p>
    <w:p w14:paraId="39DF0C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EBC7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6°. Si la información y/o documentos no son suficientes para el pronunciamiento de la autoridad competente, esta podrá requerirla por una sola vez. Este requerimiento interrumpirá los términos establecidos para que estas autoridades decidan. </w:t>
      </w:r>
    </w:p>
    <w:p w14:paraId="5A692329" w14:textId="05D1B94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43" w:name="ver_30073334"/>
      <w:bookmarkEnd w:id="1143"/>
    </w:p>
    <w:p w14:paraId="0E76C5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2.2.4.2.2.3.2.1.3 Evaluación de la propuesta Macroproyecto. Una vez radicado el proyecto de Macroproyecto, así como su Documento Técnico de Soporte por parte del interesado, previa verificación del cumplimiento de todos los requisitos contenidos en el artículo anterior, el Ministerio de Vivienda, Ciudad y Territorio o la entidad que este designe para el efecto procederá a efectuar la evaluación técnica, financiera y jurídica del proyecto de Macroproyecto. </w:t>
      </w:r>
    </w:p>
    <w:p w14:paraId="7D7CA4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AF12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evaluación ambiental corresponderá a la Corporación Autónoma Regional o de Desarrollo Sostenible, para lo cual el Ministerio de Vivienda, Ciudad y Territorio remitirá los documentos correspondientes. </w:t>
      </w:r>
    </w:p>
    <w:p w14:paraId="1DDC4D98" w14:textId="1C0BE24A"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44" w:name="ver_30073388"/>
      <w:bookmarkEnd w:id="1144"/>
    </w:p>
    <w:p w14:paraId="71DD0A7B" w14:textId="27210124"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2</w:t>
      </w:r>
    </w:p>
    <w:p w14:paraId="47E7F7EF" w14:textId="38358909"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PROCESO DE CONCERTACIÓN ENTRE EL MUNICIPIO O DISTRITO Y EL MINISTERIO DE VIVIENDA, CIUDAD Y TERRITORIO PARA LOS MACROPROYECTOS CATEGORÍA 1</w:t>
      </w:r>
    </w:p>
    <w:p w14:paraId="291F715B"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45" w:name="ver_30073390"/>
      <w:bookmarkEnd w:id="1145"/>
    </w:p>
    <w:p w14:paraId="364C68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2.2.4.2.2.3.2.2.1 Concertación con el municipio o distrito. Una vez la propuesta de Macroproyecto cuente con viabilidad técnica, ambiental, financiera y jurídica y el documento técnico de soporte incluya las observaciones efectuadas si a ello hubiere lugar, el Ministerio de Vivienda, Ciudad y Territorio iniciará el proceso de concertación con el alcalde municipal o distrital. </w:t>
      </w:r>
    </w:p>
    <w:p w14:paraId="2C4868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D5E7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concertación del proyecto se dispondrá de un término de treinta (30) días hábiles contados a partir de la radicación de la solicitud ante el respectivo alcalde. Como resultado de la concertación, el alcalde municipal o distrital y el Ministerio Vivienda, Ciudad y Territorio suscribirán un Convenio en el cual dejarán consagrados los acuerdos sobre todos los aspectos contenidos en la formulación del Macroproyecto, así como los compromisos que asumirá cada una de las entidades en desarrollo de los principios de concurrencia, subsidiariedad y complementariedad. </w:t>
      </w:r>
    </w:p>
    <w:p w14:paraId="5920F2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F2B0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que no se llegare a ningún acuerdo, después de transcurridos los plazos establecidos en el presente artículo, el Ministerio de Vivienda, Ciudad y Territorio, podrá someter nuevamente, y por una sola vez, el proyecto de Macroproyecto a concertación con el respectivo alcalde municipal o distrital, después de incluir los ajustes que considere pertinentes. Si en esta segunda oportunidad, no hubiere concertación dentro de los treinta (30) días hábiles siguientes a la radicación de la solicitud, se entenderá negada y, por consiguiente, el Ministerio procederá a su archivo y los documentos serán devueltos al interesado. </w:t>
      </w:r>
    </w:p>
    <w:p w14:paraId="7C780D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B6C4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anterior, en cualquier tiempo se podrá formular otra propuesta de Macroproyecto sobre la misma área. </w:t>
      </w:r>
    </w:p>
    <w:p w14:paraId="12937D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323A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Una vez suscrito el respectivo Convenio entre el Ministerio de Vivienda, Ciudad y Territorio y el alcalde del municipio o distrito, se adelantará el trámite de adopción, de acuerdo con lo dispuesto en lo dispuesto en </w:t>
      </w:r>
      <w:proofErr w:type="gramStart"/>
      <w:r w:rsidRPr="009342F9">
        <w:rPr>
          <w:rFonts w:ascii="Arial" w:eastAsia="Times New Roman" w:hAnsi="Arial" w:cs="Arial"/>
          <w:color w:val="000000"/>
          <w:lang w:eastAsia="es-CO"/>
        </w:rPr>
        <w:t>la el</w:t>
      </w:r>
      <w:proofErr w:type="gramEnd"/>
      <w:r w:rsidRPr="009342F9">
        <w:rPr>
          <w:rFonts w:ascii="Arial" w:eastAsia="Times New Roman" w:hAnsi="Arial" w:cs="Arial"/>
          <w:color w:val="000000"/>
          <w:lang w:eastAsia="es-CO"/>
        </w:rPr>
        <w:t xml:space="preserve"> artículo 2.2.4.2.2.3.4.1 del presente decreto. </w:t>
      </w:r>
    </w:p>
    <w:p w14:paraId="3529186F" w14:textId="1C50851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46" w:name="ver_30073393"/>
      <w:bookmarkEnd w:id="1146"/>
    </w:p>
    <w:p w14:paraId="049B1F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2.2.4.2.2.3.2.2.2 Concertación ambiental. Tratándose de MISN Categoría 1, solamente procederá la concertación ambiental que se adelante en el marco de la adopción del respectivo instrumento que desarrolla y complementa el plan de ordenamiento territorial, de acuerdo con lo establecido en el mismo plan y en las normas vigentes. </w:t>
      </w:r>
    </w:p>
    <w:p w14:paraId="4E0B05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CC1C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las normas ambientales son de orden público y en consecuencia no opera el silencio administrativo positivo. </w:t>
      </w:r>
    </w:p>
    <w:p w14:paraId="52732CFD" w14:textId="0067CF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47" w:name="ver_30073701"/>
      <w:bookmarkEnd w:id="1147"/>
    </w:p>
    <w:p w14:paraId="2791D5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2.2.4.2.2.3.2.2.3 Participación democrática. La participación democrática en los Macroproyectos busca que las personas interesadas en la respectiva operación urbana </w:t>
      </w:r>
      <w:proofErr w:type="gramStart"/>
      <w:r w:rsidRPr="009342F9">
        <w:rPr>
          <w:rFonts w:ascii="Arial" w:eastAsia="Times New Roman" w:hAnsi="Arial" w:cs="Arial"/>
          <w:color w:val="000000"/>
          <w:lang w:eastAsia="es-CO"/>
        </w:rPr>
        <w:t>integral,</w:t>
      </w:r>
      <w:proofErr w:type="gramEnd"/>
      <w:r w:rsidRPr="009342F9">
        <w:rPr>
          <w:rFonts w:ascii="Arial" w:eastAsia="Times New Roman" w:hAnsi="Arial" w:cs="Arial"/>
          <w:color w:val="000000"/>
          <w:lang w:eastAsia="es-CO"/>
        </w:rPr>
        <w:t xml:space="preserve"> puedan presentar observaciones y recomendaciones al proyecto de Macroproyectos. </w:t>
      </w:r>
    </w:p>
    <w:p w14:paraId="20AEF5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0591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Macroproyectos Categoría 1, la participación democrática se garantizará de acuerdo con los mecanismos previstos por la Ley 388 de 1997 y demás normatividad vigente sobre la materia para el instrumento con el que se deba adoptar la respectiva operación urbana según el plan de ordenamiento territorial. </w:t>
      </w:r>
    </w:p>
    <w:p w14:paraId="4992D050" w14:textId="6F4205AC"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48" w:name="ver_30073713"/>
      <w:bookmarkEnd w:id="1148"/>
    </w:p>
    <w:p w14:paraId="47435BC6" w14:textId="78D6F8A1"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3</w:t>
      </w:r>
    </w:p>
    <w:p w14:paraId="7E249836" w14:textId="6A0D3AF0"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PROCESO DE CONCERTACIÓN ENTRE EL MUNICIPIO O DISTRITO Y EL MINISTERIO DE VIVIENDA, CIUDAD Y TERRITORIO PARA LOS MACROPROYECTOS CATEGORÍA 2</w:t>
      </w:r>
    </w:p>
    <w:p w14:paraId="5CF0554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49" w:name="ver_30073726"/>
      <w:bookmarkEnd w:id="1149"/>
    </w:p>
    <w:p w14:paraId="0B04D3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2.2.4.2.2.3.2.3.1 Instancias de concertación y consulta ante el alcalde del municipio o distrito. Para los Macroproyectos Categoría 2 el alcalde del municipio o distrito en caso de tener interés en el documento presentado por el Ministerio de Vivienda, Ciudad y </w:t>
      </w:r>
      <w:proofErr w:type="gramStart"/>
      <w:r w:rsidRPr="009342F9">
        <w:rPr>
          <w:rFonts w:ascii="Arial" w:eastAsia="Times New Roman" w:hAnsi="Arial" w:cs="Arial"/>
          <w:color w:val="000000"/>
          <w:lang w:eastAsia="es-CO"/>
        </w:rPr>
        <w:t>Territorio,</w:t>
      </w:r>
      <w:proofErr w:type="gramEnd"/>
      <w:r w:rsidRPr="009342F9">
        <w:rPr>
          <w:rFonts w:ascii="Arial" w:eastAsia="Times New Roman" w:hAnsi="Arial" w:cs="Arial"/>
          <w:color w:val="000000"/>
          <w:lang w:eastAsia="es-CO"/>
        </w:rPr>
        <w:t xml:space="preserve"> iniciará de forma simultánea dentro de los diez (10) días siguiente a la radicación de la información, los procedimientos de concertación y consulta ante las siguientes instancias: </w:t>
      </w:r>
    </w:p>
    <w:p w14:paraId="533374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13B9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Concertación con la Corporación Autónoma Regional o de Desarrollo Sostenible. El resultado de la concertación ambiental quedará consagrado en acta suscrita por el alcalde del municipio y distrito y el </w:t>
      </w:r>
      <w:proofErr w:type="gramStart"/>
      <w:r w:rsidRPr="009342F9">
        <w:rPr>
          <w:rFonts w:ascii="Arial" w:eastAsia="Times New Roman" w:hAnsi="Arial" w:cs="Arial"/>
          <w:color w:val="000000"/>
          <w:lang w:eastAsia="es-CO"/>
        </w:rPr>
        <w:t>Director</w:t>
      </w:r>
      <w:proofErr w:type="gramEnd"/>
      <w:r w:rsidRPr="009342F9">
        <w:rPr>
          <w:rFonts w:ascii="Arial" w:eastAsia="Times New Roman" w:hAnsi="Arial" w:cs="Arial"/>
          <w:color w:val="000000"/>
          <w:lang w:eastAsia="es-CO"/>
        </w:rPr>
        <w:t xml:space="preserve"> de la Corporación Autónoma Regional, copia de la cual será remitida por el alcalde al Ministerio de Vivienda, Ciudad y Territorio. </w:t>
      </w:r>
    </w:p>
    <w:p w14:paraId="27C061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5926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Solicitud de concepto a la Junta Metropolitana para los municipios que hagan parte de las áreas metropolitanas, sobre la armonía de la propuesta de Macroproyecto con el plan integral de desarrollo metropolitano, exclusivamente en los asuntos de su competencia y, siempre y cuando en el respectivo Macroproyecto se involucren materias referidas a los hechos metropolitanos, de acuerdo con lo previsto en la Ley 128 de 1994. </w:t>
      </w:r>
    </w:p>
    <w:p w14:paraId="692A3F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C0D7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Solicitud de concepto al Consejo Territorial de Planeación y demás instancias de participación ciudadana previstas en el numeral 4 del artículo 24 de la Ley 388 de 1997 en relación con los ajustes al Plan de Ordenamiento Territorial que proponga el respectivo Macroproyecto. </w:t>
      </w:r>
    </w:p>
    <w:p w14:paraId="4505AE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0D4C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actuaciones de que tratan los literales anteriores se adelantarán de manera simultánea en un término máximo e improrrogable de treinta (30) días contados a partir del recibo de la propuesta en cada una de ellas o de la convocatoria pública para la participación ciudadana, sin que se permita, la suspensión de los términos previstos en este numeral para el pronunciamiento correspondiente. </w:t>
      </w:r>
    </w:p>
    <w:p w14:paraId="474CBF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5842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 Corporación Autónoma Regional o de Desarrollo Sostenible, no se hubiere pronunciado definitivamente dentro de este término o si habiéndose pronunciado no se lograra la concertación, le corresponderá al Ministerio de Ambiente y Desarrollo Sostenible decidir sobre los asuntos ambientales, para lo que dispondrá de un término máximo e improrrogable de quince (15) días hábiles contados a partir del recibo del respectivo expediente. </w:t>
      </w:r>
    </w:p>
    <w:p w14:paraId="6309ED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F0EE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alcalde solicite los conceptos o pronunciamientos a que hace referencia los numerales 2 y 3 del presente artículo y el artículo sobre participación ciudadana y los mismos no se expidan dentro de los plazos señalados, se continuará con el trámite establecido en los siguientes artículos de esta sección. </w:t>
      </w:r>
    </w:p>
    <w:p w14:paraId="4C0AE0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517A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 la información y/o documentos no son suficientes para el pronunciamiento de la autoridad competente, esta podrá requerirla por una sola vez. Este requerimiento interrumpirá los términos establecidos para que las autoridades decidan. </w:t>
      </w:r>
    </w:p>
    <w:p w14:paraId="595D6442" w14:textId="14A4A3B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0" w:name="ver_30073787"/>
      <w:bookmarkEnd w:id="1150"/>
    </w:p>
    <w:p w14:paraId="6EDC0F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2.2.4.2.2.3.2.3.2 Asuntos que se deben someter a concertación con la Corporación Autónoma Regional. De conformidad con lo establecido en el artículo 8 de la Ley 1469 de 2011 la propuesta de ajuste especial del plan de ordenamiento territorial se presentará para concertación con la Corporación Autónoma Regional correspondiente cuando se requieran hacer modificaciones relacionadas con, entre otros, los siguientes asuntos: </w:t>
      </w:r>
    </w:p>
    <w:p w14:paraId="0B4E14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746E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Delimitación y reglamentación de los suelos y áreas de protección y conservación de recursos naturales. </w:t>
      </w:r>
    </w:p>
    <w:p w14:paraId="06B676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F0B4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Delimitación y reglamentación de las áreas de amenazas y riesgos. </w:t>
      </w:r>
    </w:p>
    <w:p w14:paraId="7126DEDB" w14:textId="1729B9C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1" w:name="ver_30073791"/>
      <w:bookmarkEnd w:id="1151"/>
    </w:p>
    <w:p w14:paraId="7B4062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2.2.4.2.2.3.2.3.3 Participación ciudadana. Simultáneamente con los trámites de concertación y consulta a que hace referencia los artículos precedentes, la propuesta de Macroproyecto estará disponible durante todo el trámite de formulación en las instalaciones de la alcaldía del respectivo municipio o distrito para que cualquier interesado pueda consultar la información respectiva, para el efecto y en todo caso antes de presentar el proyecto de acuerdo al concejo municipal, el alcalde convocará una audiencia pública con el objeto de que los interesados presenten y expongan sus observaciones y recomendaciones. </w:t>
      </w:r>
    </w:p>
    <w:p w14:paraId="702029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E66E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recomendaciones y observaciones presentadas por los interesados serán resueltas por el alcalde del municipio, previa la adopción del respectivo proyecto, quien para el efecto podrá consultar al Ministerio de Vivienda, Ciudad y Territorio. </w:t>
      </w:r>
    </w:p>
    <w:p w14:paraId="12AEF202" w14:textId="7DFFE1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2" w:name="ver_30073793"/>
      <w:bookmarkEnd w:id="1152"/>
    </w:p>
    <w:p w14:paraId="5C86E9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2.2.4.2.2.3.2.3.4 Concertación entre el municipio o distrito y el Ministerio de Vivienda, Ciudad y Territorio. Cumplidos los trámites previstos en los artículos precedentes, y dentro de los cinco (5) días hábiles siguientes al recibo de la totalidad de los pronunciamientos respectivos, el Ministerio de Vivienda, Ciudad y Territorio junto con el respectivo municipio o distrito ajustarán y concertarán la formulación presentada, para lo cual dispondrán de un término de cuarenta y cinco (45) días hábiles. </w:t>
      </w:r>
    </w:p>
    <w:p w14:paraId="3EC53F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16C2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Como resultado de la concertación, el alcalde municipal o distrital y el Ministerio de Vivienda, Ciudad y Territorio suscribirán un Convenio en el cual dejarán consagrados los acuerdos sobre todos los aspectos contenidos en el proyecto de Macroproyecto, así como los compromisos que asumirá cada una de las entidades en desarrollo de los principios de concurrencia, subsidiariedad y complementariedad. </w:t>
      </w:r>
    </w:p>
    <w:p w14:paraId="7426DD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103A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que no se llegare a ningún acuerdo, una vez transcurrido el plazo establecido anteriormente, el Ministerio de Vivienda, Ciudad y Territorio podrá someter nuevamente, y por una sola vez, dentro de los treinta (30) días hábiles siguientes, a concertación con el respectivo alcalde municipal o distrital, después de incluir los ajustes que considere pertinentes. Si en esta segunda oportunidad, no hubiere concertación dentro de los treinta (30) días hábiles siguientes a la radicación de la solicitud, se entenderá negada y, por consiguiente, el Ministerio procederá a su archivo mediante acto administrativo motivado y los documentos serán devueltos al interesado. </w:t>
      </w:r>
    </w:p>
    <w:p w14:paraId="1399A8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EC26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anterior, en cualquier tiempo se podrá formular otra propuesta de Macroproyecto sobre la misma área. </w:t>
      </w:r>
    </w:p>
    <w:p w14:paraId="7A7E0135" w14:textId="2A859572"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3" w:name="ver_30073798"/>
      <w:bookmarkEnd w:id="1153"/>
    </w:p>
    <w:p w14:paraId="1C40406E" w14:textId="189AEC2C"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NUMERAL 4</w:t>
      </w:r>
    </w:p>
    <w:p w14:paraId="67F47EF2"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CONVENIO URBANÍSTICO</w:t>
      </w:r>
    </w:p>
    <w:p w14:paraId="29B6F297"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54" w:name="ver_30073799"/>
      <w:bookmarkEnd w:id="1154"/>
    </w:p>
    <w:p w14:paraId="6A855B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2.2.4.2.2.3.2.4.1 Convenio urbanístico requerido para desarrollar Macroproyectos. El convenio de que trata la Ley 1469 de 2011 es un acuerdo de voluntades que tiene por finalidad agilizar e impulsar el trámite de formulación, adopción y ejecución de los Macroproyectos. Su objeto versará sobre los mecanismos para asegurar que las operaciones urbanas y actuaciones urbanísticas eficaces y expeditas, de tal manera que permitan ejecutar de forma efectiva proyectos estratégicos de desarrollo urbano y territorial en beneficio del interés general. </w:t>
      </w:r>
    </w:p>
    <w:p w14:paraId="1907C2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C77E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convenio urbanístico se suscribirá entre el Ministerio de Vivienda, Ciudad y Territorio, el municipio o distrito y los titulares de la iniciativa del Macroproyecto de acuerdo con lo previsto en el artículo 2.2.4.2.2.1.4 de esta sección. </w:t>
      </w:r>
    </w:p>
    <w:p w14:paraId="554D79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344A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Podrán suscribir el convenio todas las personas jurídicas o naturales que apoyen el desarrollo del respectivo Macroproyecto en una o varias de sus fases, siempre y cuando cumplan con los siguientes requisitos: </w:t>
      </w:r>
    </w:p>
    <w:p w14:paraId="290DB4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D92A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Aceptar todos los compromisos y condiciones acordados en el Convenio. </w:t>
      </w:r>
    </w:p>
    <w:p w14:paraId="5F2D94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B148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Señalar expresamente los compromisos que se asumen en desarrollo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en las diferentes fases de ejecución del Macroproyecto. </w:t>
      </w:r>
    </w:p>
    <w:p w14:paraId="1625BF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2566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Aceptar expresamente las consecuencias en caso de incumplimiento de los compromisos consagrados en el Convenio. </w:t>
      </w:r>
    </w:p>
    <w:p w14:paraId="68AC39BC" w14:textId="1EFF9D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5" w:name="ver_30073800"/>
      <w:bookmarkEnd w:id="1155"/>
    </w:p>
    <w:p w14:paraId="322FE0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2.2.4.2.2.3.2.4.2 Contenido del Convenio. El Convenio contendrá como mínimo los siguientes elementos: </w:t>
      </w:r>
    </w:p>
    <w:p w14:paraId="71BCCA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B948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Identificación de las partes, anexando la documentación necesaria para demostrar la capacidad para suscribir este tipo de documento. </w:t>
      </w:r>
    </w:p>
    <w:p w14:paraId="4918E9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BA21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Justificación del carácter estratégico del Macroproyecto y su impacto en beneficio del interés general. </w:t>
      </w:r>
    </w:p>
    <w:p w14:paraId="0E95F5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E912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Objeto, alcance y plazo. </w:t>
      </w:r>
    </w:p>
    <w:p w14:paraId="6D6E34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E8EF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Condiciones de cooperación y compromisos entre el Ministerio de Vivienda, Ciudad y Territorio y el municipio o distrito en desarrollo de los principios de concurrencia, subsidiariedad y complementariedad. </w:t>
      </w:r>
    </w:p>
    <w:p w14:paraId="7E3BC2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B1E6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compromiso del municipio o distrito de adelantar el proceso de ajuste especial del Plan de Ordenamiento Territorial de acuerdo con la formulación del Macroproyecto concertada entre las partes, teniendo en cuenta los resultados del proceso de concertación y consulta. </w:t>
      </w:r>
    </w:p>
    <w:p w14:paraId="24F1EA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B55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El compromiso de los municipios, distritos o gobernadores para presentar a consideración de los respectivos concejos y asambleas las iniciativas que hagan posibles las exenciones tributarias de que trata el artículo 17 de la Ley 1469 de 2011 sobre incentivos fiscales para la construcción de Vivienda de Interés Prioritario (VIP). </w:t>
      </w:r>
    </w:p>
    <w:p w14:paraId="1B091F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0734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 Los compromisos en cabeza de los titulares de la iniciativa del Macroproyecto y de los demás actores que se vinculen, en cada una de las fases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5777AF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886D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Compromiso de modificar el documento técnico de soporte, de acuerdo con las observaciones presentadas por las partes. </w:t>
      </w:r>
    </w:p>
    <w:p w14:paraId="7DCF30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7CE5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Cronograma de cumplimiento de las obligaciones pactadas por las partes. </w:t>
      </w:r>
    </w:p>
    <w:p w14:paraId="227746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C715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Mecanismos de evaluación y seguimiento de los compromisos que se asuman en el Convenio. </w:t>
      </w:r>
    </w:p>
    <w:p w14:paraId="748F97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C718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Consecuencias por incumplimiento de los compromisos adquiridos por las partes que suscriban el convenio, de acuerdo con lo establecido en el presente capítulo decreto. </w:t>
      </w:r>
    </w:p>
    <w:p w14:paraId="47F2CC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905E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Garantías que amparen el cumplimiento de los compromisos en cabeza de los titulares de la iniciativa del Macroproyecto y de los demás actores que se vinculen, cuando el Ministerio de Vivienda, Ciudad y Territorio lo determine. </w:t>
      </w:r>
    </w:p>
    <w:p w14:paraId="658061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25D4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Términos y condiciones bajo los cuales se deberá adelantar la liquidación del Convenio. </w:t>
      </w:r>
    </w:p>
    <w:p w14:paraId="0B4CB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FC48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Harán parte integral del convenio todas las autorizaciones de los órganos colegiados que se </w:t>
      </w:r>
      <w:proofErr w:type="gramStart"/>
      <w:r w:rsidRPr="009342F9">
        <w:rPr>
          <w:rFonts w:ascii="Arial" w:eastAsia="Times New Roman" w:hAnsi="Arial" w:cs="Arial"/>
          <w:color w:val="000000"/>
          <w:lang w:eastAsia="es-CO"/>
        </w:rPr>
        <w:t>requieran</w:t>
      </w:r>
      <w:proofErr w:type="gramEnd"/>
      <w:r w:rsidRPr="009342F9">
        <w:rPr>
          <w:rFonts w:ascii="Arial" w:eastAsia="Times New Roman" w:hAnsi="Arial" w:cs="Arial"/>
          <w:color w:val="000000"/>
          <w:lang w:eastAsia="es-CO"/>
        </w:rPr>
        <w:t xml:space="preserve"> así como los soportes presupuestales cuando se comprometan recursos para el desarrollo de actividades del convenio, el documento técnico de soporte del proyecto de Macroproyecto, y los demás documentos necesarios para respaldar el convenio. </w:t>
      </w:r>
    </w:p>
    <w:p w14:paraId="7E848D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473F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convenio urbanístico quedará sujeto a condición resolutoria por la no adopción del Macroproyecto por parte del Ministerio de Vivienda, Ciudad y Territorio, así como por la no aprobación del ajuste especial del POT requerido para Macroproyectos Categoría 2. El acaecimiento de esta condición, en ningún caso, genera responsabilidad por parte de quienes suscriben el Convenio. </w:t>
      </w:r>
    </w:p>
    <w:p w14:paraId="1C30BBC6" w14:textId="32A606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6" w:name="ver_30073801"/>
      <w:bookmarkEnd w:id="1156"/>
    </w:p>
    <w:p w14:paraId="14A057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2.2.4.2.2.3.2.4.3 Incumplimiento de obligaciones contenidas en los Convenios. Sin perjuicio de las sanciones establecidas en la ley, el incumplimiento de las obligaciones previstas en el convenio urbanístico a cargo de los particulares, entidades territoriales y demás actores que se vinculen al respectivo Macroproyecto de Interés Social Nacional, podrá dar lugar a la imposición de multas por parte del MVCT en la forma en que se disponga en el respectivo convenio. Adicionalmente, el incumplimiento definitivo de estas mismas obligaciones podrá servir de fundamento al Ministerio de Vivienda, Ciudad y Territorio para abstenerse de apoyar nuevas iniciativas presentadas por la parte incumplida. </w:t>
      </w:r>
    </w:p>
    <w:p w14:paraId="0959EC2B" w14:textId="535811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7" w:name="ver_30073802"/>
      <w:bookmarkEnd w:id="1157"/>
    </w:p>
    <w:p w14:paraId="59C5F5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2.2.4.2.2.3.2.4.4 Publicidad. Los convenios urbanísticos deberán publicarse en la página web del Ministerio de Vivienda, Ciudad y </w:t>
      </w:r>
      <w:proofErr w:type="gramStart"/>
      <w:r w:rsidRPr="009342F9">
        <w:rPr>
          <w:rFonts w:ascii="Arial" w:eastAsia="Times New Roman" w:hAnsi="Arial" w:cs="Arial"/>
          <w:color w:val="000000"/>
          <w:lang w:eastAsia="es-CO"/>
        </w:rPr>
        <w:t>Territorio</w:t>
      </w:r>
      <w:proofErr w:type="gramEnd"/>
      <w:r w:rsidRPr="009342F9">
        <w:rPr>
          <w:rFonts w:ascii="Arial" w:eastAsia="Times New Roman" w:hAnsi="Arial" w:cs="Arial"/>
          <w:color w:val="000000"/>
          <w:lang w:eastAsia="es-CO"/>
        </w:rPr>
        <w:t xml:space="preserve"> así como del municipio o distrito correspondiente donde se ubica el área de planificación del Macroproyecto. El Convenio y sus anexos estarán disponibles para consulta en las instalaciones tanto del Ministerio como del alcalde del municipio o distrito. </w:t>
      </w:r>
    </w:p>
    <w:p w14:paraId="0025F083" w14:textId="752646E0"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58" w:name="ver_30073803"/>
      <w:bookmarkEnd w:id="1158"/>
    </w:p>
    <w:p w14:paraId="59B16FA2" w14:textId="0A630571"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3</w:t>
      </w:r>
    </w:p>
    <w:p w14:paraId="0714715F"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AJUSTE ESPECIAL DEL PLAN DE ORDENAMIENTO TERRITORIAL</w:t>
      </w:r>
    </w:p>
    <w:p w14:paraId="364E02F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59" w:name="ver_30073804"/>
      <w:bookmarkEnd w:id="1159"/>
    </w:p>
    <w:p w14:paraId="69D53D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2.2.4.2.2.3.3.1 Aprobación de los usos del suelo. Culminados los trámites previstos en la Sub -Subsección anterior, el alcalde someterá a consideración del concejo municipal o distrital la propuesta de ajuste especial al plan de ordenamiento territorial, lo cual se hará dentro de los diez (10) días siguientes a la suscripción del convenio. </w:t>
      </w:r>
    </w:p>
    <w:p w14:paraId="349B0F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B8E4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evento en que el concejo estuviere en receso el alcalde deberá convocarlo a sesiones extraordinarias. Toda modificación que pretenda introducir el Concejo al proyecto de Acuerdo deberá demostrar las ventajas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sobre la solución de ordenamiento propuesta y contar con la aceptación previa y por escrito del alcalde. </w:t>
      </w:r>
    </w:p>
    <w:p w14:paraId="3F2CF1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43DF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Transcurridos treinta (30) días calendario desde la presentación de la propuesta de modificación a las normas del plan de ordenamiento sin que el Concejo Municipal o Distrital apruebe las modificaciones al mismo, el alcalde podrá adoptarlo mediante decreto. </w:t>
      </w:r>
    </w:p>
    <w:p w14:paraId="1689275E" w14:textId="2F39F84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60" w:name="ver_30073805"/>
      <w:bookmarkEnd w:id="1160"/>
    </w:p>
    <w:p w14:paraId="26B7FA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2.2.4.2.2.3.3.2 Ajuste especial del plan de ordenamiento territorial. La aprobación de usos del suelo para la adopción de los Macroproyectos de interés social nacional categoría II, implicará adelantar el procedimiento especial de ajuste, a iniciativa del alcalde, de los objetivos, directrices, políticas, estrategias, metas, programas, actuaciones o normas del plan de ordenamiento territorial, relacionadas con el área de planificación del MISN así como todas aquellas que sean necesarias para articular el respectivo MISN con los sistemas generales existentes o proyectados de acuerdo con el modelo de ocupación del municipio o distrito. </w:t>
      </w:r>
    </w:p>
    <w:p w14:paraId="5EE15641" w14:textId="77777777" w:rsidR="00C8117B"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61" w:name="ver_30073806"/>
      <w:bookmarkEnd w:id="1161"/>
    </w:p>
    <w:p w14:paraId="150E7E13" w14:textId="44CF46F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2.2.4.2.2.3.3.3 Documentos a presentar para el ajuste especial del plan de ordenamiento territorial. Para adelantar la etapa de concertación, consulta y aprobación del proyecto de ajuste especial del Plan de Ordenamiento Territorial en los términos del artículo 8° de la Ley 1469 de 2001, dicho proyecto acuerdo deberá contener por lo menos los siguientes documentos y estudios técnicos, sin perjuicio de aquellos que sean necesarios para la correcta sustentación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a juicio de las distintas instancias y autoridades de concertación, consulta y aprobación: </w:t>
      </w:r>
    </w:p>
    <w:p w14:paraId="680766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06A1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Documento de evaluación y seguimiento del POT vigente en los temas relacionados con el desarrollo del Macroproyecto: </w:t>
      </w:r>
    </w:p>
    <w:p w14:paraId="3C6897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9AC7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Análisis poblacional del municipio que permita determinar el comportamiento de la dinámica de crecimiento poblacional y los requerimientos de suelo y vivienda asociados a dicha dinámica. </w:t>
      </w:r>
    </w:p>
    <w:p w14:paraId="33DAF1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6A54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Análisis de oferta y demanda de vivienda que se ha dado en el tiempo de implementación del respectivo POT, que sustente los requerimientos de vivienda en particular de VIS y VIP. </w:t>
      </w:r>
    </w:p>
    <w:p w14:paraId="17284E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4CA0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Análisis del POT vigente respecto a: (i) La disponibilidad de suelo para localización de programas de vivienda; (ii) Las políticas y normas urbanísticas para el desarrollo de programas de vivienda, en particular de VIS y VIP en el POT vigente. </w:t>
      </w:r>
    </w:p>
    <w:p w14:paraId="16AB45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A2CC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Análisis de la cobertura y disponibilidad de servicios públicos domiciliarios. </w:t>
      </w:r>
    </w:p>
    <w:p w14:paraId="5796D2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1D27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Conclusiones del análisis efectuado en los numerales anteriores y que permitan justificar la necesidad de revisión del POT. </w:t>
      </w:r>
    </w:p>
    <w:p w14:paraId="098E39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4667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Documento Técnico de Soporte que incluya la información técnica que permita determinar el impacto del Macroproyecto sobre el territorio, incluido el ambiental, así como el desarrollo técnico de la propuesta de revisión o ajuste especial del POT que incluya lo siguiente: </w:t>
      </w:r>
    </w:p>
    <w:p w14:paraId="17F4DD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E9B3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La articulación del Macroproyecto con las respectivas políticas, objetivos y estrategias definidos en los componentes general y urbano del respectivo POT, o la propuesta para su complementación o modificación. </w:t>
      </w:r>
    </w:p>
    <w:p w14:paraId="4B946A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B499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La propuesta de ajuste en la clasificación del suelo cuando se requiera, con la correspondiente delimitación del perímetro urbano propuesto. </w:t>
      </w:r>
    </w:p>
    <w:p w14:paraId="066495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B822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La definición del trazado de redes primarias y secundarias de servicios públicos domiciliarios para el área definida en el Macroproyecto y su articulación con los sistemas de servicios públicos domiciliarios previstos en el POT o la propuesta que permita la dotación de dichos servicios públicos para el área del Macroproyecto. </w:t>
      </w:r>
    </w:p>
    <w:p w14:paraId="4215C9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E0A1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La propuesta y dimensionamiento de la infraestructura para el sistema vial y de transporte que permita la adecuada intercomunicación entre el área definida para el Macroproyecto y su articulación con los respectivos sistemas de comunicación y de transporte urbano previstos en el POT. </w:t>
      </w:r>
    </w:p>
    <w:p w14:paraId="3CB0B3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EF7E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El señalamiento y delimitación de las áreas de conservación y protección de los recursos naturales, paisajísticos y ambientales. </w:t>
      </w:r>
    </w:p>
    <w:p w14:paraId="3BCFB8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E178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 La delimitación de las áreas de conservación y protección del patrimonio histórico, cultural y arquitectónico. </w:t>
      </w:r>
    </w:p>
    <w:p w14:paraId="26D676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7A78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2.7 La determinación y señalamiento de las zonas que presenten alto riesgo para la localización de asentamientos humanos, por amenazas o riesgos naturales o por condiciones de insalubridad y las medidas y normas que permitan el manejo adecuado de estas zonas. </w:t>
      </w:r>
    </w:p>
    <w:p w14:paraId="515B99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0B99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2.8 La determinación de los diferentes tratamientos y actuaciones urbanísticas en el área de planificación del MISN. </w:t>
      </w:r>
    </w:p>
    <w:p w14:paraId="520262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98CB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2.9 La localización de actividades, infraestructuras y equipamientos básicos para garantizar relaciones funcionales adecuadas entre el área del Macroproyecto y la estructura urbana propuesta en el POT. </w:t>
      </w:r>
    </w:p>
    <w:p w14:paraId="40CB6A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B0F8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2.10 La localización prevista para los equipamientos colectivos y espacios libres para parques y zonas verdes públicas de escala urbana o zonal, y el señalamiento de las cesiones urbanísticas gratuitas correspondientes a dichas infraestructuras. </w:t>
      </w:r>
    </w:p>
    <w:p w14:paraId="5E3736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3E42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2.11 La propuesta para el desarrollo de programas de vivienda de interés social (VIS) y prioritario (VIP). </w:t>
      </w:r>
    </w:p>
    <w:p w14:paraId="7A7980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339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2.12 El señalamiento de las áreas declaradas como de utilidad pública e interés social. </w:t>
      </w:r>
    </w:p>
    <w:p w14:paraId="2FB8ED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7712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2.13 La estrategia de desarrollo del área definida como Macroproyecto, así como las respectivas unidades de gestión. </w:t>
      </w:r>
    </w:p>
    <w:p w14:paraId="470233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8545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2.14 La definición de los procedimientos e instrumentos de gestión y actuación urbanística requeridos para la ejecución del respectivo macroproyecto, así como los criterios generales para su conveniente aplicación, incluida la adopción de los instrumentos de financiación y la participación municipal o distrital en la plusvalía generada por el desarrollo del respectivo Macroproyecto. </w:t>
      </w:r>
    </w:p>
    <w:p w14:paraId="25B799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87EA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2.15 Cartografía en la que se representen los ajustes realizados al POT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numerales señalados anteriormente. La escala de representación cartográfica será como mínimo la empleada por el POT vigente o una de mayor detalle. </w:t>
      </w:r>
    </w:p>
    <w:p w14:paraId="6C4138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29CB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2.16 Los anexos, planos y demás documentación de carácter técnico requerida para la aprobación del ajuste especial. </w:t>
      </w:r>
    </w:p>
    <w:p w14:paraId="678212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144C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Proyecto de Acuerdo, con los artículos que desarrollan las decisiones establecidas en el documento técnico de soporte y adoptan la cartografía correspondiente. </w:t>
      </w:r>
    </w:p>
    <w:p w14:paraId="19CE2E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E1E5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Memoria justificativa, que incluya los sustentos de las modificaciones propuestas, señalando la necesidad, el propósito y las ventajas de las modificaciones que se pretenden efectuar al POT para la incorporación del Macroproyecto, indicando los impactos del mismo en el POT, teniendo en cuenta al menos los siguientes aspectos: clasificación del suelo, componentes y determinantes ambientales, sistemas de servicios públicos, vivienda, usos del suelo, equipamientos, espacio público, instrumentos de gestión y financiación previstos y ajustes requeridos al programa de ejecución del POT en la respectiva vigencia. </w:t>
      </w:r>
    </w:p>
    <w:p w14:paraId="749BF55E" w14:textId="50CE6FAE"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62" w:name="ver_30073807"/>
      <w:bookmarkEnd w:id="1162"/>
    </w:p>
    <w:p w14:paraId="717FD64D" w14:textId="13D46F09"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4</w:t>
      </w:r>
    </w:p>
    <w:p w14:paraId="504D30DF"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ADOPCIÓN</w:t>
      </w:r>
    </w:p>
    <w:p w14:paraId="3C58C03E"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63" w:name="ver_30073808"/>
      <w:bookmarkEnd w:id="1163"/>
    </w:p>
    <w:p w14:paraId="33D3CD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2.2.4.2.2.3.4.1 Adopción del Macroproyecto. Cumplidos los trámites señalados en las fases precedentes, el Ministerio de Vivienda, Ciudad y Territorio adoptará mediante resolución el respectivo Macroproyecto, así: </w:t>
      </w:r>
    </w:p>
    <w:p w14:paraId="5F745D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30B2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Adopción para Macroproyectos Categoría 1. El Ministerio de Vivienda, Ciudad y Territorio adoptará mediante resolución el Macroproyecto definitivo, dentro de los treinta (30) días hábiles siguientes a la suscripción del Convenio Urbanístico. </w:t>
      </w:r>
    </w:p>
    <w:p w14:paraId="7D438A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2F34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Adopción para Macroproyectos Categoría 2. Cumplidos los trámites señalados en los artículos precedentes, el Ministerio de Vivienda, Ciudad y Territorio podrá adoptar mediante resolución, dentro de los treinta (30) días hábiles siguientes a la aprobación del ajuste especial del plan de ordenamiento territorial por parte del Concejo Municipal o Distrital. </w:t>
      </w:r>
    </w:p>
    <w:p w14:paraId="53EBB694" w14:textId="19CEF0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64" w:name="ver_30073809"/>
      <w:bookmarkEnd w:id="1164"/>
    </w:p>
    <w:p w14:paraId="14C81B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2.2.4.2.2.3.4.2 Acto Administrativo mediante el cual se adopta el Macroproyecto. La formulación del Macroproyecto por parte del Ministerio de Vivienda, Ciudad y Territorio culminará con su adopción mediante resolución expedida por el Ministerio. El acto administrativo que adopta el Macroproyecto tendrá, por lo menos, el siguiente contenido: </w:t>
      </w:r>
    </w:p>
    <w:p w14:paraId="5BDEED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5A52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Objetivos generales del Macroproyecto. </w:t>
      </w:r>
    </w:p>
    <w:p w14:paraId="2E2B05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6E29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delimitación del área de planificación, con su localización, límites, coordenadas, mojones e identificación predial del área a adoptar. </w:t>
      </w:r>
    </w:p>
    <w:p w14:paraId="744A5C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D550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Estructura urbana (componente ambiental, sistema de servicios públicos, sistema vial y de transporte, sistema de espacio público y equipamientos). </w:t>
      </w:r>
    </w:p>
    <w:p w14:paraId="09709B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045B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Mecanismos de mitigación de amenazas y riesgos en el Macroproyecto si a ello hubiere lugar. </w:t>
      </w:r>
    </w:p>
    <w:p w14:paraId="0228EA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C6ED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Normas urbanísticas. </w:t>
      </w:r>
    </w:p>
    <w:p w14:paraId="487F65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644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instrumentos de manejo del suelo, captación de plusvalías, reparto de cargas y beneficios, procedimientos de gestión, evaluación financiera de las obras de urbanización y su programa de ejecución, junto al programa de Financiamiento. </w:t>
      </w:r>
    </w:p>
    <w:p w14:paraId="0620C3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E725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Mecanismos de seguimiento y control. </w:t>
      </w:r>
    </w:p>
    <w:p w14:paraId="0B9D76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CE60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Harán parte integral de la resolución: </w:t>
      </w:r>
    </w:p>
    <w:p w14:paraId="325D98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BA6B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8.1 Plano que delimita mediante coordenadas geográficas el área de planificación del Macroproyecto y demás cartografía anexa al documento técnico de soporte. </w:t>
      </w:r>
    </w:p>
    <w:p w14:paraId="49B50E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F9FD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8.2 Documento Técnico de Soporte de Formulación que dé cuenta de los requisitos previstos en el artículo 2.2.4.2.2.3.2.1.2 del presente decreto, consolidado con las observaciones que hubiesen resultado pertinentes durante las fases de cada uno de los Macroproyectos Categoría 1 y 2, respectivamente. </w:t>
      </w:r>
    </w:p>
    <w:p w14:paraId="2E8B39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2615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Una vez publicado en el Diario Oficial el acto administrativo por el cual se adopte un Macroproyecto se enviará copia del mismo a los municipios, distritos y autoridades ambientales con jurisdicción en su área de </w:t>
      </w:r>
      <w:proofErr w:type="gramStart"/>
      <w:r w:rsidRPr="009342F9">
        <w:rPr>
          <w:rFonts w:ascii="Arial" w:eastAsia="Times New Roman" w:hAnsi="Arial" w:cs="Arial"/>
          <w:color w:val="000000"/>
          <w:lang w:eastAsia="es-CO"/>
        </w:rPr>
        <w:t>ejecución</w:t>
      </w:r>
      <w:proofErr w:type="gramEnd"/>
      <w:r w:rsidRPr="009342F9">
        <w:rPr>
          <w:rFonts w:ascii="Arial" w:eastAsia="Times New Roman" w:hAnsi="Arial" w:cs="Arial"/>
          <w:color w:val="000000"/>
          <w:lang w:eastAsia="es-CO"/>
        </w:rPr>
        <w:t xml:space="preserve"> así como a Fonvivienda y al Ministerio de Ambiente y Desarrollo Sostenible. La resolución se notificará a quienes hubiesen suscrito el Convenio. </w:t>
      </w:r>
    </w:p>
    <w:p w14:paraId="18F68228" w14:textId="155E69A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65" w:name="ver_30073810"/>
      <w:bookmarkEnd w:id="1165"/>
    </w:p>
    <w:p w14:paraId="43EBEB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2.2.4.2.2.3.4.3 Efectos de la adopción. La adopción de los Macroproyectos producirá los siguientes efectos: </w:t>
      </w:r>
    </w:p>
    <w:p w14:paraId="4CBE66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6BE8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prevalencia de sus normas que serán, por tanto, de obligada observancia por parte de los municipios y distritos en las posteriores revisiones y modificaciones de sus planes de ordenamiento territorial. </w:t>
      </w:r>
    </w:p>
    <w:p w14:paraId="29D635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C04F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obligatoriedad del cumplimiento de sus disposiciones por todas las personas de derecho público y privado. Para el efecto, las licencias urbanísticas para el desarrollo de los Macroproyectos de Interés Social Nacional se otorgarán con sujeción a las normas adoptadas en los mismos. Los Macroproyectos no requerirán de planes parciales, ni ningún otro instrumento de planeamiento urbano para su desarrollo. </w:t>
      </w:r>
    </w:p>
    <w:p w14:paraId="01A4DA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5666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destinación de los predios e inmuebles incluidos en su ámbito de planificación y/o gestión a los usos urbanos y aprovechamientos que resulten aplicables en virtud de las disposiciones del Macroproyecto. </w:t>
      </w:r>
    </w:p>
    <w:p w14:paraId="099E8A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2625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Los municipios y distritos en los cuales se ejecuten los Macroproyectos serán los beneficiarios de la plusvalía que se pueda generar por la adopción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la cual deberá destinarse al desarrollo del Macroproyecto para los fines descritos en el artículo 85 de la Ley 388 de 1997. </w:t>
      </w:r>
    </w:p>
    <w:p w14:paraId="2C7DBF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24BF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áreas incluidas en un Macroproyecto que no se encuentren en suelo urbano se considerarán incorporadas a esta clase de suelo cuando se acredite la calidad de áreas urbanizadas. Se entenderá que se encuentran urbanizadas las áreas cuyos predios cuenten con (i) la culminación de las obras y dotaciones a cargo del urbanizador sobre las zonas de cesión obligatoria contempladas en la respectiva licencia, de conformidad con las normas urbanísticas del respectivo Macroproyecto; y, (ii) la entrega a satisfacción a los municipios y distritos y/o las empresas de servicios públicos domiciliarios correspondientes, de dichas obras y dotaciones, de acuerdo con la normatividad vigente sobre la materia. </w:t>
      </w:r>
    </w:p>
    <w:p w14:paraId="6FE3BF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3E1B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modificación de los instrumentos de planificación que complementen y desarrollen el plan de ordenamiento territorial tales como planes parciales y demás que se hayan expedido con anterioridad a la adopción del Macroproyecto, se ajustará a las previsiones contenidas en este último y no requerirá de agotar ninguna de las instancias y procedimientos previstos en la ley.  </w:t>
      </w:r>
    </w:p>
    <w:p w14:paraId="692CD3A5" w14:textId="0D6CF683" w:rsidR="00FC79C1" w:rsidRPr="009342F9" w:rsidRDefault="00FC79C1" w:rsidP="00C8117B">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C0633D" w14:textId="57B45B79" w:rsidR="00FC79C1" w:rsidRPr="009342F9" w:rsidRDefault="00FC79C1" w:rsidP="00D4095E">
      <w:pPr>
        <w:spacing w:after="0" w:line="240" w:lineRule="auto"/>
        <w:jc w:val="center"/>
        <w:rPr>
          <w:rFonts w:ascii="Arial" w:eastAsia="Times New Roman" w:hAnsi="Arial" w:cs="Arial"/>
          <w:b/>
          <w:bCs/>
          <w:color w:val="000000"/>
          <w:lang w:eastAsia="es-CO"/>
        </w:rPr>
      </w:pPr>
      <w:bookmarkStart w:id="1166" w:name="ver_30073811"/>
      <w:bookmarkEnd w:id="1166"/>
      <w:r w:rsidRPr="009342F9">
        <w:rPr>
          <w:rFonts w:ascii="Arial" w:eastAsia="Times New Roman" w:hAnsi="Arial" w:cs="Arial"/>
          <w:b/>
          <w:bCs/>
          <w:color w:val="000000"/>
          <w:lang w:eastAsia="es-CO"/>
        </w:rPr>
        <w:t>SUBSUBSECCIÓN 5</w:t>
      </w:r>
    </w:p>
    <w:p w14:paraId="2AAC167E"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EJECUCIÓN</w:t>
      </w:r>
    </w:p>
    <w:p w14:paraId="26E7B90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67" w:name="ver_30073812"/>
      <w:bookmarkEnd w:id="1167"/>
    </w:p>
    <w:p w14:paraId="22B18E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2.2.4.2.2.3.5.1 Ejecución. Las entidades de orden nacional, departamental, municipal y distrital, y las áreas metropolitanas podrán participar en la ejecución de los Macroproyectos, mediante la celebración, entre otros, de contratos de fiducia mercantil con sujeción a las reglas generales y del derecho comercial, sin las limitaciones y restricciones previstas en el numeral 5 del artículo 32 de la Ley 80 de 1993 o en las normas que lo adicionen, modifiquen o sustituyan. </w:t>
      </w:r>
    </w:p>
    <w:p w14:paraId="10BDE3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BB02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Corresponderá al Fondo Nacional de Vivienda, Fonvivienda, ejecutar los recursos y desarrollar las actividades necesarias para ejecutar y/o financiar los Macroproyectos en los que se inviertan recursos por parte del Gobierno Nacional. Para ello, el Ministerio de Vivienda, Ciudad y Territorio, en cada vigencia fiscal, programará los recursos del subsidio familiar de vivienda que se dirigirán a los MISN adoptados. </w:t>
      </w:r>
    </w:p>
    <w:p w14:paraId="244A47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B600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Fonvivienda podrá girar anticipadamente a los patrimonios autónomos las sumas de dinero que correspondan a los subsidios familiares de vivienda que se asignarán por dicho Fondo a hogares beneficiarios en el respectivo Macroproyecto. </w:t>
      </w:r>
    </w:p>
    <w:p w14:paraId="3210C9C8" w14:textId="6142BDA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68" w:name="ver_30073813"/>
      <w:bookmarkEnd w:id="1168"/>
    </w:p>
    <w:p w14:paraId="4919CA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2.2.4.2.2.3.5.2 Licencias urbanísticas para la ejecución de Macroproyecto. La expedición de todas las licencias urbanísticas en sus distintas modalidades y la ejecución de las actuaciones previstas en el Macroproyecto se sujetarán a todo lo previsto en la resolución de adopción. Corresponderá a la autoridad municipal o distrital o a los curadores urbanos, según el caso, estudiar, tramitar y expedir la licencia de urbanización en aplicación y cumplimiento de las normas adoptadas en el respectivo Macroproyecto. </w:t>
      </w:r>
    </w:p>
    <w:p w14:paraId="4B247600" w14:textId="648C2A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69" w:name="ver_30073814"/>
      <w:bookmarkEnd w:id="1169"/>
    </w:p>
    <w:p w14:paraId="50CFCB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2.2.4.2.2.3.5.3 Decisión sobre los asuntos ambientales. De conformidad con lo previsto en el numeral 3 del artículo 27 de la Ley 388 de 1997, modificado por el artículo 180 del Decreto-ley 019 de 2012, cuando se trate de planes parciales que desarrollen los Macroproyectos de Interés Social Nacional, si la Corporación Autónoma Regional o de Desarrollo Sostenible no se pronuncia definitivamente dentro del término señalado, le corresponderá al Ministerio de Ambiente y Desarrollo Sostenible decidir sobre los asuntos ambientales para lo cual dispondrá de un término máximo e improrrogable de quince (15) días hábiles contados a partir del recibo del respectivo expediente. </w:t>
      </w:r>
    </w:p>
    <w:p w14:paraId="4A6568ED" w14:textId="70A5C5E9" w:rsidR="00FC79C1" w:rsidRPr="009342F9" w:rsidRDefault="00FC79C1" w:rsidP="00C8117B">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773021"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170" w:name="ver_30073815"/>
      <w:bookmarkEnd w:id="1170"/>
      <w:r w:rsidRPr="009342F9">
        <w:rPr>
          <w:rFonts w:ascii="Arial" w:eastAsia="Times New Roman" w:hAnsi="Arial" w:cs="Arial"/>
          <w:b/>
          <w:bCs/>
          <w:color w:val="000000"/>
          <w:lang w:eastAsia="es-CO"/>
        </w:rPr>
        <w:t>CAPÍTULO 3</w:t>
      </w:r>
    </w:p>
    <w:p w14:paraId="0A7E2846" w14:textId="77777777"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PROYECTOS INTEGRALES DE DESARROLLO URBANO</w:t>
      </w:r>
    </w:p>
    <w:p w14:paraId="19EF76C7" w14:textId="77777777" w:rsidR="005C5EEB" w:rsidRPr="009342F9" w:rsidRDefault="005C5EEB" w:rsidP="005C5EEB">
      <w:pPr>
        <w:spacing w:after="0" w:line="240" w:lineRule="auto"/>
        <w:rPr>
          <w:rFonts w:ascii="Arial" w:eastAsia="Times New Roman" w:hAnsi="Arial" w:cs="Arial"/>
          <w:b/>
          <w:bCs/>
          <w:color w:val="000000"/>
          <w:lang w:eastAsia="es-CO"/>
        </w:rPr>
      </w:pPr>
    </w:p>
    <w:p w14:paraId="24DBC772" w14:textId="3D261B6E"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1E7F14DE"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0C5041D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71" w:name="ver_30073816"/>
      <w:bookmarkEnd w:id="1171"/>
    </w:p>
    <w:p w14:paraId="7DF9DF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2.2.4.3.1.1 Proyectos Integrales de Desarrollo Urbano. Constituyen el conjunto de decisiones administrativas y de actuaciones urbanísticas, definidas de común acuerdo con las autoridades de planeación de los municipios y distritos, necesarias para la ejecución de operaciones urbanas integrales que garanticen la habilitación de suelo urbanizable para la ejecución de los proyectos de construcción de vivienda y reubicación de asentamientos humanos para atender la emergencia económica, social y ecológica nacional. </w:t>
      </w:r>
    </w:p>
    <w:p w14:paraId="75FED1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BF37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Proyectos Integrales de Desarrollo Urbano se definirán las condiciones para la construcción y reubicación de viviendas, especialmente viviendas de interés social (VIS) y viviendas de interés prioritario (VIP), el desarrollo de otros usos, la extensión o ampliación de la infraestructura para el sistema vial, y de servicios públicos domiciliarios, y la ejecución de espacios públicos y equipamientos colectivos, ya sea que se trate de predios urbanos, rurales o de expansión urbana. </w:t>
      </w:r>
    </w:p>
    <w:p w14:paraId="01C914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3045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los Proyectos Integrales de Desarrollo Urbano se localicen en suelos rurales deberán apoyar el desarrollo compacto de la ciudad. </w:t>
      </w:r>
    </w:p>
    <w:p w14:paraId="734AE4BE" w14:textId="77777777" w:rsidR="00C8117B" w:rsidRDefault="00C8117B" w:rsidP="00FC79C1">
      <w:pPr>
        <w:spacing w:after="0" w:line="240" w:lineRule="auto"/>
        <w:jc w:val="both"/>
        <w:rPr>
          <w:rFonts w:ascii="Arial" w:eastAsia="Times New Roman" w:hAnsi="Arial" w:cs="Arial"/>
          <w:color w:val="000000"/>
          <w:lang w:eastAsia="es-CO"/>
        </w:rPr>
      </w:pPr>
      <w:bookmarkStart w:id="1172" w:name="ver_30073817"/>
      <w:bookmarkEnd w:id="1172"/>
    </w:p>
    <w:p w14:paraId="498B63ED" w14:textId="376330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2.2.4.3.1.2 Objetivo. El principal objetivo de los Proyectos Integrales de Desarrollo Urbano es garantizar la habilitación de suelo urbanizable para la ejecución de los proyectos de construcción de vivienda y reubicación de asentamientos humanos para atender la emergencia económica, social y ecológica nacional. </w:t>
      </w:r>
    </w:p>
    <w:p w14:paraId="03855B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1DE1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PIDU desarrollarán asentamientos urbanos con altos parámetros de calidad urbanística y ambiental y promover el ordenamiento territorial, el desarrollo y crecimiento equilibrado y equitativo de las ciudades y su articulación con los sistemas estructurantes de infraestructura de movilidad y de servicios públicos. </w:t>
      </w:r>
    </w:p>
    <w:p w14:paraId="1687C537" w14:textId="1D49266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73" w:name="ver_30073818"/>
      <w:bookmarkEnd w:id="1173"/>
    </w:p>
    <w:p w14:paraId="71A59F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2.2.4.3.1.3 Ámbito de atención territorial de los PIDU. Con el fin de garantizar una atención ágil y efectiva de las personas damnificadas o ubicadas en zonas de alto riesgo que deban ser reubicadas por el fenómeno de La Niña 2010-2011, los PIDU definirán los objetivos y las directrices urbanísticas específicas que orientarán la urbanización del suelo necesario, para atender las necesidades de construcción de vivienda de las zonas que se identifiquen como objeto de su ámbito de atención territorial. </w:t>
      </w:r>
    </w:p>
    <w:p w14:paraId="79EBAF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B48D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ello, una vez definido el ámbito de atención territorial del respectivo PIDU, se establecerán los porcentajes de suelo útil que se destinarán para atender las necesidades de vivienda identificadas en el mismo, para los hogares damnificados por la situación de desastre, incluidos en los sistemas de información que para el efecto determine el Gobierno Nacional y de los hogares ubicados en zonas de riesgo no mitigable que deban ser reubicados, según lo determine la oficina competente del respectivo municipio o distrito. </w:t>
      </w:r>
    </w:p>
    <w:p w14:paraId="66A869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E4C5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fin de promover el uso racional del suelo, en armonía con las necesidades de empleo, cohesión social, seguridad y protección del medio ambiente, en cada PIDU se podrá destinar suelo para otros tipos de vivienda y para usos productivos que sean complementarios y compatibles con el uso residencial. </w:t>
      </w:r>
    </w:p>
    <w:p w14:paraId="14748D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73A5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ámbito de atención territorial del PIDU hace referencia a la extensión espacial de las zonas afectadas por la situación de desastre y/o de las zonas de riesgo no mitigable, en donde se localicen viviendas que deban ser objeto de reubicación o reconstrucción, de conformidad con las necesidades de los hogares afectados. </w:t>
      </w:r>
    </w:p>
    <w:p w14:paraId="2D9AC1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064B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 obstante, cualquier hogar afectado que se encuentre por fuera del ámbito de atención territorial del PIDU podrá ser objeto de los programas de vivienda para la atención de la emergencia que se adopten en el mismo, ya sea que se trate del mismo municipio o de otros municipios afectados. </w:t>
      </w:r>
    </w:p>
    <w:p w14:paraId="7D881B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9C1F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de conformidad con el artículo 19 de la Ley 136 de 1994 se decida trasladar una cabecera municipal por afectación del Fenómeno de La Niña 2010– 2011, la destinación del suelo del nuevo centro urbano tendrá en cuenta los porcentajes de usos existentes en el asentamiento desalojado, según lo establecido en la aprobación de usos del suelo para la adopción del PIDU. </w:t>
      </w:r>
    </w:p>
    <w:p w14:paraId="4E11948B" w14:textId="3CB2F2A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74" w:name="ver_30073819"/>
      <w:bookmarkEnd w:id="1174"/>
    </w:p>
    <w:p w14:paraId="137C8A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2.2.4.3.1.4 Categorías. Los PIDU serán adoptados por el Ministerio de Ambiente, Vivienda y Desarrollo Territorial y se diferenciarán, según tengan por objeto: </w:t>
      </w:r>
    </w:p>
    <w:p w14:paraId="2BD8B5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AF01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PIDU Categoría 1. Los PIDU Categoría 1 tienen por objeto la definición de los términos y las condiciones de gestión y ejecución de los contenidos, actuaciones o normas urbanísticas del plan de ordenamiento territorial vigente, sobre la base de un convenio suscrito entre el Ministerio de Ambiente, Vivienda y Desarrollo Territorial y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del respectivo municipio o distrito. Con la adopción de estos PIDU, en ningún caso, podrán modificarse las disposiciones del respectivo plan de ordenamiento territorial. </w:t>
      </w:r>
    </w:p>
    <w:p w14:paraId="5BCD88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FD25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PIDU Categoría 2. Los PIDU Categoría 2 tienen por objeto la definición, además de lo previsto en el numeral anterior, de las posibles modificaciones de las normas urbanísticas que regulan el uso y aprovechamiento del suelo del plan de ordenamiento territorial vigente, cuando ello resulte necesario para asegurar la viabilidad de la operación urbana que se adopta con el PIDU. </w:t>
      </w:r>
    </w:p>
    <w:p w14:paraId="689D1E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A7C4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estos casos, la adopción del PIDU implicará la ratificación previa del concejo municipal o distrital de la modificación de dichas normas, sobre la base del convenio suscrito entre el Ministerio de Ambiente, Vivienda y Desarrollo Territorial y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del respectivo municipio o distrito. </w:t>
      </w:r>
    </w:p>
    <w:p w14:paraId="249914E7" w14:textId="77777777" w:rsidR="00C8117B" w:rsidRDefault="00C8117B" w:rsidP="00FC79C1">
      <w:pPr>
        <w:spacing w:after="0" w:line="240" w:lineRule="auto"/>
        <w:jc w:val="both"/>
        <w:rPr>
          <w:rFonts w:ascii="Arial" w:eastAsia="Times New Roman" w:hAnsi="Arial" w:cs="Arial"/>
          <w:color w:val="000000"/>
          <w:lang w:eastAsia="es-CO"/>
        </w:rPr>
      </w:pPr>
      <w:bookmarkStart w:id="1175" w:name="ver_30073820"/>
      <w:bookmarkEnd w:id="1175"/>
    </w:p>
    <w:p w14:paraId="03689A06" w14:textId="744C0CE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2.2.4.3.1.5 Fases de los PIDU. El procedimiento para el anuncio, la formulación, la concertación, la aprobación y la adopción de Proyectos Integrales de Desarrollo Urbano comprenden las siguientes fases: </w:t>
      </w:r>
    </w:p>
    <w:p w14:paraId="5EE984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7D36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Prefactibilidad. </w:t>
      </w:r>
    </w:p>
    <w:p w14:paraId="419783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898E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Formulación. </w:t>
      </w:r>
    </w:p>
    <w:p w14:paraId="743E45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0828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Adopción. </w:t>
      </w:r>
    </w:p>
    <w:p w14:paraId="180F59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E501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efectos de la modificación del PIDU, ésta se deberá adelantar atendiendo el procedimiento establecido en la fase que corresponda a los asuntos objeto de la modificación. Cuando la propuesta implique la modificación de las normas contenidas en el plan de ordenamiento territorial, se seguirá el trámite previsto para los PIDU categoría 2; de lo contrario, se tramitará conforme a las reglas contempladas para los PIDU categoría 1. </w:t>
      </w:r>
    </w:p>
    <w:p w14:paraId="02B1F68A" w14:textId="77777777" w:rsidR="00C8117B"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76" w:name="ver_30073821"/>
      <w:bookmarkEnd w:id="1176"/>
    </w:p>
    <w:p w14:paraId="75B64145" w14:textId="68B1A9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2.2.4.3.1.6 Titulares de la iniciativa. Además del Ministerio de Ambiente, Vivienda y Desarrollo Territorial, la iniciativa para presentar un PIDU podrá ser de las entidades territoriales o de particulares, directamente o mediante mecanismos de asociación público privado. </w:t>
      </w:r>
    </w:p>
    <w:p w14:paraId="6BF2ED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7DD9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área de planificación del respectivo PIDU deberá adelantarse en un solo municipio o distrito. </w:t>
      </w:r>
    </w:p>
    <w:p w14:paraId="03110E52" w14:textId="77777777" w:rsidR="00C8117B" w:rsidRDefault="00FC79C1" w:rsidP="00C8117B">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77" w:name="ver_30073822"/>
      <w:bookmarkEnd w:id="1177"/>
    </w:p>
    <w:p w14:paraId="1A5774B4" w14:textId="12AC5EAD" w:rsidR="00FC79C1" w:rsidRPr="009342F9" w:rsidRDefault="00FC79C1" w:rsidP="00C8117B">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2824D571"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PREFACTIBILIDAD</w:t>
      </w:r>
    </w:p>
    <w:p w14:paraId="281D157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78" w:name="ver_30073823"/>
      <w:bookmarkEnd w:id="1178"/>
    </w:p>
    <w:p w14:paraId="7ECC24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2.2.4.3.2.1 Documentación requerida para adelantar la prefactibilidad de los PIDU. Para efectos de que el Ministerio de Ambiente, Vivienda y Desarrollo Territorial pueda estudiar la prefactibilidad del proyecto de PIDU, el interesado deberá radicar ante el Ministerio de Ambiente, Vivienda y Desarrollo Territorial un documento técnico de soporte de prefactibilidad, en medio magnético y físico, que incluya al menos la siguiente información: </w:t>
      </w:r>
    </w:p>
    <w:p w14:paraId="78ACD8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03A5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localización, descripción y caracterización del área propuesta de planificación donde se desarrollará el PIDU que incluya: (i) las características ambientales, sociales, culturales, urbanísticas del área y las agrológicas cuando se encuentre en suelo rural; (ii) las características topográficas del terreno; (iii) la composición predial con base en la información catastral disponible y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la clasificación del suelo. </w:t>
      </w:r>
    </w:p>
    <w:p w14:paraId="18F892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0CB3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Certificados de tradición y libertad de los predios que se encuentran en el área de planificación del PIDU, cuya fecha de expedición no sea superior a un mes. </w:t>
      </w:r>
    </w:p>
    <w:p w14:paraId="694EDF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D6E1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Información catastral disponible de los predios que se encuentran en el área de planificación del respetivo PIDU. </w:t>
      </w:r>
    </w:p>
    <w:p w14:paraId="7B8E45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085E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Plano georreferenciado de diagnóstico a escala 1:2000 o 1:5000 del área del PIDU, donde se aprecie la información de que trata el numeral 1 de este artículo y además el polígono amojonado que lo conforma, cuadro de coordenadas de mojones, la relación e identificación de los predios incluidos en la propuesta de delimitación y sus propietarios. </w:t>
      </w:r>
    </w:p>
    <w:p w14:paraId="080FBA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8502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Descripción del impacto territorial de la operación urbana, que deberá incluir, por lo menos: (i) el potencial de unidades habitacionales para atender las necesidades de vivienda del ámbito de atención territorial del PIDU, de conformidad con lo previsto en el artículo 2.2.4.3.1.3 del presente decreto; (ii) la infraestructura de servicios públicos domiciliarios para garantizar la viabilidad; (iii) los sistemas de movilidad;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los sistemas de espacio público y equipamientos colectivos, y (v) el manejo de las áreas de conservación y protección ambiental y de mitigación de riesgos cuando a ello haya lugar. </w:t>
      </w:r>
    </w:p>
    <w:p w14:paraId="2FB828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F140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Ambiente, Vivienda y Desarrollo Territorial mediante resolución podrá desarrollar los requisitos señalados en el presente artículo y señalar documentos complementarios para adelantar el estudio de prefactibilidad técnica de los PIDU. </w:t>
      </w:r>
    </w:p>
    <w:p w14:paraId="0DAC74E4" w14:textId="03723A9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79" w:name="ver_30073824"/>
      <w:bookmarkEnd w:id="1179"/>
    </w:p>
    <w:p w14:paraId="2C0CFC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2.2.4.3.2.2 Documentos adicionales para la presentación de los PIDU de iniciativa de entidades territoriales y particulares. Las entidades territoriales y los particulares interesados en adelantar un PIDU deberán incorporar en el documento técnico de soporte de prefactibilidad de que trata el artículo anterior, lo siguiente: </w:t>
      </w:r>
    </w:p>
    <w:p w14:paraId="092FA6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1C9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Documento de identidad cuando se trate de personas naturales o certificado(s) de existencia y representación legal cuya fecha de expedición no sea mayor a un (1) mes, cuando se trate de personas jurídicas. </w:t>
      </w:r>
    </w:p>
    <w:p w14:paraId="58C736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7ABE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Documento que contenga el acuerdo asociativo de las partes en el evento que en la iniciativa concurran entidades territoriales y/o </w:t>
      </w:r>
      <w:proofErr w:type="gramStart"/>
      <w:r w:rsidRPr="009342F9">
        <w:rPr>
          <w:rFonts w:ascii="Arial" w:eastAsia="Times New Roman" w:hAnsi="Arial" w:cs="Arial"/>
          <w:color w:val="000000"/>
          <w:lang w:eastAsia="es-CO"/>
        </w:rPr>
        <w:t>particulares</w:t>
      </w:r>
      <w:proofErr w:type="gramEnd"/>
      <w:r w:rsidRPr="009342F9">
        <w:rPr>
          <w:rFonts w:ascii="Arial" w:eastAsia="Times New Roman" w:hAnsi="Arial" w:cs="Arial"/>
          <w:color w:val="000000"/>
          <w:lang w:eastAsia="es-CO"/>
        </w:rPr>
        <w:t xml:space="preserve"> así como la forma de participación de cada uno de los integrantes en las diferentes fases del PIDU. </w:t>
      </w:r>
    </w:p>
    <w:p w14:paraId="18F4AD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C355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iniciativa del proyecto PIDU provenga de particulares, también se deberá presentar ante el Ministerio de Ambiente, Vivienda y Desarrollo Territorial poder debidamente otorgado por el(los) propietario(s) de los bienes inmuebles, cuando el PIDU haya sido sugerido por personas diferentes a los propietarios de los inmuebles ubicados en el área de planificación. </w:t>
      </w:r>
    </w:p>
    <w:p w14:paraId="49A53F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70F0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Ambiente, Vivienda y Desarrollo Territorial estudiará la documentación presentada para efectos de analizar la prefactibilidad de los PIDU, para lo cual contará con un término de treinta (30) días hábiles contados a partir de su radicación. </w:t>
      </w:r>
    </w:p>
    <w:p w14:paraId="7EBF89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0116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Ministerio determine que el proyecto PIDU cuenta con la prefactibilidad, expedirá el acto administrativo a que hace referencia el artículo 2.2.4.3.3.1 del presente decreto. </w:t>
      </w:r>
    </w:p>
    <w:p w14:paraId="65C7D8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D051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la iniciativa del PIDU provenga de una entidad territorial o de particulares, los costos para elaborar el documento técnico de soporte de prefactibilidad serán asumidos por cuenta exclusiva de quienes presenten el respectivo PIDU. En ningún evento el Ministerio de Ambiente, Vivienda y Desarrollo Territorial asumirá los costos ni responderá por los gastos en que deba incurrir o haya incurrido quien presente la iniciativa de un PIDU. </w:t>
      </w:r>
    </w:p>
    <w:p w14:paraId="48285A02" w14:textId="108C8304" w:rsidR="00D4095E" w:rsidRPr="009342F9" w:rsidRDefault="00FC79C1" w:rsidP="00C8117B">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180" w:name="ver_30073825"/>
      <w:bookmarkEnd w:id="1180"/>
    </w:p>
    <w:p w14:paraId="7BE47925" w14:textId="79B8D70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0708823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ANUNCIO</w:t>
      </w:r>
    </w:p>
    <w:p w14:paraId="6C7868E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81" w:name="ver_30073826"/>
      <w:bookmarkEnd w:id="1181"/>
    </w:p>
    <w:p w14:paraId="625D0F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2.2.4.3.3.1 Anuncio de los PIDU. El estudio de prefactibilidad del PIDU por parte del Ministerio de Ambiente, Vivienda y Desarrollo Territorial culminará con su anuncio mediante resolución expedida por el Ministerio. </w:t>
      </w:r>
    </w:p>
    <w:p w14:paraId="271A3B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5F22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que constituye el anuncio del PIDU tendrá, por lo menos, el siguiente contenido: </w:t>
      </w:r>
    </w:p>
    <w:p w14:paraId="40CA8A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330C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delimitación del área de planificación preliminar mediante cartera de coordenadas. </w:t>
      </w:r>
    </w:p>
    <w:p w14:paraId="026084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B743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orden de solicitar la práctica de avalúos de referencia para determinar el precio del suelo antes del anuncio del proyecto, en caso de que no se hubiesen realizado a la fecha. </w:t>
      </w:r>
    </w:p>
    <w:p w14:paraId="50AF63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8A6B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orden de publicación del anuncio en el Diario Oficial, Gaceta o registro municipal o distrital, o en el medio oficial idóneo del respectivo municipio o distrito y en un diario de amplia circulación en el municipio o distrito. </w:t>
      </w:r>
    </w:p>
    <w:p w14:paraId="204A89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9387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Harán parte de la resolución los siguientes documentos: </w:t>
      </w:r>
    </w:p>
    <w:p w14:paraId="44D389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4E3E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Documento Técnico de Soporte de Prefactibilidad que dé cuenta de lo previsto en los artículos 2.2.4.3.2.1 y 2.2.4.3.2.2 del presente decreto. </w:t>
      </w:r>
    </w:p>
    <w:p w14:paraId="0ECD0A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0F45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Plano que delimita mediante coordenadas geográficas el área preliminar en la cual se formulará el PIDU, con el señalamiento y localización de los suelos de protección en los términos del artículo 35 de la Ley 388 de 1997, la identificación y delimitación de las áreas de conservación y protección ambiental, las zonas de riesgos. </w:t>
      </w:r>
    </w:p>
    <w:p w14:paraId="43DC6B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1A4C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4.3 Plano con la relación e identificación de los predios y sus propietarios. </w:t>
      </w:r>
    </w:p>
    <w:p w14:paraId="5DECB6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2DB8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Contra el acto administrativo mediante el cual se anuncia el PIDU, no procede recurso alguno. </w:t>
      </w:r>
    </w:p>
    <w:p w14:paraId="3DFCB1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2A10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El anuncio de que trata este artículo no generará obligación de formular o adoptar el PIDU ni obligará al Ministerio de Ambiente, Vivienda y Desarrollo Territorial a presentar oferta de compra sobre los bienes objeto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42C0C2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E8EE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efectos del anuncio cesarán cuando el Ministerio de Ambiente, Vivienda y Desarrollo Territorial archive la solicitud de PIDU mediante acto administrativo por cualquiera de las causales previstas en este decreto. </w:t>
      </w:r>
    </w:p>
    <w:p w14:paraId="3E0E1D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8850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Para efectos del anuncio se tendrá en cuenta lo establecido en el parágrafo 1° del artículo 61 de la Ley 388 de 1997. </w:t>
      </w:r>
    </w:p>
    <w:p w14:paraId="05709D97" w14:textId="7668B02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82" w:name="ver_30073842"/>
      <w:bookmarkEnd w:id="1182"/>
    </w:p>
    <w:p w14:paraId="4C5A63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2.2.4.3.3.2 Requisitos para practicar los avalúos. Los avalúos de referencia tienen por objeto determinar el precio del suelo antes del respectivo anuncio y deberán tener en cuenta la reglamentación urbanística vigente antes del anuncio y en ningún caso incorporarán las expectativas que pueda generar el PIDU. </w:t>
      </w:r>
    </w:p>
    <w:p w14:paraId="4295CD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02054E"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Parágrafo. Al valor comercial al que se refiere el presente artículo, se le descontará el monto correspondiente a la plusvalía o mayor valor generado por el anuncio del proyecto u obra que constituye el motivo de utilidad pública para la adquisición, salvo el caso en que el propietario hubiere pagado la participación en plusvalía o la contribución de valorización, según sea del caso. </w:t>
      </w:r>
    </w:p>
    <w:p w14:paraId="4F9C3E44" w14:textId="48C48214" w:rsidR="00AD58C2" w:rsidRDefault="00FC79C1" w:rsidP="00C27507">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bookmarkStart w:id="1183" w:name="ver_30073843"/>
      <w:bookmarkEnd w:id="1183"/>
    </w:p>
    <w:p w14:paraId="6CB0A595" w14:textId="54A6F3BE" w:rsidR="00FC79C1" w:rsidRPr="009342F9" w:rsidRDefault="00FC79C1" w:rsidP="00C27507">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SECCIÓN 4</w:t>
      </w:r>
    </w:p>
    <w:p w14:paraId="4FCD4149" w14:textId="77777777" w:rsidR="00FC79C1"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FORMULACIÓN</w:t>
      </w:r>
    </w:p>
    <w:p w14:paraId="03AECBAA" w14:textId="77777777" w:rsidR="00AD58C2" w:rsidRPr="009342F9" w:rsidRDefault="00AD58C2" w:rsidP="00D4095E">
      <w:pPr>
        <w:spacing w:after="0" w:line="240" w:lineRule="auto"/>
        <w:jc w:val="center"/>
        <w:rPr>
          <w:rFonts w:ascii="Arial" w:eastAsia="Times New Roman" w:hAnsi="Arial" w:cs="Arial"/>
          <w:b/>
          <w:bCs/>
          <w:color w:val="000000"/>
          <w:lang w:eastAsia="es-CO"/>
        </w:rPr>
      </w:pPr>
    </w:p>
    <w:p w14:paraId="104E669D" w14:textId="23E198D1"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2AC34763"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ASPECTOS GENERALES DE LA FORMULACIÓN DEL PIDU</w:t>
      </w:r>
    </w:p>
    <w:p w14:paraId="20967D3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84" w:name="ver_30073844"/>
      <w:bookmarkEnd w:id="1184"/>
    </w:p>
    <w:p w14:paraId="484DFE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2.2.4.3.4.1.1 Formulación de los PIDU. Una vez el Ministerio de Ambiente, Vivienda y Desarrollo Territorial hubiere expedido el acto administrativo de que trata el artículo 2.2.4.3.3.1 del presente decreto, se iniciará la fase de formulación el proyecto de PIDU con la elaboración del documento técnico de soporte (DTS) a que hace referencia el artículo 2.2.4.3.4.1.2 con el fin de someterlo al correspondiente análisis de viabilidad. </w:t>
      </w:r>
    </w:p>
    <w:p w14:paraId="73244B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6298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iniciativa del PIDU provenga de una entidad territorial o un particular, los interesados deberán presentar dentro de los seis (6) meses siguientes a la publicación del acto administrativo mediante el cual se anuncia el respectivo PIDU, prorrogables a solicitud de parte, hasta por dos (2) meses, la formulación del proyecto de PIDU con el documento técnico de soporte. La presentación de esta iniciativa ante el Ministerio no genera ningún tipo de obligación para su adopción. </w:t>
      </w:r>
    </w:p>
    <w:p w14:paraId="75EA6B4D" w14:textId="4E4C8D4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85" w:name="ver_30073845"/>
      <w:bookmarkEnd w:id="1185"/>
    </w:p>
    <w:p w14:paraId="3D236F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2.2.4.3.4.1.2 Documento técnico de soporte (DTS) para la formulación de los PIDU. Con la solicitud de formulación del proyecto de PIDU, el interesado deberá anexar un documento técnico de soporte que incluya: </w:t>
      </w:r>
    </w:p>
    <w:p w14:paraId="138689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562A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Objeto, descripción y localización del PIDU. </w:t>
      </w:r>
    </w:p>
    <w:p w14:paraId="23A853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9927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Delimitación del área de planificación del PIDU mediante coordenadas geográficas donde se desarrollarán las actuaciones urbanísticas e identificación de los predios integrantes de dicha área, incluyendo el propietario y número de matrícula inmobiliaria y/o cédula catastral del predio. En ningún caso la delimitación definitiva del área de planificación donde se desarrollarán las actuaciones urbanísticas previstas en las normas que adopte el PIDU, podrá superar el área de planificación delimitada en el anuncio. </w:t>
      </w:r>
    </w:p>
    <w:p w14:paraId="0D84A2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54AB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propuesta del potencial de unidades habitacionales para atender las necesidades de vivienda del ámbito de atención territorial del PIDU, de conformidad con lo previsto en el artículo 2.2.4.3.1.3 del presente decreto. </w:t>
      </w:r>
    </w:p>
    <w:p w14:paraId="2F3FCF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FEC5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Formulación general de la estructura urbana, incluyendo la estructura ecológica principal, el sistema de movilidad y transporte, el sistema general de servicios públicos y los sistemas de espacio público y equipamientos. </w:t>
      </w:r>
    </w:p>
    <w:p w14:paraId="71F47D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9116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Proyecto de normas urbanísticas necesarias para el desarrollo de los usos contemplados en cada una de las unidades de ejecución o gestión, así como las condiciones de edificabilidad y de localización de los usos previstos en el PIDU. </w:t>
      </w:r>
    </w:p>
    <w:p w14:paraId="182613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BD02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Estructuración financiera del PIDU que incluya al menos el presupuesto general, las fuentes de financiación y el cronograma de actividades. </w:t>
      </w:r>
    </w:p>
    <w:p w14:paraId="7924EF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F464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Los instrumentos de manejo del suelo, captación de plusvalías, reparto de cargas y beneficios, procedimientos de gestión, evaluación financiera de las obras de urbanización y su programa de ejecución, junto al programa de Financiamiento. </w:t>
      </w:r>
    </w:p>
    <w:p w14:paraId="72B6B5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5DEF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Soporte de las áreas fuera del PIDU que se requieran para ejecutar las obras exteriores de conexión del PIDU con las redes principales de infraestructura vial y de servicios públicos. </w:t>
      </w:r>
    </w:p>
    <w:p w14:paraId="3CCA3D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B2A2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Anexo al documento técnico de soporte de formulación, se deberán entregar los siguientes estudios técnicos y planos: </w:t>
      </w:r>
    </w:p>
    <w:p w14:paraId="21154E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7193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Estudio ambiental que contenga al menos: (i) un diagnóstico ambiental que incluya la identificación y delimitación de la estructura ecológica principal y las áreas que deben ser objeto de especial protección ambiental de acuerdo con la legislación vigente, (ii) los inmuebles o áreas de patrimonio cultural, (iii) la evaluación de aspectos ambientales (identificación y cuantificación de los recursos naturales renovables requeridos para el proyecto y la identificación, evaluación y priorización de impactos ambientales positivos y negativos),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la sustracción de áreas de reserva forestal cuando a ello hubiere lugar, (v) la identificación y zonificación de amenazas y riesgos así como las acciones para su mitigación, y (vi) las medidas de mitigación, compensación y/o eliminación de los impactos ambientales identificados. </w:t>
      </w:r>
    </w:p>
    <w:p w14:paraId="252786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5077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Estudio de títulos de los predios que hacen parte del área de delimitación propuesta. </w:t>
      </w:r>
    </w:p>
    <w:p w14:paraId="41F5EA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286F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Estudios técnicos de soporte necesarios para justificar las propuestas que se incorporen en el PIDU, tales como: (i) hidrológico e hidráulico; (ii) arqueológico; (iii) estudio de geología y suelo: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capacidad vial; (v) topografía; y, (vi) componente social. </w:t>
      </w:r>
    </w:p>
    <w:p w14:paraId="345B50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2A85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Plano urbanístico general y plano urbanístico de detalle para el desarrollo del uso residencial para VIS y/o VIP contemplado en el PIDU, entendido como la propuesta de implantación urbanística de las áreas residenciales con tipología para vivienda de interés social y/o de interés prioritaria contemplados en el PIDU. </w:t>
      </w:r>
    </w:p>
    <w:p w14:paraId="30514A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A52F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Los planos requeridos para la presentación del PIDU. </w:t>
      </w:r>
    </w:p>
    <w:p w14:paraId="112E6B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D46F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Ambiente, Vivienda y Desarrollo Territorial mediante resolución desarrollará los requisitos técnicos, financieros y jurídicos establecidos en el presente artículo y podrá señalar requisitos complementarios para la elaboración de los estudios de que trata este artículo. </w:t>
      </w:r>
    </w:p>
    <w:p w14:paraId="6D75E0FF" w14:textId="77777777" w:rsidR="00C27507" w:rsidRDefault="00C27507" w:rsidP="00FC79C1">
      <w:pPr>
        <w:spacing w:after="0" w:line="240" w:lineRule="auto"/>
        <w:jc w:val="both"/>
        <w:rPr>
          <w:rFonts w:ascii="Arial" w:eastAsia="Times New Roman" w:hAnsi="Arial" w:cs="Arial"/>
          <w:color w:val="000000"/>
          <w:lang w:eastAsia="es-CO"/>
        </w:rPr>
      </w:pPr>
      <w:bookmarkStart w:id="1186" w:name="ver_30073848"/>
      <w:bookmarkEnd w:id="1186"/>
    </w:p>
    <w:p w14:paraId="0CB4BA04" w14:textId="2B08035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2.2.4.3.4.1.3 Análisis de viabilidad técnica, financiera y jurídica del proyecto de PIDU. El Ministerio de Ambiente, Vivienda y Desarrollo Territorial o la entidad que este designe para el efecto, procederá a efectuar la evaluación técnica, financiera y jurídica del proyecto de PIDU. </w:t>
      </w:r>
    </w:p>
    <w:p w14:paraId="0C50E3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2EBA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radicado el proyecto de PIDU así como su Documento Técnico de Soporte, previa verificación del cumplimiento de todos los requisitos contenidos en los artículos 2.2.4.3.4.1.1 y 2.2.4.3.4.1.2 del presente decreto, éste se someterá al análisis de viabilidad ambiental, urbanística, jurídica y financiera para lo cual el Ministerio de Ambiente, Vivienda y Desarrollo Territorial contará con un término de cuarenta y cinco (45) días hábiles, contados a partir de su presentación en legal y debida forma. </w:t>
      </w:r>
    </w:p>
    <w:p w14:paraId="19B5B3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AC0236"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Parágrafo. El Ministerio de Ambiente, Vivienda y Desarrollo Territorial podrá señalar mediante resolución los criterios para efectuar el estudio de viabilidad técnica, financiera y jurídica, de la formulación del proyecto de PIDU. </w:t>
      </w:r>
    </w:p>
    <w:p w14:paraId="5160552D" w14:textId="5621E8D2" w:rsidR="00AD58C2"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87" w:name="ver_30073849"/>
      <w:bookmarkEnd w:id="1187"/>
    </w:p>
    <w:p w14:paraId="6C487699" w14:textId="6DED9F98"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32FAC365"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PROCESO DE CONCERTACIÓN CON EL MUNICIPIO O DISTRITO</w:t>
      </w:r>
    </w:p>
    <w:p w14:paraId="5926BE4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88" w:name="ver_30073850"/>
      <w:bookmarkEnd w:id="1188"/>
    </w:p>
    <w:p w14:paraId="3E5D7E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2.2.4.3.4.2.1 Concertación con el municipio o distrito. Una vez el proyecto de PIDU cuente con viabilidad técnica, financiera y jurídica y el documento técnico de soporte incluya las observaciones efectuadas, si a ello hubiere lugar, el Ministerio de Ambiente, Vivienda y Desarrollo Territorial iniciará el proceso de concertación con el alcalde municipal o distrital. </w:t>
      </w:r>
    </w:p>
    <w:p w14:paraId="23D691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A0A3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concertación del proyecto se dispondrá de un término de quince (15) días hábiles contados a partir de la radicación de la solicitud ante el respectivo alcalde, prorrogables hasta por un término adicional de quince (15) días hábiles cuando la fase de concertación no haya concluido en el término inicial. El resultado de la concertación constará en acto administrativo expedido por el alcalde municipal o distrital. </w:t>
      </w:r>
    </w:p>
    <w:p w14:paraId="22B3CB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A370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que no se llegare a ningún acuerdo, después de transcurridos los plazos establecidos en el presente artículo, el Ministerio de Ambiente, Vivienda y Desarrollo Territorial podrá someter nuevamente y por una sola vez el proyecto de PIDU a concertación con el respectivo alcalde municipal o distrital, después de incluir los ajustes que considere pertinentes. Si en esta segunda oportunidad, no hubiere concertación dentro de los cinco (5) días hábiles siguientes a la radicación de la solicitud, se entenderá negada y, por consiguiente, el Ministerio procederá a su archivo y los documentos serán devueltos al interesado. </w:t>
      </w:r>
    </w:p>
    <w:p w14:paraId="4075EE93" w14:textId="546133D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89" w:name="ver_30073851"/>
      <w:bookmarkEnd w:id="1189"/>
    </w:p>
    <w:p w14:paraId="074E5E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2.2.4.3.4.2.2 Convenio entre el Ministerio de Ambiente, Vivienda y Desarrollo Territorial y el alcalde del municipio o distrito. En caso de concertación entre el alcalde y el Ministerio de Ambiente, Vivienda y Desarrollo Territorial, esta fase culminará con la suscripción de un convenio que contendrá al menos los siguientes aspectos: </w:t>
      </w:r>
    </w:p>
    <w:p w14:paraId="6489AA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6988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Objeto y plazo. </w:t>
      </w:r>
    </w:p>
    <w:p w14:paraId="3B9573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743D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Condiciones de cooperación y compromisos entre el Ministerio de Ambiente, Vivienda y Desarrollo Territorial y el alcalde del municipio o distrito. </w:t>
      </w:r>
    </w:p>
    <w:p w14:paraId="597158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59FC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Compromisos por parte del alcalde para agilizar el trámite de aprobación de los PIDU ante las distintas instancias. </w:t>
      </w:r>
    </w:p>
    <w:p w14:paraId="53300F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DCF2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Modificaciones técnicas acordadas entre las partes al proyecto de PIDU, de acuerdo con las observaciones presentadas por el municipio o distrito. </w:t>
      </w:r>
    </w:p>
    <w:p w14:paraId="3860CB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74D0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Compromiso que asumirá cada una de las partes para la ejecución del PIDU. </w:t>
      </w:r>
    </w:p>
    <w:p w14:paraId="40708D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FA0B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los PIDU Categoría 1, una vez suscrito el respectivo Convenio entre el Ministerio de Ambiente, Vivienda y Desarrollo Territorial y el alcalde del municipio o distrito, se adelantará el trámite de adopción, de acuerdo con lo dispuesto en el numeral 1 del artículo 2.2.4.3.4.4.1 del presente decreto. </w:t>
      </w:r>
    </w:p>
    <w:p w14:paraId="525684AA" w14:textId="2F0820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90" w:name="ver_30073852"/>
      <w:bookmarkEnd w:id="1190"/>
    </w:p>
    <w:p w14:paraId="5C2C5E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2.2.4.3.4.2.3 Participación democrática. La participación democrática en los PIDU que las personas interesadas en la respectiva operación urbana integral puedan presentar observaciones y recomendaciones al proyecto de PIDU. </w:t>
      </w:r>
    </w:p>
    <w:p w14:paraId="2D3EA2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DFF3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PIDU categoría 1, la participación democrática se garantizará de acuerdo con los mecanismos previstos por la Ley 388 de 1997 y demás normatividad vigente sobre la materia para el instrumento con el que se deba adoptar la respectiva operación urbana según el plan de ordenamiento territorial. </w:t>
      </w:r>
    </w:p>
    <w:p w14:paraId="687E48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AE1D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los PIDU Categoría 2, el proyecto de PIDU estará disponible durante todo el trámite de formulación en las instalaciones de la alcaldía del respectivo municipio o distrito. Una vez suscrito el Convenio entre el Ministerio de Ambiente, Vivienda y Desarrollo Territorial y el alcalde del municipio o distrito,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convocará, dentro de los dos (2) días siguientes a la suscripción del convenio, a una audiencia pública con el objeto de que los interesados presenten y expongan sus observaciones y recomendaciones. </w:t>
      </w:r>
    </w:p>
    <w:p w14:paraId="65C19E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F00611"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respuesta a las recomendaciones y observaciones presentadas por los interesados se resolverá concertadamente entre el Ministerio de Ambiente, Vivienda y Desarrollo Territorial y el alcalde del municipio previa la adopción del respectivo proyecto. </w:t>
      </w:r>
    </w:p>
    <w:p w14:paraId="4B30F510" w14:textId="77777777" w:rsidR="00AD58C2" w:rsidRPr="009342F9" w:rsidRDefault="00AD58C2" w:rsidP="00FC79C1">
      <w:pPr>
        <w:spacing w:after="0" w:line="240" w:lineRule="auto"/>
        <w:jc w:val="both"/>
        <w:rPr>
          <w:rFonts w:ascii="Arial" w:eastAsia="Times New Roman" w:hAnsi="Arial" w:cs="Arial"/>
          <w:color w:val="000000"/>
          <w:lang w:eastAsia="es-CO"/>
        </w:rPr>
      </w:pPr>
    </w:p>
    <w:p w14:paraId="3DBCBDC3" w14:textId="50108C38" w:rsidR="00FC79C1" w:rsidRPr="009342F9" w:rsidRDefault="00FC79C1" w:rsidP="00D4095E">
      <w:pPr>
        <w:spacing w:after="0" w:line="240" w:lineRule="auto"/>
        <w:jc w:val="center"/>
        <w:rPr>
          <w:rFonts w:ascii="Arial" w:eastAsia="Times New Roman" w:hAnsi="Arial" w:cs="Arial"/>
          <w:b/>
          <w:bCs/>
          <w:color w:val="000000"/>
          <w:lang w:eastAsia="es-CO"/>
        </w:rPr>
      </w:pPr>
      <w:bookmarkStart w:id="1191" w:name="ver_30073855"/>
      <w:bookmarkEnd w:id="1191"/>
      <w:r w:rsidRPr="009342F9">
        <w:rPr>
          <w:rFonts w:ascii="Arial" w:eastAsia="Times New Roman" w:hAnsi="Arial" w:cs="Arial"/>
          <w:b/>
          <w:bCs/>
          <w:color w:val="000000"/>
          <w:lang w:eastAsia="es-CO"/>
        </w:rPr>
        <w:t>SUBSECCIÓN 3</w:t>
      </w:r>
    </w:p>
    <w:p w14:paraId="0CC8AB7F"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TRÁMITES ADICIONALES PARA LOS PIDU CATEGORÍA 2</w:t>
      </w:r>
    </w:p>
    <w:p w14:paraId="0967EFD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92" w:name="ver_30073858"/>
      <w:bookmarkEnd w:id="1192"/>
    </w:p>
    <w:p w14:paraId="736806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2.2.4.3.4.3.1 Concertación con la autoridad ambiental. Para los PIDU Categoría 2, una vez suscrito el Convenio de que trata el presente artículo y surtida la etapa de participación democrática prevista en el artículo anterior, el Ministerio de Ambiente, Vivienda y Desarrollo Territorial, o el interesado en el PIDU, contará con diez (10) días hábiles para ajustar el Proyecto de PIDU y su correspondiente documento técnico de soporte, de conformidad con los acuerdos que resultaren del proceso de concertación con el alcalde del municipio o distrito. Una vez ajustado el proyecto, el Ministerio de Ambiente, Vivienda y Desarrollo Territorial lo someterá al proceso de concertación con la autoridad ambiental correspondiente, cuando considere que sea necesario definir la delimitación y reglamentación de las áreas de reserva y protección ambiental y demás condiciones para la protección y conservación de los recursos naturales y paisajísticos. </w:t>
      </w:r>
    </w:p>
    <w:p w14:paraId="78BF2A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C2D2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el Ministerio de Ambiente, Vivienda y Desarrollo Territorial radique el proyecto de PIDU y su documento técnico de soporte ante la autoridad ambiental correspondiente, esta dispondrá de un término de ocho (8) días hábiles, prorrogables por cuatro (4) días hábiles, para adelantar la concertación ambiental. </w:t>
      </w:r>
    </w:p>
    <w:p w14:paraId="450109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D17A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 autoridad ambiental no se hubiere pronunciado definitivamente, mediante acto administrativo dentro de este término o si habiéndose pronunciado no se lograra la concertación, le corresponderá al Ministerio de Ambiente, Vivienda y Desarrollo Territorial definir dichos asuntos ambientales, para lo que dispondrá de un término improrrogable de quince (15) días hábiles contados a partir del vencimiento del plazo anteriormente señalado. </w:t>
      </w:r>
    </w:p>
    <w:p w14:paraId="71B79950" w14:textId="25B8CBC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93" w:name="ver_30073861"/>
      <w:bookmarkEnd w:id="1193"/>
    </w:p>
    <w:p w14:paraId="2B8198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2.2.4.3.4.3.2 Aprobación de los usos del suelo. Culminado el proceso de concertación ambiental, cuando a ello hubiera lugar, el Ministerio de Ambiente, Vivienda y Desarrollo Territorial radicará el proyecto de PIDU definitivo con el correspondiente documento técnico de soporte ante el alcalde del municipio o distrito. </w:t>
      </w:r>
    </w:p>
    <w:p w14:paraId="25CF21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3C54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alcalde someterá a consideración del concejo municipal o distrital, dentro de los veinte (20) días hábiles siguientes al recibo de los documentos de formulación consolidados por el Ministerio de Ambiente, Vivienda y Desarrollo Territorial, un proyecto de acuerdo que contenga las modificaciones a las normas de uso y aprovechamiento del suelo del plan de ordenamiento territorial que se requieran para asegurar la viabilidad del respectivo PIDU. </w:t>
      </w:r>
    </w:p>
    <w:p w14:paraId="23824C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B7E5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evento en que el concejo estuviere en receso, el alcalde deberá convocarlo a sesiones extraordinarias. Toda modificación que pretenda introducir el Concejo al proyecto de Acuerdo deberá demostrar las ventajas de la misma sobre la solución de ordenamiento propuesta y contar con la aceptación previa y por escrito del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w:t>
      </w:r>
    </w:p>
    <w:p w14:paraId="21F4B9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7F64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Transcurridos veinte (20) días calendario desde la presentación de la propuesta de modificación a las normas del plan de ordenamiento sin que el Concejo Municipal o distrital apruebe las modificaciones al mismo,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podrá adoptarlo mediante decreto. </w:t>
      </w:r>
    </w:p>
    <w:p w14:paraId="66316D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4693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concordancia con lo dispuesto en el artículo 9 del Decreto Legislativo 4821 de 2010, la formulación del PIDU podrá incluir suelos que según clasificación del Instituto Geográfico Agustín Codazzi pertenezcan a las clases I, II o III, con el fin de incorporarlos al desarrollo urbano, siempre que no sea posible destinar al efecto, suelos de diferente calidad o condición. </w:t>
      </w:r>
    </w:p>
    <w:p w14:paraId="5B9368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E6D7CA" w14:textId="25E01FE1" w:rsidR="00FC79C1" w:rsidRPr="009342F9" w:rsidRDefault="00FC79C1" w:rsidP="00D4095E">
      <w:pPr>
        <w:spacing w:after="0" w:line="240" w:lineRule="auto"/>
        <w:jc w:val="center"/>
        <w:rPr>
          <w:rFonts w:ascii="Arial" w:eastAsia="Times New Roman" w:hAnsi="Arial" w:cs="Arial"/>
          <w:b/>
          <w:bCs/>
          <w:color w:val="000000"/>
          <w:lang w:eastAsia="es-CO"/>
        </w:rPr>
      </w:pPr>
      <w:bookmarkStart w:id="1194" w:name="ver_30073863"/>
      <w:bookmarkEnd w:id="1194"/>
      <w:r w:rsidRPr="009342F9">
        <w:rPr>
          <w:rFonts w:ascii="Arial" w:eastAsia="Times New Roman" w:hAnsi="Arial" w:cs="Arial"/>
          <w:b/>
          <w:bCs/>
          <w:color w:val="000000"/>
          <w:lang w:eastAsia="es-CO"/>
        </w:rPr>
        <w:t>SUBSECCIÓN 4</w:t>
      </w:r>
    </w:p>
    <w:p w14:paraId="10F1652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ADOPCIÓN</w:t>
      </w:r>
    </w:p>
    <w:p w14:paraId="17C2844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195" w:name="ver_30073865"/>
      <w:bookmarkEnd w:id="1195"/>
    </w:p>
    <w:p w14:paraId="1C595B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2.2.4.3.4.4.1 Adopción del PIDU. Cumplidos los trámites señalados en las fases precedentes, el Ministerio de Ambiente, Vivienda y Desarrollo Territorial adoptará mediante resolución el respectivo PIDU, así: </w:t>
      </w:r>
    </w:p>
    <w:p w14:paraId="2B2A6A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53D4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Adopción para PIDU categoría 1. Dentro de los diez (10) días hábiles siguientes a la suscripción del Convenio de que trata el artículo 2.2.4.3.4.2.2 del presente decreto, prorrogables hasta por un término adicional de diez días hábiles, el Ministerio de Ambiente, Vivienda y Desarrollo Territorial podrá adoptar mediante resolución el PIDU definitivo, a la cual se anexará el documento técnico soporte consolidado con las observaciones que hubiesen resultado pertinentes durante la fase de concertación con el municipio o distrito. </w:t>
      </w:r>
    </w:p>
    <w:p w14:paraId="4C1279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BF20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Adopción para PIDU categoría 2. Cumplidos los trámites señalados en los artículos 2.2.4.3.4.2.3 y 2.2.4.3.4.3.1 del presente decreto, el Ministerio de Ambiente, Vivienda y Desarrollo Territorial, previa verificación de la conveniencia de las eventuales modificaciones introducidas por el Concejo al proyecto de acuerdo sobre usos y aprovechamientos del suelo, podrá adoptar, dentro de los treinta (30) días hábiles siguientes a la aprobación de la modificación a las normas del plan de ordenamiento territorial, mediante resolución y con carácter definitivo, el PIDU con el documento técnico de soporte, consolidado con las modificaciones que hubiesen resultado pertinentes durante la fase de aprobación ante el respectivo Concejo municipal o distrital. </w:t>
      </w:r>
    </w:p>
    <w:p w14:paraId="4DA826DD" w14:textId="5F81EF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96" w:name="ver_30073867"/>
      <w:bookmarkEnd w:id="1196"/>
    </w:p>
    <w:p w14:paraId="46E7C9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2.2.4.3.4.4.2 Acto Administrativo mediante el cual se adopta el PIDU. La formulación del PIDU por parte del Ministerio de Ambiente, Vivienda y Desarrollo Territorial culminará con su adopción mediante resolución expedida por el Ministerio. El acto administrativo que adopta el PIDU tendrá, por lo menos, el siguiente contenido: </w:t>
      </w:r>
    </w:p>
    <w:p w14:paraId="4529E5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5559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Objetivos generales del PIDU. </w:t>
      </w:r>
    </w:p>
    <w:p w14:paraId="2C4733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89CA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delimitación del área de planificación, con su localización, límites, coordenadas, mojones e identificación predial del área a adoptar. </w:t>
      </w:r>
    </w:p>
    <w:p w14:paraId="3B2A83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FB92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Estructura urbana (sistema ambiental, sistema de servicios públicos, sistema vial y de transporte, sistema de espacio público y equipamientos). </w:t>
      </w:r>
    </w:p>
    <w:p w14:paraId="16250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0E9A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Mecanismos de mitigación de amenazas y riesgos en el PIDU si a ello hubiere lugar. </w:t>
      </w:r>
    </w:p>
    <w:p w14:paraId="3C5646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DF53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Normas urbanísticas. </w:t>
      </w:r>
    </w:p>
    <w:p w14:paraId="168F0E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1FAE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instrumentos de manejo del suelo, captación de plusvalías, reparto de cargas y beneficios, procedimientos de gestión, evaluación financiera de las obras de urbanización y su programa de ejecución, junto al programa de Financiamiento. </w:t>
      </w:r>
    </w:p>
    <w:p w14:paraId="1F86F7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DDE3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Mecanismos de seguimiento y control. </w:t>
      </w:r>
    </w:p>
    <w:p w14:paraId="366C44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8F3D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Harán parte integral de la resolución: </w:t>
      </w:r>
    </w:p>
    <w:p w14:paraId="7C3A14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318C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Plano que delimita mediante coordenadas geográficas el área de planificación del PIDU y demás cartografía anexa al documento técnico de soporte. </w:t>
      </w:r>
    </w:p>
    <w:p w14:paraId="16E708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43AA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Documento Técnico de Soporte de Formulación que dé cuenta de lo previsto en el artículo 2.2.4.3.4.1.2 del presente decreto. </w:t>
      </w:r>
    </w:p>
    <w:p w14:paraId="16EF48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C716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Una vez publicado en el Diario Oficial el acto administrativo por el cual se adopte un PIDU se enviará copia del mismo a los municipios, distritos y autoridades ambientales con jurisdicción en su área de </w:t>
      </w:r>
      <w:proofErr w:type="gramStart"/>
      <w:r w:rsidRPr="009342F9">
        <w:rPr>
          <w:rFonts w:ascii="Arial" w:eastAsia="Times New Roman" w:hAnsi="Arial" w:cs="Arial"/>
          <w:color w:val="000000"/>
          <w:lang w:eastAsia="es-CO"/>
        </w:rPr>
        <w:t>ejecución</w:t>
      </w:r>
      <w:proofErr w:type="gramEnd"/>
      <w:r w:rsidRPr="009342F9">
        <w:rPr>
          <w:rFonts w:ascii="Arial" w:eastAsia="Times New Roman" w:hAnsi="Arial" w:cs="Arial"/>
          <w:color w:val="000000"/>
          <w:lang w:eastAsia="es-CO"/>
        </w:rPr>
        <w:t xml:space="preserve"> así como a Fonvivienda. </w:t>
      </w:r>
    </w:p>
    <w:p w14:paraId="1D8C1FBF" w14:textId="122FF0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97" w:name="ver_30073871"/>
      <w:bookmarkEnd w:id="1197"/>
    </w:p>
    <w:p w14:paraId="23AAA9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2.2.4.3.4.4.3 Efectos de la adopción. De conformidad con lo previsto en el artículo 6 del Decreto 4821 de 2010, la adopción de los PIDU producirá los siguientes efectos: </w:t>
      </w:r>
    </w:p>
    <w:p w14:paraId="6523EF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B544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prevalencia de sus normas que constituirán determinantes de ordenamiento y serán, por tanto, de obligada observancia por parte de los municipios, distritos y autoridades ambientales en las posteriores revisiones y modificaciones de los planes de ordenamiento territorial. </w:t>
      </w:r>
    </w:p>
    <w:p w14:paraId="7B0E04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DBF1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La obligatoriedad del cumplimiento de sus disposiciones por todas las personas de derecho público y privado. Para el efecto, las licencias de urbanización y construcción y la ejecución de las actuaciones previstas en el </w:t>
      </w:r>
      <w:proofErr w:type="gramStart"/>
      <w:r w:rsidRPr="009342F9">
        <w:rPr>
          <w:rFonts w:ascii="Arial" w:eastAsia="Times New Roman" w:hAnsi="Arial" w:cs="Arial"/>
          <w:color w:val="000000"/>
          <w:lang w:eastAsia="es-CO"/>
        </w:rPr>
        <w:t>PIDU,</w:t>
      </w:r>
      <w:proofErr w:type="gramEnd"/>
      <w:r w:rsidRPr="009342F9">
        <w:rPr>
          <w:rFonts w:ascii="Arial" w:eastAsia="Times New Roman" w:hAnsi="Arial" w:cs="Arial"/>
          <w:color w:val="000000"/>
          <w:lang w:eastAsia="es-CO"/>
        </w:rPr>
        <w:t xml:space="preserve"> se otorgarán con sujeción a las normas adoptadas en los mismos. </w:t>
      </w:r>
    </w:p>
    <w:p w14:paraId="07CFE6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D342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destinación de los predios e inmuebles incluidos en su ámbito de planificación y/o gestión a los usos urbanos y aprovechamientos que resulten aplicables en virtud de las disposiciones del PIDU. </w:t>
      </w:r>
    </w:p>
    <w:p w14:paraId="3CA101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CC98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Los municipios y distritos en los cuales se ejecuten los PIDU serán los beneficiarios de la plusvalía que se pueda generar por la adopción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la cual deberá destinarse al desarrollo del PIDU para los fines descritos en el artículo 85 de la Ley 388 de 1997. </w:t>
      </w:r>
    </w:p>
    <w:p w14:paraId="4F110A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D2CD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áreas incluidas en un PIDU que no se encuentren en suelo urbano se considerarán incorporadas a esta clase de suelo cuando se acredite la calidad de áreas urbanizadas. Se entenderá que se encuentran urbanizadas las áreas cuyos predios cuenten con (i) la culminación de las obras y dotaciones a cargo del urbanizador sobre las zonas de cesión obligatoria contempladas en la respectiva licencia, de conformidad con las normas urbanísticas del respectivo PIDU; y, (ii) la entrega a satisfacción a los municipios y distritos y/o las empresas de servicios públicos domiciliarios correspondientes, de dichas obras y dotaciones, de acuerdo con la normatividad vigente sobre la materia. </w:t>
      </w:r>
    </w:p>
    <w:p w14:paraId="3994D453" w14:textId="3A10A77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198" w:name="ver_30073875"/>
      <w:bookmarkEnd w:id="1198"/>
    </w:p>
    <w:p w14:paraId="1DA255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2.2.4.3.4.4.4 Licencias urbanísticas para la ejecución de PIDU. Corresponderá a la autoridad municipal o distrital o a los curadores urbanos, según el caso, estudiar, tramitar y expedir la licencia de urbanización en aplicación y cumplimiento de las normas adoptadas en los PIDU. </w:t>
      </w:r>
    </w:p>
    <w:p w14:paraId="0CF81FC0"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199" w:name="ver_30073879"/>
      <w:bookmarkEnd w:id="1199"/>
    </w:p>
    <w:p w14:paraId="2E2435A3" w14:textId="2233C4EB"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5</w:t>
      </w:r>
    </w:p>
    <w:p w14:paraId="3E2A769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INSTRUMENTOS DE FINANCIACIÓN Y MECANISMOS DE GESTIÓN DEL DESARROLLO TERRITORIAL</w:t>
      </w:r>
    </w:p>
    <w:p w14:paraId="2BA8E05C" w14:textId="77777777" w:rsidR="00AD58C2" w:rsidRDefault="00AD58C2" w:rsidP="00D4095E">
      <w:pPr>
        <w:spacing w:after="0" w:line="240" w:lineRule="auto"/>
        <w:jc w:val="center"/>
        <w:rPr>
          <w:rFonts w:ascii="Arial" w:eastAsia="Times New Roman" w:hAnsi="Arial" w:cs="Arial"/>
          <w:b/>
          <w:bCs/>
          <w:color w:val="000000"/>
          <w:lang w:eastAsia="es-CO"/>
        </w:rPr>
      </w:pPr>
    </w:p>
    <w:p w14:paraId="7E1490E3" w14:textId="30363C02"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7607555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PARTICIPACIÓN EN PLUSVALÍA</w:t>
      </w:r>
    </w:p>
    <w:p w14:paraId="1261D4A2"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200" w:name="ver_30073882"/>
      <w:bookmarkEnd w:id="1200"/>
    </w:p>
    <w:p w14:paraId="4E26FF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2.2.5.1.1 Objeto y ámbito de aplicación. Las disposiciones contenidas en el presente capítulo reglamentan la estimación y liquidación de la participación en plusvalía en los procesos de urbanización y edificación de inmuebles. </w:t>
      </w:r>
    </w:p>
    <w:p w14:paraId="491A2C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87D5B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01" w:name="ver_30073893"/>
      <w:bookmarkEnd w:id="1201"/>
      <w:r w:rsidRPr="009342F9">
        <w:rPr>
          <w:rFonts w:ascii="Arial" w:eastAsia="Times New Roman" w:hAnsi="Arial" w:cs="Arial"/>
          <w:color w:val="000000"/>
          <w:lang w:eastAsia="es-CO"/>
        </w:rPr>
        <w:t>Artículo 2.2.5.1.2 Participación en plusvalía. De conformidad con lo dispuesto en el presente decreto, para el otorgamiento de licencias de urbanización y/o construcción y sus modalidades sobre predios sujetos al cobro de la participación en plusvalía por cualquiera de los hechos generadores de que trata el artículo 74 de la Ley 388 de 1997, las autoridades competentes sólo podrán expedir los respectivos actos administrativos cuando el interesado acredite el pago de la participación en plusvalía. </w:t>
      </w:r>
    </w:p>
    <w:p w14:paraId="701E3B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E320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para el cálculo y liquidación de la participación en plusvalía correspondiente sólo se tendrá en cuenta el número total de metros cuadrados destinados a un uso más rentable o a un mayor aprovechamiento del suelo, según los derechos de construcción y desarrollo otorgados en la respectiva licencia urbanística. </w:t>
      </w:r>
    </w:p>
    <w:p w14:paraId="69566479" w14:textId="77777777" w:rsidR="00C27507" w:rsidRDefault="00C27507" w:rsidP="00FC79C1">
      <w:pPr>
        <w:spacing w:after="0" w:line="240" w:lineRule="auto"/>
        <w:jc w:val="both"/>
        <w:rPr>
          <w:rFonts w:ascii="Arial" w:eastAsia="Times New Roman" w:hAnsi="Arial" w:cs="Arial"/>
          <w:color w:val="000000"/>
          <w:lang w:eastAsia="es-CO"/>
        </w:rPr>
      </w:pPr>
      <w:bookmarkStart w:id="1202" w:name="ver_30073896"/>
      <w:bookmarkEnd w:id="1202"/>
    </w:p>
    <w:p w14:paraId="559FD391" w14:textId="7C97DF1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2.2.5.1.3 Valores comerciales. Los valores comerciales antes de la acción urbanística a que hacen referencia los artículos 74, 75, 76 y 77 de la Ley 388 de 1997, serán ajustados a valor presente, aplicando el Índice de Precios al Consumidor, IPC, a la fecha de expedición del Plan de Ordenamiento Territorial, de su revisión o de la adopción de los instrumentos que lo desarrollan y complementan. </w:t>
      </w:r>
    </w:p>
    <w:p w14:paraId="7E2CD79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03" w:name="ver_30073899"/>
      <w:bookmarkEnd w:id="1203"/>
    </w:p>
    <w:p w14:paraId="1957FD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2.2.5.1.4 Cálculo plusvalía por mayor aprovechamiento del suelo de edificación. Para calcular el efecto de plusvalía previsto en el artículo 77 de la Ley 388 de 1997, en el caso de la autorización específica de un mayor aprovechamiento del suelo en edificación, se tendrá en cuenta la incidencia de la edificabilidad adicional autorizada sobre el valor del suelo. </w:t>
      </w:r>
    </w:p>
    <w:p w14:paraId="368F951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04" w:name="ver_30073901"/>
      <w:bookmarkEnd w:id="1204"/>
    </w:p>
    <w:p w14:paraId="3D57A0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2.2.5.1.5 Entidad o persona encargada de estimar el efecto de plusvalía. La estimación del efecto de plusvalía por metro cuadrado de suelo en cada una de las zonas o subzonas geoeconómicas homogéneas donde se concretan los hechos generadores será realizada por el Instituto Geográfico Agustín Codazzi, IGAC, los catastros descentralizados, o los peritos privados inscritos en Lonjas de Propiedad Raíz o instituciones análogas. </w:t>
      </w:r>
    </w:p>
    <w:p w14:paraId="65AA70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B4E2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o persona encargada de estimar el efecto de plusvalía establecerá un solo precio por metro cuadrado de los terrenos o de los inmuebles, según sea el caso, aplicable a toda la zona o subzona geoeconómica homogénea. </w:t>
      </w:r>
    </w:p>
    <w:p w14:paraId="7468C7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C07C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Para la estimación del efecto de plusvalía,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deberá anexar a la solicitud de que trata el artículo 80 de la Ley 388 de 1997 la siguiente documentación: </w:t>
      </w:r>
    </w:p>
    <w:p w14:paraId="5D80BF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427B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Copia de la reglamentación urbanística aplicable o existente en la zona o subzona beneficiaria de la participación en la plusvalía con anterioridad a la expedición del Plan de Ordenamiento Territorial o de los instrumentos que lo desarrollen. </w:t>
      </w:r>
    </w:p>
    <w:p w14:paraId="248471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F05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 las normas urbanísticas vigentes de las zonas o subzonas beneficiarias de las acciones urbanísticas generadoras de la participación en plusvalía con la cartografía correspondiente donde se delimiten las zonas o subzonas beneficiarias. </w:t>
      </w:r>
    </w:p>
    <w:p w14:paraId="2A4996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0E26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Para la determinación de las zonas geoeconómicas homogéneas de que trata el artículo el decreto único del sector del DANE relacionado con zonas o subzonas geoeconómicas homogénea, se podrá aplicar lo que para efecto </w:t>
      </w:r>
      <w:proofErr w:type="spellStart"/>
      <w:r w:rsidRPr="009342F9">
        <w:rPr>
          <w:rFonts w:ascii="Arial" w:eastAsia="Times New Roman" w:hAnsi="Arial" w:cs="Arial"/>
          <w:color w:val="000000"/>
          <w:lang w:eastAsia="es-CO"/>
        </w:rPr>
        <w:t>estableczca</w:t>
      </w:r>
      <w:proofErr w:type="spellEnd"/>
      <w:r w:rsidRPr="009342F9">
        <w:rPr>
          <w:rFonts w:ascii="Arial" w:eastAsia="Times New Roman" w:hAnsi="Arial" w:cs="Arial"/>
          <w:color w:val="000000"/>
          <w:lang w:eastAsia="es-CO"/>
        </w:rPr>
        <w:t xml:space="preserve"> el IGAC mediante resolución. </w:t>
      </w:r>
    </w:p>
    <w:p w14:paraId="0DF705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9C83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los municipios o distritos que antes de adoptar el Plan de Ordenamiento Territorial no se hubiere reglamentado el uso del suelo, el cálculo del efecto de plusvalía por cambio de uso o mayor aprovechamiento se estimará con base en el uso o aprovechamiento predominante antes de la expedición del Plan de Ordenamiento o del instrumento que lo desarrolle para cada zona o subzona geoeconómica homogénea determinada. Para el efecto, las Oficinas de Planeación o la dependencia que haga sus veces, certificarán los usos o aprovechamientos predominantes con base en la información catastral disponible, siempre y cuando esta última se encuentre actualizada en los términos del parágrafo 1 del artículo 79 de la Ley 223 de 1995 o la norma que la adicione, modifique o sustituya. </w:t>
      </w:r>
    </w:p>
    <w:p w14:paraId="1D1454DB" w14:textId="126547B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05" w:name="ver_30073902"/>
      <w:bookmarkEnd w:id="1205"/>
    </w:p>
    <w:p w14:paraId="300806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2.2.5.1.6 Plusvalía en proyectos por etapas. Cuando se solicite una licencia de urbanismo o de construcción para el desarrollo por etapas de un proyecto, la participación en plusvalía se hará exigible para la etapa autorizada por la respectiva licencia. </w:t>
      </w:r>
    </w:p>
    <w:p w14:paraId="08DE0AB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06" w:name="ver_30073903"/>
      <w:bookmarkEnd w:id="1206"/>
    </w:p>
    <w:p w14:paraId="494D11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2.2.5.1.7 Pago de participación de plusvalía. Para la expedición de licencias de urbanización o construcción y sus modalidades, tratándose de inmuebles beneficiados por el efecto de plusvalía, las autoridades competentes solo podrán expedir los respectivos actos administrativos cuando el interesado demuestre el pago de la participación en la plusvalía correspondiente al área autorizada. </w:t>
      </w:r>
    </w:p>
    <w:p w14:paraId="75A50EDB" w14:textId="1C7B93B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07" w:name="ver_30073904"/>
      <w:bookmarkEnd w:id="1207"/>
    </w:p>
    <w:p w14:paraId="5837CB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2.2.5.1.8 Participación en plusvalía. En cumplimiento de lo dispuesto en el artículo 82 de la Constitución Política, los municipios y distritos deberán tomar las medidas necesarias para implementar el cobro de la participación en plusvalías en aquellas áreas del suelo rural en donde se concreten los hechos generadores de que trata el artículo 74 de la Ley 388 de 1997, de acuerdo con lo que se estatuya formalmente en el respectivo plan de ordenamiento territorial o en los instrumentos que lo desarrollen. </w:t>
      </w:r>
    </w:p>
    <w:p w14:paraId="1EFB1851" w14:textId="52ABE39C"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08" w:name="ver_30073905"/>
      <w:bookmarkEnd w:id="1208"/>
    </w:p>
    <w:p w14:paraId="096FF906" w14:textId="25E6B6AF"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27B11494"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COMPENSACIONES</w:t>
      </w:r>
    </w:p>
    <w:p w14:paraId="4F6F2A7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09" w:name="ver_30073906"/>
      <w:bookmarkEnd w:id="1209"/>
    </w:p>
    <w:p w14:paraId="76BDC4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2.2.5.2.1 Compensaciones en el tratamiento de conservación. El reconocimiento y pago de las compensaciones previstas en la Ley 388 de 1997 y en el Decreto 151 de 1998 por la aplicación del tratamiento de conservación que se defina en los Planes de Ordenamiento Territorial o en los instrumentos que lo desarrollen, procederá exclusivamente cuando se limiten derechos de edificabilidad de determinados predios o inmuebles ubicados en el suelo urbano o de expansión urbana, conforme a la clasificación del suelo que haya establecido el respectivo municipio o distrito. </w:t>
      </w:r>
    </w:p>
    <w:p w14:paraId="691A84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6954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 en todo caso, a los municipios y distritos definir los mecanismos a través de los cuales se garantizará el pago de las compensaciones de los terrenos o inmuebles calificados de conservación, bien sea en los planes de ordenamiento territorial o en los instrumentos que lo desarrollen. </w:t>
      </w:r>
    </w:p>
    <w:p w14:paraId="18CB6C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FBAC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En ningún caso, pese a que se encuentren en suelo urbano o de expansión urbana, serán objeto de compensación, los terrenos o inmuebles que por sus características físicas, topográficas o geológicas sean inconstruibles ni aquellos que sean </w:t>
      </w:r>
      <w:proofErr w:type="gramStart"/>
      <w:r w:rsidRPr="009342F9">
        <w:rPr>
          <w:rFonts w:ascii="Arial" w:eastAsia="Times New Roman" w:hAnsi="Arial" w:cs="Arial"/>
          <w:color w:val="000000"/>
          <w:lang w:eastAsia="es-CO"/>
        </w:rPr>
        <w:t>declarados como</w:t>
      </w:r>
      <w:proofErr w:type="gramEnd"/>
      <w:r w:rsidRPr="009342F9">
        <w:rPr>
          <w:rFonts w:ascii="Arial" w:eastAsia="Times New Roman" w:hAnsi="Arial" w:cs="Arial"/>
          <w:color w:val="000000"/>
          <w:lang w:eastAsia="es-CO"/>
        </w:rPr>
        <w:t xml:space="preserve"> zonas de amenaza o riesgo. </w:t>
      </w:r>
    </w:p>
    <w:p w14:paraId="10B8992D" w14:textId="5185ADC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0" w:name="ver_30073908"/>
      <w:bookmarkEnd w:id="1210"/>
    </w:p>
    <w:p w14:paraId="14D8FD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2.2.5.2.2 Compensaciones mediante transferencia de derechos de construcción y desarrollo. De conformidad con lo establecido en el artículo 12 del Decreto 151 de 1998, la asignación de derechos transferibles de construcción y </w:t>
      </w:r>
      <w:proofErr w:type="gramStart"/>
      <w:r w:rsidRPr="009342F9">
        <w:rPr>
          <w:rFonts w:ascii="Arial" w:eastAsia="Times New Roman" w:hAnsi="Arial" w:cs="Arial"/>
          <w:color w:val="000000"/>
          <w:lang w:eastAsia="es-CO"/>
        </w:rPr>
        <w:t>desarrollo,</w:t>
      </w:r>
      <w:proofErr w:type="gramEnd"/>
      <w:r w:rsidRPr="009342F9">
        <w:rPr>
          <w:rFonts w:ascii="Arial" w:eastAsia="Times New Roman" w:hAnsi="Arial" w:cs="Arial"/>
          <w:color w:val="000000"/>
          <w:lang w:eastAsia="es-CO"/>
        </w:rPr>
        <w:t xml:space="preserve"> es uno de los mecanismos de que disponen los fondos de compensación municipal y distrital para efectuar el pago de las compensaciones a que haya lugar con ocasión de la aplicación del tratamiento urbanístico de conservación a determinados predios o inmuebles generadores de tales derechos. </w:t>
      </w:r>
    </w:p>
    <w:p w14:paraId="637D6E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0991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Tan sólo en el evento en que el municipio o distrito haya definido la transferencia de derechos de construcción y desarrollo como mecanismo para el pago de la compensación por el tratamiento </w:t>
      </w:r>
      <w:proofErr w:type="gramStart"/>
      <w:r w:rsidRPr="009342F9">
        <w:rPr>
          <w:rFonts w:ascii="Arial" w:eastAsia="Times New Roman" w:hAnsi="Arial" w:cs="Arial"/>
          <w:color w:val="000000"/>
          <w:lang w:eastAsia="es-CO"/>
        </w:rPr>
        <w:t>del conservación</w:t>
      </w:r>
      <w:proofErr w:type="gramEnd"/>
      <w:r w:rsidRPr="009342F9">
        <w:rPr>
          <w:rFonts w:ascii="Arial" w:eastAsia="Times New Roman" w:hAnsi="Arial" w:cs="Arial"/>
          <w:color w:val="000000"/>
          <w:lang w:eastAsia="es-CO"/>
        </w:rPr>
        <w:t>, en los términos que se establecen en los artículos 6, 7, 8, 9 y 10 del Decreto 151 de 1998, los propietarios de los terrenos a los cuales se haya asignado dicho tratamiento, podrán ser compensados mediante la asignación de derechos transferibles de construcción y desarrollo. </w:t>
      </w:r>
    </w:p>
    <w:p w14:paraId="3018BC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F7C5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respectivo municipio o Distrito no haya adoptado este mecanismo de compensación, garantizará que los propietarios de los predios o inmuebles a conservar sean objeto de otro tipo de estímulos, beneficios o formas de compensación en los términos que se establecen en el Decreto 151 de 1998 y en el presente capítulo. </w:t>
      </w:r>
    </w:p>
    <w:p w14:paraId="1F5F4C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F88F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municipios, sus entidades descentralizadas y las entidades que conforman el Sistema Nacional Ambiental mantendrán, en todos los casos, la posibilidad de adquirir los terrenos calificados por su normativa urbanística o ambiental como de conservación o protección ambiental. </w:t>
      </w:r>
    </w:p>
    <w:p w14:paraId="4BA1BD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EBFC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determinar el monto de la compensación en tratamientos de conservación ambiental, y de conformidad con lo establecido en el literal c) del artículo 11 del Decreto 151 de 1998, se entenderá por suelo urbanizable de conservación el área total del predio objeto del tratamiento de conservación, descontando la superficie correspondiente a eventuales afectaciones sobre el inmueble en razón del plan vial u otras obras públicas, así como el porcentaje correspondiente a las cesiones urbanísticas obligatorias de que hayan sido objeto los inmuebles colindantes que se tengan en cuenta para determinar el valor de la compensación. </w:t>
      </w:r>
    </w:p>
    <w:p w14:paraId="76464D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2391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edificios a conservar, el monto de la compensación se aplicará sobre el suelo edificable que corresponderá al área de suelo ocupado por la edificación sometida al tratamiento de conservación. </w:t>
      </w:r>
    </w:p>
    <w:p w14:paraId="3BF64617" w14:textId="70DB19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1" w:name="ver_30073910"/>
      <w:bookmarkEnd w:id="1211"/>
    </w:p>
    <w:p w14:paraId="71EBAE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2.2.5.2.3 Otros mecanismos para el pago de compensaciones. Algunos de los mecanismos de compensación que se pueden utilizar de manera alternativa o complementaria cuando no se opte por la asignación de derechos transferibles de construcción y desarrollo, son los siguientes: </w:t>
      </w:r>
    </w:p>
    <w:p w14:paraId="799276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C621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Asimilación de los inmuebles a los estratos 1 o 2 para efectos del pago del impuesto predial y demás gravámenes municipales o distritales que tengan como base gravable el avalúo o el </w:t>
      </w:r>
      <w:proofErr w:type="spellStart"/>
      <w:r w:rsidRPr="009342F9">
        <w:rPr>
          <w:rFonts w:ascii="Arial" w:eastAsia="Times New Roman" w:hAnsi="Arial" w:cs="Arial"/>
          <w:color w:val="000000"/>
          <w:lang w:eastAsia="es-CO"/>
        </w:rPr>
        <w:t>autoavalúo</w:t>
      </w:r>
      <w:proofErr w:type="spellEnd"/>
      <w:r w:rsidRPr="009342F9">
        <w:rPr>
          <w:rFonts w:ascii="Arial" w:eastAsia="Times New Roman" w:hAnsi="Arial" w:cs="Arial"/>
          <w:color w:val="000000"/>
          <w:lang w:eastAsia="es-CO"/>
        </w:rPr>
        <w:t>. </w:t>
      </w:r>
    </w:p>
    <w:p w14:paraId="05F9CE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7DE5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Asignación de tarifas reducidas de impuesto predial. </w:t>
      </w:r>
    </w:p>
    <w:p w14:paraId="07DE69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75DA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supuesto de zonas o áreas urbanas a conservar por su interés histórico o arquitectónico, donde las propiedades mantienen las características con fundamento en las cuales se declaró la conservación, se podrán aplicar los mecanismos de compensación de que trata el presente artículo. </w:t>
      </w:r>
    </w:p>
    <w:p w14:paraId="6486BBF3" w14:textId="07A82F9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2" w:name="ver_30073911"/>
      <w:bookmarkEnd w:id="1212"/>
    </w:p>
    <w:p w14:paraId="1FE551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2.2.5.2.4 Condiciones para el pago de las compensaciones. Las condiciones que deben cumplir los propietarios de los inmuebles para el pago de las </w:t>
      </w:r>
      <w:proofErr w:type="gramStart"/>
      <w:r w:rsidRPr="009342F9">
        <w:rPr>
          <w:rFonts w:ascii="Arial" w:eastAsia="Times New Roman" w:hAnsi="Arial" w:cs="Arial"/>
          <w:color w:val="000000"/>
          <w:lang w:eastAsia="es-CO"/>
        </w:rPr>
        <w:t>compensaciones,</w:t>
      </w:r>
      <w:proofErr w:type="gramEnd"/>
      <w:r w:rsidRPr="009342F9">
        <w:rPr>
          <w:rFonts w:ascii="Arial" w:eastAsia="Times New Roman" w:hAnsi="Arial" w:cs="Arial"/>
          <w:color w:val="000000"/>
          <w:lang w:eastAsia="es-CO"/>
        </w:rPr>
        <w:t xml:space="preserve"> son las siguientes: </w:t>
      </w:r>
    </w:p>
    <w:p w14:paraId="3B8162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AE6C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propietarios de los inmuebles deberán mantener y cumplir en todo momento con las condiciones y requisitos que se establezcan en la declaratoria de conservación. </w:t>
      </w:r>
    </w:p>
    <w:p w14:paraId="57891E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5D0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caso de estimarlo necesario, los municipios y distritos podrán condicionar el pago de la compensación, a la presentación, aprobación y ejecución por parte de los propietarios de un proyecto de recuperación íntegra del inmueble. Durante el estudio de los proyectos integrales de recuperación de inmuebles, se adelantará una visita técnica al predio y se consultarán los datos de archivo, documentación fotográfica y bibliográfica según sea el caso. </w:t>
      </w:r>
    </w:p>
    <w:p w14:paraId="064737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1BF9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Conforme lo dispuesto en el artículo 13 del Decreto 151 de 1998, los propietarios de inmuebles sometidos a tratamiento de conservación a quienes se hubieran pagado compensaciones, adquirirán la obligación de adoptar las medidas de conservación que se especifiquen para cada caso, y de no hacerlo, deberán devolver el monto de la compensación recibida actualizada en el índice de precios al consumidor más diez (10) puntos porcentuales anuales sin perjuicio de las otras sanciones aplicables al caso. </w:t>
      </w:r>
    </w:p>
    <w:p w14:paraId="3E7B09BB" w14:textId="04DAC3EA"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3" w:name="ver_30073913"/>
      <w:bookmarkEnd w:id="1213"/>
    </w:p>
    <w:p w14:paraId="0CFE1B0F" w14:textId="21E08C82"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0B60C8F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PROMOCIÓN, ANUNCIO Y/O DESARROLLO DE LAS ACTIVIDADES DE ENAJENACIÓN DE INMUEBLES</w:t>
      </w:r>
    </w:p>
    <w:p w14:paraId="1B0AA69E"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214" w:name="ver_30073916"/>
      <w:bookmarkEnd w:id="1214"/>
    </w:p>
    <w:p w14:paraId="02A6AA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2.2.5.3.1 Radicación de documentos. De conformidad con el artículo 185 del Decreto Ley 019 de 2012, los interesados en promocionar, anunciar y/o desarrollar las actividades de enajenación de inmuebles a que se refiere el artículo 2 del Decreto-ley 2610 de 1979 estarán obligados a radicar quince (15) días antes del inicio de dichas actividades los siguientes documentos ante la instancia de la administración municipal o distrital encargada de ejercer la vigilancia y control sobre las mencionadas actividades: </w:t>
      </w:r>
    </w:p>
    <w:p w14:paraId="4EEEA0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8810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Folio de matrícula inmobiliaria del inmueble o inmuebles objeto de la solicitud, cuya fecha de expedición no sea superior a tres (3) meses. </w:t>
      </w:r>
    </w:p>
    <w:p w14:paraId="05FC31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088F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 los modelos de contratos que se vayan a utilizar en la celebración de los negocios de enajenación de inmuebles con los adquirientes, a fin de comprobar la coherencia y validez de las cláusulas con el cumplimiento de las normas que civil y comercialmente regulen el contrato. </w:t>
      </w:r>
    </w:p>
    <w:p w14:paraId="5E6AB4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8A41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presupuesto financiero del proyecto. </w:t>
      </w:r>
    </w:p>
    <w:p w14:paraId="590818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9BB6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Licencia urbanística respectiva, salvo que se trate del sistema de preventas. </w:t>
      </w:r>
    </w:p>
    <w:p w14:paraId="3EC46C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908B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Cuando el inmueble en el cual ha de desarrollarse el plan o programa se encuentre gravado con hipoteca, ha de acreditarse que el acreedor hipotecario se obliga a liberar los lotes o construcciones que se vayan enajenando, mediante el pago proporcional del gravamen que afecte cada lote o construcción. </w:t>
      </w:r>
    </w:p>
    <w:p w14:paraId="144E83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26A9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Estos documentos estarán a disposición de los compradores de los planes de vivienda en todo momento con el objeto de que sobre ellos efectúen los estudios necesarios para determinar la conveniencia de la adquisición. </w:t>
      </w:r>
    </w:p>
    <w:p w14:paraId="1D4848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165E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ningún caso podrá exigirse la ejecución parcial o total de obras de urbanización o construcción, según sea el caso, como condición previa a la radicación de documentos de que trata el presente artículo. En el evento en que se requieran radicar nuevos documentos o se cambie alguna condición de los ya radicados, la autoridad municipal o distrital no podrá solicitar permiso, autorización o trámite adicional diferente a la simple radicación del nuevo documento. </w:t>
      </w:r>
    </w:p>
    <w:p w14:paraId="6A3B73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58F2B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15" w:name="ver_30073918"/>
      <w:bookmarkEnd w:id="1215"/>
      <w:r w:rsidRPr="009342F9">
        <w:rPr>
          <w:rFonts w:ascii="Arial" w:eastAsia="Times New Roman" w:hAnsi="Arial" w:cs="Arial"/>
          <w:color w:val="000000"/>
          <w:lang w:eastAsia="es-CO"/>
        </w:rPr>
        <w:t>Artículo 2.2.5.3.2 Revisión de los documentos presentados. La instancia municipal o distrital encargada de ejercer la vigilancia y control de las actividades de construcción y enajenación de inmuebles destinados a vivienda, revisará los documentos radicados con el fin de verificar la observancia de las disposiciones legales pertinentes y en caso de no encontrarlos de conformidad, podrá requerir al interesado en cualquier momento, para que los corrija o aclare, sin perjuicio de las acciones de carácter administrativo y policivo que se puedan adelantar. </w:t>
      </w:r>
    </w:p>
    <w:p w14:paraId="366458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9AA6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documentos de que trata el presente artículo estarán en todo momento a disposición de los compradores de los planes de vivienda, con el objeto de que sobre ellos se efectúen los estudios necesarios para determinar la conveniencia de la adquisición. </w:t>
      </w:r>
    </w:p>
    <w:p w14:paraId="07B12752" w14:textId="59A20B6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6" w:name="ver_30073920"/>
      <w:bookmarkEnd w:id="1216"/>
    </w:p>
    <w:p w14:paraId="323E36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2.2.5.3.3 Del registro único de proponentes. El interesado deberá presentar ante la instancia competente del municipio o distrito donde se encuentre el inmueble sobre el que se desarrollará el proyecto, copia del Registro Único de Proponentes actualizado, de conformidad con la normatividad vigente sobre la materia. </w:t>
      </w:r>
    </w:p>
    <w:p w14:paraId="17AC72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B47A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 en el respectivo año el interesado hubiese efectuado la radicación de este documento en el mismo municipio o distrito, no tendrá la obligación de presentarlo nuevamente. En tal caso, deberá suministrar la información necesaria para que las autoridades locales anexen al expediente copia del Registro Único de Proponentes previamente radicado. </w:t>
      </w:r>
    </w:p>
    <w:p w14:paraId="323142BE" w14:textId="6362E98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7" w:name="ver_30073923"/>
      <w:bookmarkEnd w:id="1217"/>
    </w:p>
    <w:p w14:paraId="26DA53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2.2.5.3.4 Del folio de matrícula inmobiliaria del inmueble o inmuebles objeto de la solicitud. El interesado aportará el certificado de libertad y tradición del predio o predios sobre los que se adelantará el plan de vivienda, cuya fecha de expedición no sea superior a tres (3) meses anteriores a la fecha de radicación. </w:t>
      </w:r>
    </w:p>
    <w:p w14:paraId="7CDFF5C2" w14:textId="306A035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8" w:name="ver_30073925"/>
      <w:bookmarkEnd w:id="1218"/>
    </w:p>
    <w:p w14:paraId="36E402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2.2.5.3.5 De los modelos de contratos que se vayan a utilizar en la celebración de los negocios. El interesado aportará copia de los modelos de los contratos que se vayan a suscribir para la enajenación de los inmuebles, con el fin de que la autoridad competente compruebe la coherencia y validez de las cláusulas y que se encuentren ajustadas a las normas civiles y comerciales. </w:t>
      </w:r>
    </w:p>
    <w:p w14:paraId="76BA89A8" w14:textId="40E746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19" w:name="ver_30073927"/>
      <w:bookmarkEnd w:id="1219"/>
    </w:p>
    <w:p w14:paraId="6D3FE1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2.2.5.3.6 De la licencia urbanística. El interesado presentará copia de la licencia urbanística respectiva, expedida por el curador urbano o la autoridad competente con jurisdicción en el municipio o distrito, en el lugar donde se adelantarán las actividades de promoción, anuncio y enajenación de inmuebles destinados a vivienda, la cual incluirá copia impresa de los planos aprobados, de conformidad con lo dispuesto en el Capítulo 1 del Título 6 del presente decreto. </w:t>
      </w:r>
    </w:p>
    <w:p w14:paraId="12DA1A3D" w14:textId="3B548C2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0" w:name="ver_30073930"/>
      <w:bookmarkEnd w:id="1220"/>
    </w:p>
    <w:p w14:paraId="542D61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2.2.5.3.7 Del presupuesto financiero del proyecto. El presupuesto financiero se expresará en moneda legal colombiana y deberá contener, por lo menos lo siguiente: </w:t>
      </w:r>
    </w:p>
    <w:p w14:paraId="6C0C5A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EEE5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Información General: Nombre o razón social e identificación de la persona natural o jurídica que ejecutará el plan o proyecto de vivienda, denominación del plan o proyecto; ubicación o dirección del inmueble; área total del lote; área de construcción autorizada; número y modalidad de unidades autorizadas, tales como, casas, apartamentos y lotes urbanizados, entre otros. </w:t>
      </w:r>
    </w:p>
    <w:p w14:paraId="57ECE5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1FC6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Información de costos: Precio del lote, total estimado de los costos financieros directos e indirectos, gastos de venta y estimativo del valor total del costo del proyecto. </w:t>
      </w:r>
    </w:p>
    <w:p w14:paraId="7C0D66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28AB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Información de Ventas: Valor estimado de venta. </w:t>
      </w:r>
    </w:p>
    <w:p w14:paraId="1838DD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91E9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Financiación: Señalamiento de los recursos con los cuales se cubrirá la totalidad de los costos y de su origen; tales como recursos propios, créditos, recaudo por ventas del proyecto y otros recursos, con sus correspondientes soportes contables. </w:t>
      </w:r>
    </w:p>
    <w:p w14:paraId="3E470EDE" w14:textId="042B71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1" w:name="ver_30073932"/>
      <w:bookmarkEnd w:id="1221"/>
    </w:p>
    <w:p w14:paraId="471237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2.2.5.3.8 De la acreditación de liberación de lotes o construcciones. En aquellos inmuebles gravados con hipoteca, el interesado deberá aportar el documento que acredite que el acreedor hipotecario se obliga a liberar los lotes o construcciones que se vayan enajenando, mediante el pago proporcional del gravamen que afecte cada lote o construcción. </w:t>
      </w:r>
    </w:p>
    <w:p w14:paraId="1F6262C3" w14:textId="484BDB4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2" w:name="ver_30073933"/>
      <w:bookmarkEnd w:id="1222"/>
    </w:p>
    <w:p w14:paraId="1C73A0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2.2.5.3.9 Del sistema de preventas. Cuando la actividad de promoción y anuncio de los proyectos de vivienda sea adelantada por personas naturales o jurídicas de derecho público o privado, mediante la administración de recursos por parte de entidades vigiladas por la superintendencia financiera, a través de encargos fiduciarios o fiducia mercantil en la que no exista captación directa de dinero del público por parte de dichas personas, el interesado deberá presentar los documentos señalados en el presente capítulo 15 días antes del inicio de la enajenación de los inmuebles destinados a vivienda. </w:t>
      </w:r>
    </w:p>
    <w:p w14:paraId="2B396607" w14:textId="6C817E6F"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bookmarkStart w:id="1223" w:name="ver_30073936"/>
      <w:bookmarkStart w:id="1224" w:name="ver_30073942"/>
      <w:bookmarkEnd w:id="1223"/>
      <w:bookmarkEnd w:id="1224"/>
    </w:p>
    <w:p w14:paraId="35990BBA" w14:textId="77777777" w:rsidR="005C5EEB" w:rsidRDefault="000D26CD" w:rsidP="000D26CD">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CAPÍTULO 4</w:t>
      </w:r>
    </w:p>
    <w:p w14:paraId="6F6BCC6E" w14:textId="77777777" w:rsidR="000D26CD" w:rsidRPr="000D26CD" w:rsidRDefault="000D26CD" w:rsidP="000D26CD">
      <w:pPr>
        <w:spacing w:after="0" w:line="240" w:lineRule="auto"/>
        <w:jc w:val="center"/>
        <w:rPr>
          <w:rFonts w:ascii="Arial" w:eastAsia="Times New Roman" w:hAnsi="Arial" w:cs="Arial"/>
          <w:color w:val="000000"/>
          <w:lang w:eastAsia="es-CO"/>
        </w:rPr>
      </w:pPr>
      <w:r w:rsidRPr="231E957E">
        <w:rPr>
          <w:rFonts w:ascii="Arial" w:eastAsia="Times New Roman" w:hAnsi="Arial" w:cs="Arial"/>
          <w:b/>
          <w:color w:val="000000" w:themeColor="text1"/>
          <w:lang w:eastAsia="es-CO"/>
        </w:rPr>
        <w:t>ANUNCIO DE PROGRAMAS, PROYECTOS U OBRAS DE UTILIDAD PÚBLICA O INTERÉS SOCIAL</w:t>
      </w:r>
    </w:p>
    <w:p w14:paraId="39D1601D" w14:textId="77777777" w:rsidR="000D26CD" w:rsidRPr="009342F9" w:rsidRDefault="000D26CD" w:rsidP="00FC79C1">
      <w:pPr>
        <w:spacing w:after="0" w:line="240" w:lineRule="auto"/>
        <w:jc w:val="both"/>
        <w:rPr>
          <w:rFonts w:ascii="Arial" w:eastAsia="Times New Roman" w:hAnsi="Arial" w:cs="Arial"/>
          <w:color w:val="000000"/>
          <w:lang w:eastAsia="es-CO"/>
        </w:rPr>
      </w:pPr>
    </w:p>
    <w:p w14:paraId="540BD6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2.2.5.4.1 Anuncio de proyectos, programas u obras que constituyan motivos de utilidad pública o interés social. Las entidades competentes para adquirir por enajenación voluntaria o decretar la expropiación de inmuebles para la ejecución de proyectos u obras de utilidad pública o interés social, harán el anuncio del respectivo programa, proyecto u obra, mediante acto administrativo de carácter general que deberá publicarse en los términos del artículo 65 del Código de Procedimiento Administrativo y de lo Contencioso Administrativo. </w:t>
      </w:r>
    </w:p>
    <w:p w14:paraId="652D59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BC53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todo caso, también se procederá al anuncio de que trata este Capítulo para la ejecución de programas, proyectos u obras de utilidad pública o interés social desarrollados mediante la concurrencia de terceros. </w:t>
      </w:r>
    </w:p>
    <w:p w14:paraId="2EDE40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59BD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el presente Capítulo se refiera a anuncio de proyecto se entenderá que se refiere al anuncio de programa, proyecto u obra de utilidad pública o interés social. </w:t>
      </w:r>
    </w:p>
    <w:p w14:paraId="09D74635" w14:textId="09A90D2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5" w:name="ver_30073943"/>
      <w:bookmarkEnd w:id="1225"/>
    </w:p>
    <w:p w14:paraId="22AD16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2.2.5.4.2 Efectos del anuncio del proyecto, programa u obra. De conformidad con lo dispuesto en el parágrafo 1° del artículo 61 de la Ley 388 de 1997, con el anuncio del proyecto se descontará del avalúo comercial de adquisición, el monto correspondiente a la plusvalía o mayor valor generado por el anuncio del proyecto, programa u obra, salvo aquellos casos en que los propietarios hubieren pagado la participación en plusvalía por obra pública o la contribución de valorización, según sea del caso. Para el efecto, se elaborarán avalúos de referencia en los cuales se debe tener en cuenta las condiciones físicas, jurídicas y económicas del suelo al momento del anuncio del proyecto, de acuerdo con la normativa vigente. </w:t>
      </w:r>
    </w:p>
    <w:p w14:paraId="27033C9C" w14:textId="5D2F029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6" w:name="ver_30073944"/>
      <w:bookmarkEnd w:id="1226"/>
    </w:p>
    <w:p w14:paraId="4238F3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2.2.5.4.3 Contenido del acto administrativo. El acto administrativo del anuncio del proyecto tendrá, por lo menos, el siguiente contenido: </w:t>
      </w:r>
    </w:p>
    <w:p w14:paraId="1DD042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A2D5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La descripción del proyecto, programa u obra que constituye el motivo de utilidad pública o interés social y, si es del caso, el instrumento normativo que lo </w:t>
      </w:r>
      <w:proofErr w:type="gramStart"/>
      <w:r w:rsidRPr="009342F9">
        <w:rPr>
          <w:rFonts w:ascii="Arial" w:eastAsia="Times New Roman" w:hAnsi="Arial" w:cs="Arial"/>
          <w:color w:val="000000"/>
          <w:lang w:eastAsia="es-CO"/>
        </w:rPr>
        <w:t>contempla,</w:t>
      </w:r>
      <w:proofErr w:type="gramEnd"/>
      <w:r w:rsidRPr="009342F9">
        <w:rPr>
          <w:rFonts w:ascii="Arial" w:eastAsia="Times New Roman" w:hAnsi="Arial" w:cs="Arial"/>
          <w:color w:val="000000"/>
          <w:lang w:eastAsia="es-CO"/>
        </w:rPr>
        <w:t xml:space="preserve"> decreta o aprueba. </w:t>
      </w:r>
    </w:p>
    <w:p w14:paraId="56D83F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0698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delimitación preliminar mediante coordenadas IGAC en planos a nivel predial (escala 1:2.000 o 1:5.000) de la zona en la cual se adelantará el proyecto, programa u obra que se anuncia. </w:t>
      </w:r>
    </w:p>
    <w:p w14:paraId="351D3C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AAF2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Los avalúos de referencia correspondientes al área descrita en el numeral anterior que obrarán como anexo del acto administrativo de anuncio del proyecto, o indicar la condición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el evento de no contar con los mencionados avalúos de referencia, la administración deberá ordenar y/o contratar la elaboración de los avalúos de referencia dentro de los seis (6) meses siguientes a la expedición del acto administrativo de anuncio. </w:t>
      </w:r>
    </w:p>
    <w:p w14:paraId="623483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9801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avalúos de referencia correspondientes al área descrita en el numeral 2 del presente artículo, no podrán tener un tiempo de expedición superior a un (1) año de anterioridad a la fecha de expedición del correspondiente acto administrativo de anuncio del proyecto. </w:t>
      </w:r>
    </w:p>
    <w:p w14:paraId="49799F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D6E9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acto administrativo del anuncio del proyecto no requerirá ser inscrito en los respectivos folios de matrícula inmobiliaria. </w:t>
      </w:r>
    </w:p>
    <w:p w14:paraId="24DAB6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A372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Por tratarse el acto administrativo del anuncio del proyecto de un acto de carácter general, no procederán recursos contra el mismo, de conformidad con lo previsto por el artículo 75 del Código de Procedimiento Administrativo y de lo Contencioso Administrativo. </w:t>
      </w:r>
    </w:p>
    <w:p w14:paraId="1A6F29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9035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acto administrativo de anuncio de los Macroproyectos de Interés Social Nacional de que trata la Ley 1469 de 2011 se regirá por lo dispuesto en el Capítulo 2 del Título 4 del presente decreto. </w:t>
      </w:r>
    </w:p>
    <w:p w14:paraId="1F3234A5" w14:textId="2644AE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7" w:name="ver_30073979"/>
      <w:bookmarkEnd w:id="1227"/>
    </w:p>
    <w:p w14:paraId="641A4F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2.2.5.4.4 Avalúos de referencia. Para los efectos del presente decreto se entiende por avalúo de referencia aquel destinado a definir el valor del suelo antes del anuncio del proyecto y que se realizará por zonas o subzonas geoeconómicas homogéneas. </w:t>
      </w:r>
    </w:p>
    <w:p w14:paraId="6064AB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24D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el fin de determinar el valor comercial del suelo antes del anuncio del proyecto, el cual servirá de base para identificar los incrementos en el valor del suelo generado por el respectivo anuncio, las entidades públicas competentes solicitarán la elaboración de avalúos de referencia por zonas o subzonas geoeconómicas homogéneas de acuerdo con lo establecido en la normatividad vigente sobre la materia. </w:t>
      </w:r>
    </w:p>
    <w:p w14:paraId="2070F5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7C1D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o persona encargada de elaborar los avalúos de referencia, de acuerdo con lo previsto en el artículo 27 del Decreto Ley número 2150 de 1995 o la norma que lo modifique, complemente o sustituya, establecerá el precio por metro cuadrado del suelo, para las zonas o subzonas geoeconómicas homogéneas, que resulten del estudio de valores de la zona donde se adelantará el programa, proyecto u obra, con arreglo a las condiciones físicas, jurídicas, económicas, de mercado inmobiliario y en especial con la normativa vigente al momento del anuncio del proyecto. </w:t>
      </w:r>
    </w:p>
    <w:p w14:paraId="3C74DA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F2A7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precio de adquisición será igual al valor del avalúo comercial, de conformidad con lo previsto por el artículo 61 de la Ley 388 de 1997. Por lo tanto, los avalúos de referencia no sustituyen la obligación de elaborar los avalúos comerciales para definir el precio de adquisición de los inmuebles. </w:t>
      </w:r>
    </w:p>
    <w:p w14:paraId="49FA0D16" w14:textId="25F995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8" w:name="ver_30073980"/>
      <w:bookmarkEnd w:id="1228"/>
    </w:p>
    <w:p w14:paraId="18D4DD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2.2.5.4.5 Procedimiento para el Cálculo del mayor valor generado por el anuncio del proyecto. Para efectos de realizar el cálculo del mayor valor generado por el anuncio del proyecto se deberá adelantar el siguiente procedimiento: </w:t>
      </w:r>
    </w:p>
    <w:p w14:paraId="394485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B8BA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Determinar el valor comercial del inmueble bajo las condiciones, físicas, económicas y normativas vigentes a la fecha de elaboración del avalúo comercial, en los términos de la Ley 388 de 1997, y las demás disposiciones vigentes sobre la materia. </w:t>
      </w:r>
    </w:p>
    <w:p w14:paraId="0DE9AA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37A0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Actualizar los avalúos de referencia mencionados en el presente Capítulo, tomando en consideración la variación habitual del valor del suelo de acuerdo con el mercado inmobiliario para las zonas o subzonas geoeconómicas homogéneas, tomadas en consideración para efectos de la elaboración de los avalúos de referencia a los que se refiere el artículo precedente, dentro del período comprendido entre el anuncio del proyecto y la fecha de elaboración del avalúo comercial de que trata el numeral anterior. Para tal efecto, el </w:t>
      </w:r>
      <w:proofErr w:type="spellStart"/>
      <w:r w:rsidRPr="009342F9">
        <w:rPr>
          <w:rFonts w:ascii="Arial" w:eastAsia="Times New Roman" w:hAnsi="Arial" w:cs="Arial"/>
          <w:color w:val="000000"/>
          <w:lang w:eastAsia="es-CO"/>
        </w:rPr>
        <w:t>avaluador</w:t>
      </w:r>
      <w:proofErr w:type="spellEnd"/>
      <w:r w:rsidRPr="009342F9">
        <w:rPr>
          <w:rFonts w:ascii="Arial" w:eastAsia="Times New Roman" w:hAnsi="Arial" w:cs="Arial"/>
          <w:color w:val="000000"/>
          <w:lang w:eastAsia="es-CO"/>
        </w:rPr>
        <w:t xml:space="preserve"> tendrá en cuenta, el Índice de Precios al Consumidor (IPC), el Índice de Valoración Predial (IVP), Índice de Valorización Inmobiliario Urbano y Rural (IVIUR), estudios de mercado y demás información disponible que le permita establecer el comportamiento del mercado inmobiliario. </w:t>
      </w:r>
    </w:p>
    <w:p w14:paraId="690E3A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F218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Determinar la diferencia entre los avalúos de referencia actualizados </w:t>
      </w:r>
      <w:proofErr w:type="gramStart"/>
      <w:r w:rsidRPr="009342F9">
        <w:rPr>
          <w:rFonts w:ascii="Arial" w:eastAsia="Times New Roman" w:hAnsi="Arial" w:cs="Arial"/>
          <w:color w:val="000000"/>
          <w:lang w:eastAsia="es-CO"/>
        </w:rPr>
        <w:t>de acuerdo al</w:t>
      </w:r>
      <w:proofErr w:type="gramEnd"/>
      <w:r w:rsidRPr="009342F9">
        <w:rPr>
          <w:rFonts w:ascii="Arial" w:eastAsia="Times New Roman" w:hAnsi="Arial" w:cs="Arial"/>
          <w:color w:val="000000"/>
          <w:lang w:eastAsia="es-CO"/>
        </w:rPr>
        <w:t xml:space="preserve"> numeral anterior con los valores del suelo fijados en lo avalúos comerciales a los que se refiere el numeral 1 del presente artículo. Si el valor del suelo de los avalúos comerciales resulta superior al valor del suelo de los avalúos de referencia actualizados, el mayor valor corresponderá al incremento generado por el anuncio del proyecto. </w:t>
      </w:r>
    </w:p>
    <w:p w14:paraId="1F9FB4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D05D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Identificado el mayor valor del suelo generado por el anuncio del proyecto, se procederá a su descuento del valor comercial del inmueble en los términos definidos por el parágrafo 1 del artículo 61 de la Ley 388 de 1997 y se determinará el precio de adquisición, salvo que el propietario haya pagado la participación en plusvalía o la contribución de valorización, según sea el caso, evento en el cual no se descontará el mayor valor del suelo generado por el anuncio del proyecto, para fijar el precio de adquisición. </w:t>
      </w:r>
    </w:p>
    <w:p w14:paraId="70AC06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85F619" w14:textId="77777777"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Parágrafo. Para efectos del presente Capítulo se entenderá por variación habitual del valor del suelo, aquél que se presenta en condiciones normales del mercado inmobiliario sin la actuación de la administración pública que anuncia el proyecto, programa u obra. </w:t>
      </w:r>
    </w:p>
    <w:p w14:paraId="5E6B87DA" w14:textId="4B281EB8"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29" w:name="ver_30073981"/>
      <w:bookmarkEnd w:id="1229"/>
    </w:p>
    <w:p w14:paraId="503A3889" w14:textId="2036C9B2"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5</w:t>
      </w:r>
    </w:p>
    <w:p w14:paraId="6497B230"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CONCURRENCIA DE TERCEROS EN LA ADQUISICIÓN DE INMUEBLES POR ENAJENACIÓN VOLUNTARIA Y EXPROPIACIÓN POR VÍA JUDICIAL O ADMINISTRATIVA</w:t>
      </w:r>
    </w:p>
    <w:p w14:paraId="2A9BD426"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230" w:name="ver_30073982"/>
      <w:bookmarkEnd w:id="1230"/>
    </w:p>
    <w:p w14:paraId="372681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2.2.5.5.1 Objeto. El presente decreto tiene por finalidad reglamentar las condiciones bajo los cuales los terceros podrán concurrir en la adquisición de predios o inmuebles, por enajenación voluntaria y/o expropiación por vía judicial o administrativa para la ejecución de proyectos de utilidad pública o interés social desarrollados directamente por particulares o mediante formas mixtas de asociación entre el sector público y el sector privado, de conformidad con los procedimientos previstos en las Leyes 9 de 1989 y 388 de 1997, para el efecto. </w:t>
      </w:r>
    </w:p>
    <w:p w14:paraId="2E9D7AB1" w14:textId="346A50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1" w:name="ver_30073983"/>
      <w:bookmarkEnd w:id="1231"/>
    </w:p>
    <w:p w14:paraId="6A7899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2.2.5.5.2 Proyectos en los cuales se acepta la concurrencia de terceros. En desarrollo de lo dispuesto en el artículo 61 A de la Ley 388 de 1997 sólo se aceptará la concurrencia de terceros para la adquisición de inmuebles y ejecución de obras, proyectos y programas referidos a: </w:t>
      </w:r>
    </w:p>
    <w:p w14:paraId="2F99AB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6141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Programas y proyectos de renovación urbana, de conformidad con los objetivos y usos del suelo establecidos en los planes de ordenamiento territorial. </w:t>
      </w:r>
    </w:p>
    <w:p w14:paraId="6F1C82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D214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Unidades de actuación urbanística, conforme lo previsto en el artículo 44 de la Ley 388 de 1997. </w:t>
      </w:r>
    </w:p>
    <w:p w14:paraId="1D5E48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157A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Actuaciones urbanas integrales formuladas de acuerdo con las directrices de las políticas y estrategias del respectivo plan de ordenamiento territorial, según lo previsto en los artículos 113 y siguientes de la Ley 388 de 1997. </w:t>
      </w:r>
    </w:p>
    <w:p w14:paraId="63F8CA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86E2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Macroproyectos de Interés Social Nacional (MISN) que se encuentren en curso de acuerdo con la Sentencia C-149 de 2010, y </w:t>
      </w:r>
    </w:p>
    <w:p w14:paraId="03B764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9E46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Proyectos Integrales de Desarrollo Urbano (PIDU). </w:t>
      </w:r>
    </w:p>
    <w:p w14:paraId="2BFE78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5697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programas y/o proyectos desarrollados en función de las actuaciones de los literales 1), 2) y 3) señalados anteriormente, deben estar localizados en municipios o distritos con población urbana superior a los quinientos mil habitantes y contar con un área superior a una (1) hectárea. </w:t>
      </w:r>
    </w:p>
    <w:p w14:paraId="00F7E7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6F60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todos los eventos se deberá acreditar técnicamente que el respectivo proyecto, programa u obra se ajusta a los objetivos y usos del suelo previstos en el plan de ordenamiento territorial o en los instrumentos que lo desarrollen y/o complementen. En el caso de las adquisiciones promovidas por las entidades del nivel nacional, departamental o metropolitano, las adquisiciones deberán estar en consonancia con los objetivos, programas y proyectos definidos en los planes de desarrollo correspondientes. </w:t>
      </w:r>
    </w:p>
    <w:p w14:paraId="5C8F4839" w14:textId="6F17FE4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2" w:name="ver_30073984"/>
      <w:bookmarkEnd w:id="1232"/>
    </w:p>
    <w:p w14:paraId="7FD2AA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2.2.5.5.3 Ejecución de unidades de actuación urbanística. La ejecución de unidades de actuación urbanística se regirá exclusivamente por lo dispuesto en el artículo 44 de la Ley 388 de 1997. En estos casos, la adquisición de predios o inmuebles, por enajenación voluntaria y/o expropiación por vía judicial o administrativa, con la concurrencia de terceros tendrá lugar cuando: </w:t>
      </w:r>
    </w:p>
    <w:p w14:paraId="4FE474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61B7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Se </w:t>
      </w:r>
      <w:proofErr w:type="gramStart"/>
      <w:r w:rsidRPr="009342F9">
        <w:rPr>
          <w:rFonts w:ascii="Arial" w:eastAsia="Times New Roman" w:hAnsi="Arial" w:cs="Arial"/>
          <w:color w:val="000000"/>
          <w:lang w:eastAsia="es-CO"/>
        </w:rPr>
        <w:t>dé inicio a</w:t>
      </w:r>
      <w:proofErr w:type="gramEnd"/>
      <w:r w:rsidRPr="009342F9">
        <w:rPr>
          <w:rFonts w:ascii="Arial" w:eastAsia="Times New Roman" w:hAnsi="Arial" w:cs="Arial"/>
          <w:color w:val="000000"/>
          <w:lang w:eastAsia="es-CO"/>
        </w:rPr>
        <w:t xml:space="preserve"> la ejecución de la unidad de actuación una vez hayan sido definidas las bases para la actuación, mediante el voto favorable de los propietarios que representen el cincuenta y uno por ciento (51 %) del área comprometida. </w:t>
      </w:r>
    </w:p>
    <w:p w14:paraId="61BE6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22B8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inmuebles de los propietarios renuentes serán objeto de los procesos de enajenación voluntaria y expropiación previstos en la Ley por parte de las entidades municipales o distritales competentes, quienes entrarán a formar parte de la asociación gestora de la actuación, sin perjuicio de que puedan transferir tales derechos a la misma. </w:t>
      </w:r>
    </w:p>
    <w:p w14:paraId="0C080D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FE6E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los casos de unidades de actuación de desarrollo prioritario, si en un plazo de seis (6) meses contados a partir de la delimitación de la unidad de actuación no se hubiese logrado el acuerdo que defina las bases para la actuación. </w:t>
      </w:r>
    </w:p>
    <w:p w14:paraId="5ADF9F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07D7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administración podrá optar por la expropiación administrativa de los inmuebles correspondientes o por la enajenación forzosa de los mismos, de conformidad con lo previsto en el Capítulo VIII de la Ley 388 de 1997 o la norma que la adicione, modifique o sustituya. En todo caso, los inmuebles expropiados podrán formar parte de la asociación gestora de la actuación y los recursos para su adquisición podrán provenir de esta. </w:t>
      </w:r>
    </w:p>
    <w:p w14:paraId="53D16F71" w14:textId="51E2D30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3" w:name="ver_30073985"/>
      <w:bookmarkEnd w:id="1233"/>
    </w:p>
    <w:p w14:paraId="24AD2D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2.2.5.5.4 Contrato o convenio para la concurrencia de terceros. Será procedente la concurrencia de terceros en la adquisición de inmuebles por enajenación voluntaria y expropiación, siempre que medie la celebración previa de un contrato o convenio, entre la entidad expropiante y el tercero concurrente, en el que se prevean, por lo menos, los siguientes aspectos: </w:t>
      </w:r>
    </w:p>
    <w:p w14:paraId="22BFEC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E938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objeto del contrato o convenio contendrá la descripción y especificaciones de la actuación a ejecutar, y la determinación de los inmuebles o la parte de ellos a adquirir. </w:t>
      </w:r>
    </w:p>
    <w:p w14:paraId="093777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E909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obligación clara e inequívoca de los terceros concurrentes con la entidad pública de destinar los inmuebles para los fines de utilidad pública para los que fueron adquiridos dentro de los términos previstos en la ley. </w:t>
      </w:r>
    </w:p>
    <w:p w14:paraId="1A246A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22A6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relación entre el objeto misional de la entidad competente y los motivos de utilidad pública o interés social invocados para adquirir los inmuebles. </w:t>
      </w:r>
    </w:p>
    <w:p w14:paraId="06519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1352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obligación a cargo del tercero concurrente de aportar los recursos necesarios para adelantar la adquisición predial, indicando la estimación de las sumas de dinero a su cargo que además del valor de adquisición o precio indemnizatorio incluirá todos los costos asociados a la elaboración de los estudios técnicos, jurídicos, sociales y económicos en los que se fundamentará la adquisición predial, incluyendo los costos administrativos en que incurran las entidades públicas. </w:t>
      </w:r>
    </w:p>
    <w:p w14:paraId="175883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AC03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obligación de cubrir el aumento del valor del bien expropiado y las indemnizaciones decretados por el juez competente, si este fuere el caso. </w:t>
      </w:r>
    </w:p>
    <w:p w14:paraId="1700E7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AAF1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remuneración de la entidad pública expropiante para cubrir los gastos y honorarios a que haya lugar. </w:t>
      </w:r>
    </w:p>
    <w:p w14:paraId="70FF70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935B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La obligación de los terceros concurrentes de constituir, a su cargo, una fiducia para la administración de los recursos que aporten. </w:t>
      </w:r>
    </w:p>
    <w:p w14:paraId="3A2AC4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C9CB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La obligación por parte del tercero concurrente de aportar la totalidad de los recursos necesarios, antes de expedir la oferta de compra con la que se inicia formalmente el proceso de adquisición. </w:t>
      </w:r>
    </w:p>
    <w:p w14:paraId="797E42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BD9D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La determinación expresa de la obligación del tercero concurrente de acudir por llamamiento en garantía o como litisconsorte necesario en los procesos que se adelanten contra la entidad adquirente por cuenta de los procesos de adquisición predial a los que se refiere el presente artículo. </w:t>
      </w:r>
    </w:p>
    <w:p w14:paraId="345019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F7F9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En cualquier caso, el tercero mantendrá indemne a la entidad expropiante por las obligaciones derivadas del contrato o convenio. </w:t>
      </w:r>
    </w:p>
    <w:p w14:paraId="74BCC0FE" w14:textId="72D0CED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4" w:name="ver_30073986"/>
      <w:bookmarkEnd w:id="1234"/>
    </w:p>
    <w:p w14:paraId="0844D7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2.2.5.5.5 Tradición. Siempre que se trate de actuaciones desarrolladas directamente por particulares y cuando la totalidad de los recursos para la adquisición provengan de su participación, el contrato o convenio estipulará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una vez concluido el proceso de enajenación voluntaria y expropiación judicial y administrativa, el titular del derecho de dominio pasará a ser el tercero concurrente y como tal se inscribirá en el folio de matrícula inmobiliaria del respectivo inmueble. </w:t>
      </w:r>
    </w:p>
    <w:p w14:paraId="54015E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9068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titularidad del derecho de dominio de los inmuebles adquiridos por enajenación voluntaria o forzosa por vía judicial o administrativa, para los efectos descritos, en ningún momento entrará a formar parte de los bienes de la entidad expropiante, salvo que concurran recursos públicos y privados para la adquisición de los inmuebles, evento en el cual la titularidad del derecho de dominio será de la entidad. </w:t>
      </w:r>
    </w:p>
    <w:p w14:paraId="35AAEAE6" w14:textId="07AE19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5" w:name="ver_30073987"/>
      <w:bookmarkEnd w:id="1235"/>
    </w:p>
    <w:p w14:paraId="790254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2.2.5.5.6 Precio indemnizatorio. Si durante el proceso de expropiación judicial, el precio indemnizatorio que decrete el juez corresponde a un valor superior al contemplado en la oferta de compra, corresponderá al tercero concurrente pagar la suma adicional para cubrir el total de la indemnización. </w:t>
      </w:r>
    </w:p>
    <w:p w14:paraId="698278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5B47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procederá de la misma manera cuando el precio indemnizatorio reconocido dentro del procedimiento de expropiación administrativa sea controvertido mediante la acción especial contencioso-administrativa de que trata el artículo 71 de la Ley 388 de 1997 o la norma que lo adicione, modifique o sustituya. </w:t>
      </w:r>
    </w:p>
    <w:p w14:paraId="611722BF" w14:textId="2963DA1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6" w:name="ver_30073988"/>
      <w:bookmarkEnd w:id="1236"/>
    </w:p>
    <w:p w14:paraId="4F9CD7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2.2.5.5.7 Forma de pago del precio o valor indemnizatorio en programas de renovación urbana. En los casos de enajenación voluntaria o expropiación de inmuebles para el desarrollo de programas de renovación urbana, el precio de adquisición o indemnizatorio se podrá pagar en la forma que define el artículo 119 de la Ley 388 de 1997 o la norma que lo adicione, modifique o sustituya. </w:t>
      </w:r>
    </w:p>
    <w:p w14:paraId="7FF377E5" w14:textId="6B6816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7" w:name="ver_30073989"/>
      <w:bookmarkEnd w:id="1237"/>
    </w:p>
    <w:p w14:paraId="3A4B91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2.2.5.5.8 Término para ejecución de los proyectos para los cuales se adquiere los inmuebles. Cuando el inmueble se adquiera mediante el procedimiento de expropiación administrativa, el tercero concurrente deberá utilizarlo para los fines de utilidad pública o de interés social que hayan sido invocados, en un término máximo de tres (3) años contados a partir de la fecha de inscripción del derecho real de dominio a favor de la entidad pública o del tercero en la Oficina de Registro de Instrumentos Públicos, según sea el caso. Si así no lo hicieren, se dará aplicación al numeral 5 del artículo 70 de la Ley 388 de 1997 o la norma que lo adicione, modifique o sustituya. </w:t>
      </w:r>
    </w:p>
    <w:p w14:paraId="000DC8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C4B2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conformidad con lo previsto en el artículo 33 de la Ley 9a de 1989, cuando el inmueble se adquiera mediante el procedimiento de adquisición voluntaria o expropiación judicial, el tercero concurrente deberá utilizarlo para los fines de utilidad pública o interés social que hayan sido invocados, en un término máximo de cinco (5) años, contados a partir de la fecha de inscripción del derecho real de dominio a favor de la entidad pública o del tercero en la Oficina de Registro de Instrumentos Públicos, según sea el caso. Si así no lo hicieren, se dará aplicación a lo previsto en los artículos 33 y 34 de la Ley 9 de 1989 o la norma que lo adicione, modifique o sustituya. </w:t>
      </w:r>
    </w:p>
    <w:p w14:paraId="0449D45B" w14:textId="637D59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38" w:name="ver_30073990"/>
      <w:bookmarkEnd w:id="1238"/>
    </w:p>
    <w:p w14:paraId="1F6463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2.2.5.5.9 Selección del tercero concurrente. En el caso de proyectos cuya iniciativa sea de las entidades territoriales y que concurran con sus recursos para la adquisición de los inmuebles, o la iniciativa sea de terceros no propietarios de alguno de los inmuebles objeto de las actuaciones contempladas en los literales 1) y 2) del artículo 2 del presente Capítulo, la selección de los terceros concurrentes se realizará aplicando los criterios de selección objetiva que define la normativa vigente. Cuando el tercero promotor de la iniciativa no resulte adjudicatario, quien resulte elegido le deberá reconocer los gastos de formulación del proyecto, los cuales deberán quedar definidos previamente a la apertura del proceso contractual. </w:t>
      </w:r>
    </w:p>
    <w:p w14:paraId="6936EB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E9E2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conformidad con la ley, se exceptúa de este proceso de selección las unidades de actuación urbanística. </w:t>
      </w:r>
    </w:p>
    <w:p w14:paraId="7DFF91D0" w14:textId="630712B1" w:rsidR="00D4095E"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bookmarkStart w:id="1239" w:name="ver_30073991"/>
      <w:bookmarkEnd w:id="1239"/>
    </w:p>
    <w:p w14:paraId="1D59787B" w14:textId="2E0F100B"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6</w:t>
      </w:r>
    </w:p>
    <w:p w14:paraId="0C6FD0DE" w14:textId="77777777"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IMPLEMENTACIÓN Y CONTROL DEL DESARROLLO TERRITORIAL</w:t>
      </w:r>
    </w:p>
    <w:p w14:paraId="053FCF9E" w14:textId="77777777" w:rsidR="005C5EEB" w:rsidRPr="009342F9" w:rsidRDefault="005C5EEB" w:rsidP="00D4095E">
      <w:pPr>
        <w:spacing w:after="0" w:line="240" w:lineRule="auto"/>
        <w:jc w:val="center"/>
        <w:rPr>
          <w:rFonts w:ascii="Arial" w:eastAsia="Times New Roman" w:hAnsi="Arial" w:cs="Arial"/>
          <w:b/>
          <w:bCs/>
          <w:color w:val="000000"/>
          <w:lang w:eastAsia="es-CO"/>
        </w:rPr>
      </w:pPr>
    </w:p>
    <w:p w14:paraId="38AC8162"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4CEC50F0" w14:textId="77777777"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LICENCIAS URBANÍSTICAS</w:t>
      </w:r>
    </w:p>
    <w:p w14:paraId="32CCBABA" w14:textId="77777777" w:rsidR="005C5EEB" w:rsidRPr="009342F9" w:rsidRDefault="005C5EEB" w:rsidP="00D4095E">
      <w:pPr>
        <w:spacing w:after="0" w:line="240" w:lineRule="auto"/>
        <w:jc w:val="center"/>
        <w:rPr>
          <w:rFonts w:ascii="Arial" w:eastAsia="Times New Roman" w:hAnsi="Arial" w:cs="Arial"/>
          <w:b/>
          <w:bCs/>
          <w:color w:val="000000"/>
          <w:lang w:eastAsia="es-CO"/>
        </w:rPr>
      </w:pPr>
    </w:p>
    <w:p w14:paraId="20E9D3D7" w14:textId="732433F4"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4570B1FA"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DEFINICIÓN Y CLASES DE LICENCIAS URBANÍSTICAS</w:t>
      </w:r>
    </w:p>
    <w:p w14:paraId="0F68999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40" w:name="ver_30125147"/>
      <w:bookmarkStart w:id="1241" w:name="ver_30109489"/>
      <w:bookmarkStart w:id="1242" w:name="ver_30109490"/>
      <w:bookmarkEnd w:id="1240"/>
    </w:p>
    <w:p w14:paraId="3AD9F5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2.2.6.1.1.1. Licencia urbanística. Es la autorización previa para adelantar obras de urbanización y parcelación de predios, de construcción y demolición de edificaciones, de intervención y ocupación del espacio público, y para realizar el loteo o subdivisión de predios, expedida por el curador urbano o la autoridad municipal competente, en cumplimiento de las normas urbanísticas y de edificación adoptadas en el Plan de Ordenamiento Territorial, en los instrumentos que lo desarrollen o complementen, en los Planes Especiales de Manejo y Protección (PEMP) y en las leyes y demás disposiciones que expida el Gobierno nacional.  </w:t>
      </w:r>
    </w:p>
    <w:p w14:paraId="569AC5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966C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expedición de la licencia urbanística implica la certificación del cumplimiento de las normas y demás reglamentaciones en que se fundamenta y conlleva la autorización específica sobre uso y aprovechamiento del suelo.  </w:t>
      </w:r>
    </w:p>
    <w:p w14:paraId="47DE96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49E9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licencias urbanísticas y sus modalidades podrán ser objeto de prórrogas y modificaciones.  </w:t>
      </w:r>
    </w:p>
    <w:p w14:paraId="4B9035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5DC9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Se entiende por prórroga de la licencia la ampliación del término de vigencia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Se entiende por modificación de la licencia, la introducción de cambios urbanísticos, arquitectónicos o estructurales a un proyecto con licencia vigente, siempre y cuando cumplan con las normas urbanísticas, arquitectónicas y estructurales y no se afecten espacios de propiedad pública.  </w:t>
      </w:r>
    </w:p>
    <w:p w14:paraId="07050A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7586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modificaciones de licencias vigentes se resolverán con fundamento en las normas urbanísticas y demás reglamentaciones que sirvieron de base para su expedición. En los eventos en que haya cambio de dicha normatividad y se pretenda modificar una licencia vigente, se deberá mantener el uso o usos aprobados en la licencia respectiva.  </w:t>
      </w:r>
    </w:p>
    <w:p w14:paraId="22B979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7E5A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La modificación de licencias urbanísticas vigentes expedidas con base en normas y reglamentaciones que hayan sido suspendidas provisionalmente por la jurisdicción de lo Contencioso Administrativo, se continuarán resolviendo con fundamento en las normas suspendidas siempre y cuando las solicitudes de modificación se presenten a partir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Ley 1753 de 2015 y en la providencia que adoptó la suspensión provisional no se haya incluido disposición en contrario. En tratándose de licencias de parcelación o urbanización, para la expedición de licencias de construcción sobre sus áreas útiles se dará aplicación a lo dispuesto en el parágrafo 4 del artículo 2.2.6.1.1.7 Decreto Único Reglamentario 1077 de 2015, o la norma que lo adicione, modifique o sustituya”. </w:t>
      </w:r>
    </w:p>
    <w:p w14:paraId="4A640E70" w14:textId="77777777" w:rsidR="00FC79C1" w:rsidRPr="009342F9" w:rsidRDefault="00FC79C1" w:rsidP="00FC79C1">
      <w:pPr>
        <w:spacing w:after="0" w:line="240" w:lineRule="auto"/>
        <w:jc w:val="both"/>
        <w:rPr>
          <w:rFonts w:ascii="Arial" w:eastAsia="Times New Roman" w:hAnsi="Arial" w:cs="Arial"/>
          <w:color w:val="000000"/>
          <w:lang w:eastAsia="es-CO"/>
        </w:rPr>
      </w:pPr>
    </w:p>
    <w:bookmarkEnd w:id="1241"/>
    <w:bookmarkEnd w:id="1242"/>
    <w:p w14:paraId="26E0A3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2.2.6.1.1.2 Clases de licencias. Las licencias urbanísticas serán de: </w:t>
      </w:r>
    </w:p>
    <w:p w14:paraId="12FBE7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F951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Urbanización. </w:t>
      </w:r>
    </w:p>
    <w:p w14:paraId="4BB8C9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166B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Parcelación. </w:t>
      </w:r>
    </w:p>
    <w:p w14:paraId="76156C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EC52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Subdivisión. </w:t>
      </w:r>
    </w:p>
    <w:p w14:paraId="3B12DF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08DA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Construcción. </w:t>
      </w:r>
    </w:p>
    <w:p w14:paraId="14AD85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D787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Intervención y ocupación del espacio público. </w:t>
      </w:r>
    </w:p>
    <w:p w14:paraId="6A71DE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7084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expedición de las licencias de urbanización, parcelación y construcción conlleva la autorización para el cerramiento temporal del predio durante la ejecución de las obras autorizadas. En estos casos, el cerramiento no dará lugar al cobro de expensa. </w:t>
      </w:r>
    </w:p>
    <w:p w14:paraId="2D272685" w14:textId="246E32B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43" w:name="ver_30073994"/>
      <w:bookmarkEnd w:id="1243"/>
    </w:p>
    <w:p w14:paraId="51FD95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2.2.6.1.1.3 Competencia. El estudio, trámite y expedición de las licencias de urbanización, parcelación, subdivisión y construcción de que tratan los numerales 1 a 4 del artículo anterior corresponde a los curadores urbanos en aquellos municipios y distritos que cuenten con la figura. En los demás municipios y distritos y en el departamento Archipiélago de San Andrés, Providencia y Santa Catalina corresponde a la autoridad municipal o distrital competente. </w:t>
      </w:r>
    </w:p>
    <w:p w14:paraId="0850EF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0F99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expedición de las licencias de intervención y ocupación del espacio público de que trata el numeral 5 del artículo anterior será competencia de los municipios y distritos. No obstante, los curadores urbanos al expedir licencias de construcción para predios que se ubiquen en sectores urbanizados o desarrollados podrán autorizar la reconstrucción o rehabilitación de los andenes colindantes con el predio o predios objeto de licencia, la cual se otorgará siguiendo las normas y demás especificaciones de diseño, construcción y accesibilidad definidas por la reglamentación vigente para la intervención del espacio público. Sin perjuicio de lo anterior, en ningún caso se podrá desmejorar las condiciones existentes en el espacio público antes de la ejecución de la obra. </w:t>
      </w:r>
    </w:p>
    <w:p w14:paraId="0963F241" w14:textId="722284B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44" w:name="ver_30109492"/>
      <w:bookmarkStart w:id="1245" w:name="ver_30109491"/>
      <w:bookmarkEnd w:id="1244"/>
    </w:p>
    <w:p w14:paraId="5A5170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2.2.6.1.1.4. Licencia de urbanización. Es la autorización previa para ejecutar en uno o varios predios localizados en suelo urbano, la creación de espacios públicos y privados, así como las vías públicas y la ejecución de obras de infraestructura de servicios públicos domiciliarios que permitan la adecuación, dotación y subdivisión de estos terrenos para la futura construcción de edificaciones con destino a usos urbanos, de conformidad con el Plan de Ordenamiento Territorial, los instrumentos que lo desarrollen y complementen, las leyes y demás reglamentaciones que expida el Gobierno nacional. </w:t>
      </w:r>
    </w:p>
    <w:p w14:paraId="01480E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6848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licencias de urbanización concretan el marco normativo general sobre usos, edificabilidad, volumetría, accesibilidad y demás aspectos técnicos con base en el cual se expedirán las licencias de construcción para obra nueva en los predios resultantes de la urbanización. Con la licencia de urbanización se aprobará el plano urbanístico, el cual contendrá la representación gráfica de la urbanización, identificando todos los elementos que la componen para facilitar su comprensión, tales como: afectaciones, cesiones públicas para parques, equipamientos y vías locales, áreas útiles y el cuadro de áreas en el que se cuantifique las dimensiones de cada uno de los anteriores elementos y se haga su amojonamiento. Son modalidades de la licencia de urbanización las siguientes: </w:t>
      </w:r>
    </w:p>
    <w:p w14:paraId="6FA704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525F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Desarrollo. Es la autorización para adelantar obras de urbanización en uno o varios predios urbanizables no urbanizados en los cuales se permiten las actuaciones de urbanización, o que aun cuando contaron con licencia urbanística no ejecutaron las obras de urbanización aprobadas en la misma. Se otorgan aplicando las normas del tratamiento de desarrollo. </w:t>
      </w:r>
    </w:p>
    <w:p w14:paraId="742B6A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99B2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Saneamiento. Es la autorización para ejecutar vías, parques, infraestructura de servicios públicos domiciliarios y demás zonas de cesión aprobadas en licencias urbanísticas vencidas, con el único fin de que se culmine la construcción y dotación de las zonas de cesión pública, y el proceso de entrega y escrituración a favor del municipio o distrito. Solo procede cuando las obras de urbanismo faltantes por ejecutar no superen el 20% del área total de las cesiones definidas para la respectiva urbanización. Esta licencia se resolverá con fundamento en las mismas normas urbanísticas y demás reglamentaciones que sirvieron para expedir la licencia de urbanización vencida con la que se desarrolló el resto de la urbanización. </w:t>
      </w:r>
    </w:p>
    <w:p w14:paraId="6352C7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BE04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Reurbanización. Es la autorización concedida sobre uno o varios predios incluidos total o parcialmente en licencias de urbanización o en actos administrativos de legalización que estén delimitados por áreas consolidadas o urbanizadas, o por predios que tengan licencias de urbanización vigentes o por espacios públicos, en los cuales se requiera adelantar un nuevo proceso de urbanización o modificar el existente. </w:t>
      </w:r>
    </w:p>
    <w:p w14:paraId="09BF76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3771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caso de que los predios objeto de esta licencia no abarquen la totalidad de los lotes de la licencia de urbanización o del acto de legalización inicialmente expedidos, en el nuevo </w:t>
      </w:r>
      <w:proofErr w:type="spellStart"/>
      <w:r w:rsidRPr="009342F9">
        <w:rPr>
          <w:rFonts w:ascii="Arial" w:eastAsia="Times New Roman" w:hAnsi="Arial" w:cs="Arial"/>
          <w:color w:val="000000"/>
          <w:lang w:eastAsia="es-CO"/>
        </w:rPr>
        <w:t>plano</w:t>
      </w:r>
      <w:proofErr w:type="spellEnd"/>
      <w:r w:rsidRPr="009342F9">
        <w:rPr>
          <w:rFonts w:ascii="Arial" w:eastAsia="Times New Roman" w:hAnsi="Arial" w:cs="Arial"/>
          <w:color w:val="000000"/>
          <w:lang w:eastAsia="es-CO"/>
        </w:rPr>
        <w:t xml:space="preserve"> urbanístico se demarcará el área objeto de la licencia como una etapa denominada reurbanización y el resto del área se demarcará como una etapa denominada urbanizada, separando los correspondientes cuadros de áreas. Estas licencias se expedirán aplicando las normas del tratamiento de desarrollo o de renovación urbana. </w:t>
      </w:r>
    </w:p>
    <w:p w14:paraId="16FDD8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23B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licencia de urbanización en suelo de expansión urbana solo podrá expedirse previa adopción del respectivo plan parcial”. </w:t>
      </w:r>
    </w:p>
    <w:p w14:paraId="731BD36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46" w:name="ver_30110837"/>
      <w:bookmarkStart w:id="1247" w:name="ver_30110836"/>
      <w:bookmarkEnd w:id="1245"/>
      <w:bookmarkEnd w:id="1246"/>
    </w:p>
    <w:p w14:paraId="0D8AE4D4" w14:textId="5BD5180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2.2.6.1.1.5</w:t>
      </w:r>
      <w:r w:rsidR="00AF1E3B">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Licencia de parcelación. Es la autorización previa para ejecutar en uno o varios predios localizados en suelo rural y suburbano, la creación de espacios públicos y privados, y la ejecución de obras para vías públicas que permitan destinar los predios resultantes a los usos permitidos por el Plan de Ordenamiento Territorial, los instrumentos que lo desarrollen y complementen y la normatividad ambiental aplicable a esta clase de suelo. Estas licencias se podrán otorgar acreditando la </w:t>
      </w:r>
      <w:proofErr w:type="spellStart"/>
      <w:r w:rsidRPr="009342F9">
        <w:rPr>
          <w:rFonts w:ascii="Arial" w:eastAsia="Times New Roman" w:hAnsi="Arial" w:cs="Arial"/>
          <w:color w:val="000000"/>
          <w:lang w:eastAsia="es-CO"/>
        </w:rPr>
        <w:t>autoprestación</w:t>
      </w:r>
      <w:proofErr w:type="spellEnd"/>
      <w:r w:rsidRPr="009342F9">
        <w:rPr>
          <w:rFonts w:ascii="Arial" w:eastAsia="Times New Roman" w:hAnsi="Arial" w:cs="Arial"/>
          <w:color w:val="000000"/>
          <w:lang w:eastAsia="es-CO"/>
        </w:rPr>
        <w:t xml:space="preserve"> de servicios públicos, con la obtención de los permisos, autorizaciones y concesiones respectivas otorgadas por las autoridades competentes. </w:t>
      </w:r>
    </w:p>
    <w:p w14:paraId="24793F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89E5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También se entiende que hay parcelación de predios rurales cuando se trate de unidades habitacionales en predios indivisos que presenten dimensiones, cerramientos, accesos u otras características similares a las de una urbanización, pero con intensidades y densidades propias del suelo rural que se destinen a vivienda campestre. </w:t>
      </w:r>
    </w:p>
    <w:p w14:paraId="773D7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E247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Estas parcelaciones podrán proyectarse como unidades habitacionales, recreativas o productivas y podrán acogerse al régimen de propiedad horizontal. </w:t>
      </w:r>
    </w:p>
    <w:p w14:paraId="5FD1C0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C359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se requerirá de la respectiva licencia de construcción para adelantar cualquier tipo de edificación en los predios resultantes. </w:t>
      </w:r>
    </w:p>
    <w:p w14:paraId="3D56C5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F626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los casos en que no se hayan culminado las obras correspondientes a la construcción y/o dotación de las zonas de cesión pública y haya vencido el plazo de la respectiva licencia de parcelación, prórroga o revalidación, se podrá solicitar una nueva licencia de parcelación para saneamiento de cesiones, con el único fin de que se culmine la construcción y/o dotación de las zonas de cesión pública. Esta solicitud solo procede cuando las obras faltantes por ejecutar no superen el 20% del área total de las cesiones definidas para la respectiva parcelación. Esta licencia se resolverá con fundamento en las mismas normas urbanísticas y demás reglamentaciones que sirvieron para expedir la licencia de parcelación vencida con la que se desarrolló el resto de la parcelación. </w:t>
      </w:r>
    </w:p>
    <w:p w14:paraId="7FE2A923" w14:textId="64DE49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48" w:name="ver_30125149"/>
      <w:bookmarkStart w:id="1249" w:name="ver_30109493"/>
      <w:bookmarkStart w:id="1250" w:name="ver_30109494"/>
      <w:bookmarkEnd w:id="1247"/>
      <w:bookmarkEnd w:id="1248"/>
    </w:p>
    <w:p w14:paraId="357F9A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2.2.6.1.1.6. Licencia de subdivisión y sus modalidades. Es la autorización previa para dividir uno o varios predios, ubicados en suelo rural, urbano o de expansión urbana, de conformidad con lo dispuesto en el Plan de Ordenamiento Territorial, los instrumentos que lo desarrollen y complementen y demás normatividad vigente aplicable a las anteriores clases de suelo. </w:t>
      </w:r>
    </w:p>
    <w:p w14:paraId="7B5EAF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90DE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subdivisión de predios para urbanizar o parcelar haya sido aprobada mediante la respectiva licencia de urbanización o parcelación, no se requerirá adicionalmente de la licencia de subdivisión. </w:t>
      </w:r>
    </w:p>
    <w:p w14:paraId="22C17E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1AF3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Son modalidades de la licencia de subdivisión: En suelo rural y de expansión urbana: </w:t>
      </w:r>
    </w:p>
    <w:p w14:paraId="490ED7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76B1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Subdivisión rural. Es la autorización previa para dividir materialmente uno o varios predios ubicados en suelo rural o de expansión urbana de conformidad con el Plan de Ordenamiento Territorial y la normatividad agraria y ambiental aplicables a estas clases de suelo, garantizando la accesibilidad a cada uno de los predios resultantes. </w:t>
      </w:r>
    </w:p>
    <w:p w14:paraId="3989CD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A9EB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Mientras no se adopte el respectivo plan parcial, los predios urbanizables no urbanizados en suelo de expansión urbana no podrán subdividirse por debajo de la extensión mínima de la Unidad Agrícola Familiar (UAF), salvo los casos previstos en el artículo 45 de la Ley 160 de 1994. En ningún caso se puede autorizar la subdivisión de predios rurales en contra de lo dispuesto en la Ley 160 de 1994 o las normas que la reglamenten, adicionen, modifiquen o sustituyan. Las excepciones a la subdivisión de predios rurales por debajo de la extensión mínima de la UAF previstas en la Ley 160 de 1994, serán autorizadas en la respectiva licencia de subdivisión por los curadores urbanos o la autoridad municipal o distrital competente para el estudio, trámite y expedición de las licencias urbanísticas, y los predios resultantes solo podrán destinarse a los usos permitidos en el plan de ordenamiento o los instrumentos que lo desarrollen o complementen. En todo caso la autorización de actuaciones de edificación en los predios resultantes deberá garantizar que se mantenga la naturaleza rural de los terrenos, y no dará lugar a la implantación de actividades urbanas o a la formación de nuevos núcleos de población. </w:t>
      </w:r>
    </w:p>
    <w:p w14:paraId="6FAB0B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E79C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suelo urbano: </w:t>
      </w:r>
    </w:p>
    <w:p w14:paraId="436071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F6AE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Subdivisión urbana. Es la autorización para dividir materialmente uno o varios predios urbanizables no urbanizados ubicados en suelo urbano. Para efectos de lo dispuesto en el artículo 2.2.2.1.4.1.4. del presente decreto, solamente se podrá expedir esta modalidad de licencia cuando se presente alguna de las siguientes situaciones: </w:t>
      </w:r>
    </w:p>
    <w:p w14:paraId="4398FE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6BC0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Se pretenda dividir la parte del predio que esté ubicada en suelo urbano de la parte que se localice en suelo de expansión urbana o en suelo rural; </w:t>
      </w:r>
    </w:p>
    <w:p w14:paraId="43C39E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AD04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Existan reglas especiales para subdivisión previa al proceso de urbanización contenidas en el plan de ordenamiento territorial o los instrumentos que lo desarrollen o complementen. </w:t>
      </w:r>
    </w:p>
    <w:p w14:paraId="02A41E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31B7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w:t>
      </w:r>
      <w:proofErr w:type="spellStart"/>
      <w:r w:rsidRPr="009342F9">
        <w:rPr>
          <w:rFonts w:ascii="Arial" w:eastAsia="Times New Roman" w:hAnsi="Arial" w:cs="Arial"/>
          <w:color w:val="000000"/>
          <w:lang w:eastAsia="es-CO"/>
        </w:rPr>
        <w:t>Reloteo</w:t>
      </w:r>
      <w:proofErr w:type="spellEnd"/>
      <w:r w:rsidRPr="009342F9">
        <w:rPr>
          <w:rFonts w:ascii="Arial" w:eastAsia="Times New Roman" w:hAnsi="Arial" w:cs="Arial"/>
          <w:color w:val="000000"/>
          <w:lang w:eastAsia="es-CO"/>
        </w:rPr>
        <w:t xml:space="preserve">. Es la autorización para englobar, dividir, redistribuir o modificar el loteo de uno o más predios previamente urbanizados o legalizados, de conformidad con las normas urbanísticas que para el efecto establezcan el Plan de Ordenamiento Territorial y los instrumentos que lo desarrollen y complementen. En esta modalidad de licencia se podrá hacer redistribución de los espacios privados y públicos siempre que las áreas públicas resultantes del área objeto del </w:t>
      </w:r>
      <w:proofErr w:type="spellStart"/>
      <w:r w:rsidRPr="009342F9">
        <w:rPr>
          <w:rFonts w:ascii="Arial" w:eastAsia="Times New Roman" w:hAnsi="Arial" w:cs="Arial"/>
          <w:color w:val="000000"/>
          <w:lang w:eastAsia="es-CO"/>
        </w:rPr>
        <w:t>reloteo</w:t>
      </w:r>
      <w:proofErr w:type="spellEnd"/>
      <w:r w:rsidRPr="009342F9">
        <w:rPr>
          <w:rFonts w:ascii="Arial" w:eastAsia="Times New Roman" w:hAnsi="Arial" w:cs="Arial"/>
          <w:color w:val="000000"/>
          <w:lang w:eastAsia="es-CO"/>
        </w:rPr>
        <w:t xml:space="preserve"> sean iguales o superiores a las aprobadas en las licencias de urbanización o en los actos de legalización. </w:t>
      </w:r>
    </w:p>
    <w:p w14:paraId="276949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2550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Ninguna de las modalidades de la licencia de subdivisión de que trata este artículo autoriza la ejecución de obras de infraestructura o de construcción. </w:t>
      </w:r>
    </w:p>
    <w:p w14:paraId="6B815B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A16F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2º. Las subdivisiones en suelo urbano de que tratan los numerales 2 y 3 del presente artículo, se sujetarán al cumplimiento de las dimensiones de áreas y frentes mínimos establecidos en los actos administrativos correspondientes. Los predios resultantes de la subdivisión y/o </w:t>
      </w:r>
      <w:proofErr w:type="spellStart"/>
      <w:r w:rsidRPr="009342F9">
        <w:rPr>
          <w:rFonts w:ascii="Arial" w:eastAsia="Times New Roman" w:hAnsi="Arial" w:cs="Arial"/>
          <w:color w:val="000000"/>
          <w:lang w:eastAsia="es-CO"/>
        </w:rPr>
        <w:t>reloteo</w:t>
      </w:r>
      <w:proofErr w:type="spellEnd"/>
      <w:r w:rsidRPr="009342F9">
        <w:rPr>
          <w:rFonts w:ascii="Arial" w:eastAsia="Times New Roman" w:hAnsi="Arial" w:cs="Arial"/>
          <w:color w:val="000000"/>
          <w:lang w:eastAsia="es-CO"/>
        </w:rPr>
        <w:t xml:space="preserve"> deberán contar con frente sobre vía pública vehicular o peatonal y no podrán accederse por zonas verdes y/o comunales. </w:t>
      </w:r>
    </w:p>
    <w:p w14:paraId="383BE4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B96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3º. No se requerirá licencia de subdivisión cuando se trate de particiones o divisiones materiales de predios ordenadas por sentencia judicial en firme o cuando se requiera subdividir predios por motivo de la ejecución de obras de utilidad pública. En estos casos, la división material se realizará con fundamento en lo ordenado en la sentencia judicial o con el registro topográfico que elabore la entidad pública que ejecute la respectiva obra. </w:t>
      </w:r>
    </w:p>
    <w:p w14:paraId="1F63B5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2EDC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4º. Las subdivisiones de predios hechas por escritura pública debidamente inscrita en la respectiva Oficina de Registro de Instrumentos Públicos con anterioridad a la expedición de la Ley 810 de 2003, no requerirán de licencia de subdivisión, en cualquiera de sus modalidades, para adelantar ningún trámite. Los predios cuya subdivisión se haya efectuado antes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mencionada ley, y que cuenten con frente y/o área inferior a la mínima establecida por la reglamentación urbanística, podrán obtener licencia de construcción siempre y cuando sean desarrollables aplicando las normas urbanísticas y de edificación vigentes. </w:t>
      </w:r>
    </w:p>
    <w:p w14:paraId="53CB4E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86FDC5" w14:textId="77777777"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incorporación a la cartografía oficial de tales subdivisiones no implica autorización alguna para urbanizar, parcelar o construir sobre los lotes resultantes, para cuyo efecto, el interesado, en todos los casos, deberá adelantar el trámite de solicitud de licencia de parcelación, urbanización o construcción ante el curador urbano o la autoridad municipal o distrital competente para el estudio, trámite y expedición de las licencias urbanísticas, en los términos de que trata el presente decreto y demás normas concordantes”. </w:t>
      </w:r>
      <w:bookmarkStart w:id="1251" w:name="ver_30109495"/>
      <w:bookmarkStart w:id="1252" w:name="ver_30109496"/>
      <w:bookmarkStart w:id="1253" w:name="ver_30110838"/>
      <w:bookmarkEnd w:id="1249"/>
      <w:bookmarkEnd w:id="1250"/>
    </w:p>
    <w:p w14:paraId="339C1343"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0F882A69" w14:textId="3A009EA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2.2.6.1.1.7.</w:t>
      </w:r>
      <w:r w:rsidR="0012676B">
        <w:rPr>
          <w:rFonts w:ascii="Arial" w:eastAsia="Times New Roman" w:hAnsi="Arial" w:cs="Arial"/>
          <w:color w:val="000000"/>
          <w:lang w:eastAsia="es-CO"/>
        </w:rPr>
        <w:t xml:space="preserve"> </w:t>
      </w:r>
      <w:r w:rsidRPr="009342F9">
        <w:rPr>
          <w:rFonts w:ascii="Arial" w:eastAsia="Times New Roman" w:hAnsi="Arial" w:cs="Arial"/>
          <w:color w:val="000000"/>
          <w:lang w:eastAsia="es-CO"/>
        </w:rPr>
        <w:t>Licencia de construcción y sus modalidades. Es la autorización previa para desarrollar edificaciones, áreas de circulación y zonas comunales en uno o varios predios, de conformidad con lo previsto en el Plan de Ordenamiento Territorial, los instrumentos que lo desarrollen y complementen, los Planes Especiales de Manejo y Protección de Bienes de Interés Cultural, y demás normatividad que regule la materia. En las licencias de construcción se concretarán de manera específica los usos, edificabilidad, volumetría, accesibilidad y demás aspectos técnicos aprobados para la respectiva edificación. Son modalidades de la licencia de construcción las siguientes:  </w:t>
      </w:r>
    </w:p>
    <w:p w14:paraId="75CFA4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F548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Obra nueva. Es la autorización para adelantar obras de edificación en terrenos no construidos o cuya área esté libre por autorización de demolición total.  </w:t>
      </w:r>
    </w:p>
    <w:p w14:paraId="11E814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5FA9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Ampliación. Es la autorización para incrementar el área construida de una edificación existente, entendiéndose por área construida la parte edificada que corresponde a la suma de las superficies de los pisos, excluyendo azoteas y áreas sin cubrir o techar. La edificación que incremente el área construida podrá aprobarse adosada o aislada de la construcción existente, pero en todo caso, la sumatoria de ambas debe circunscribirse al potencial de construcción permitido para el predio o predios objeto de la licencia según lo definido en las normas urbanísticas.  </w:t>
      </w:r>
    </w:p>
    <w:p w14:paraId="63EC45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3DBB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Adecuación. Es la autorización para cambiar el uso de una edificación o parte de ella, garantizando la permanencia total o parcial del inmueble original.  </w:t>
      </w:r>
    </w:p>
    <w:p w14:paraId="2D3FF6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E0FB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Modificación. Es la autorización para variar el diseño arquitectónico o estructural de una edificación existente, sin incrementar su área construida.  </w:t>
      </w:r>
    </w:p>
    <w:p w14:paraId="1720E7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6418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Restauración. Es la autorización para adelantar las obras tendientes a recuperar y adaptar un inmueble o parte de este, con el fin de conservar y revelar sus valores estéticos, históricos y simbólicos. Se fundamenta en el respeto por su integridad y autenticidad. Esta modalidad de licencia incluirá las liberaciones o demoliciones parciales de agregados de los bienes de interés cultural aprobadas por parte de la autoridad competente en los anteproyectos que autoricen su intervención.  </w:t>
      </w:r>
    </w:p>
    <w:p w14:paraId="6F0847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A0B3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Reforzamiento Estructural. Es la autorización para intervenir o reforzar la estructura de uno o varios inmuebles, con el objeto de acondicionarlos a niveles adecuados de seguridad sismorresistente de acuerdo con los requisitos de la Ley 400 de 1997, sus decretos reglamentarios, o las normas que los adicionen, modifiquen o sustituyan y el Reglamento colombiano de construcción sismorresistente y la norma que lo adicione, modifique o sustituya. Esta modalidad de licencia se podrá otorgar sin perjuicio del posterior cumplimiento de las normas urbanísticas vigentes, actos de legalización y/o el reconocimiento de edificaciones construidas sin licencia, siempre y cuando en este último caso la edificación se haya concluido como mínimo cinco (5) años antes de la solicitud de reforzamiento y no se encuentre en ninguna de las situaciones previstas en el artículo 2.2.6.4.1.2 del presente decreto. Cuando se tramite sin incluir ninguna otra modalidad de licencia, su expedición no implicará aprobación de usos ni autorización para ejecutar obras diferentes a las del reforzamiento estructural.  </w:t>
      </w:r>
    </w:p>
    <w:p w14:paraId="4F1D35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90CA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Demolición. Es la autorización para derribar total o parcialmente una o varias edificaciones existentes en uno o varios predios y deberá concederse de manera simultánea con cualquiera otra modalidad de licencia de construcción.  </w:t>
      </w:r>
    </w:p>
    <w:p w14:paraId="03AD64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EBF6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 se requerirá esta modalidad de licencia cuando se trate de programas o proyectos de renovación urbana, del cumplimiento de orden judicial o administrativa, o de la ejecución de obras de infraestructura vial o de servicios públicos domiciliarios que se encuentren contemplados en el Plan de Ordenamiento Territorial o en los instrumentos que lo desarrollen y complementen.  </w:t>
      </w:r>
    </w:p>
    <w:p w14:paraId="5060DF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6CB0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Tratándose de predios ubicados en área de influencia de un Sector Urbano declarado Bien de Interés Cultural, esta modalidad se deberá otorgar con la modalidad de cerramiento. Las demás modalidades de licencia de construcción solo se podrán expedir cuando se aporte el anteproyecto de intervención aprobado por la autoridad competente.  </w:t>
      </w:r>
    </w:p>
    <w:p w14:paraId="77C223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C88E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Reconstrucción. Es la autorización que se otorga para volver a construir edificaciones que contaban con licencia o con acto de reconocimiento y que fueron afectadas por la ocurrencia de algún siniestro. Esta modalidad de licencia se limitará a autorizar la reconstrucción de la edificación en las mismas condiciones aprobadas por la licencia original, los actos de reconocimientos y sus modificaciones.  </w:t>
      </w:r>
    </w:p>
    <w:p w14:paraId="420B10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831D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Cerramiento. Es la autorización para encerrar de manera permanente un predio de propiedad privada.  </w:t>
      </w:r>
    </w:p>
    <w:p w14:paraId="6A15CF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BFE2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solicitud de licencia de construcción podrá incluir la petición para adelantar obras en una o varias de las modalidades descritas en este artículo.  </w:t>
      </w:r>
    </w:p>
    <w:p w14:paraId="19537F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499E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Podrán desarrollarse por etapas los proyectos de construcción para los cuales se solicite licencia de construcción en la modalidad de obra nueva, siempre y cuando se someta al régimen de propiedad horizontal establecido por la Ley 675 de 2001 o la norma que la modifique, adicione o sustituya. Para este caso, en el plano general del proyecto se identificará el área objeto de aprobación para la respectiva etapa, así como el área que queda destinada para futuro desarrollo, y la definición de la ubicación y cuadro de áreas para cada una de las etapas. En la licencia de construcción de la última etapa se aprobará un plano general que establecerá el cuadro de áreas definitivo de todo el proyecto.  </w:t>
      </w:r>
    </w:p>
    <w:p w14:paraId="2A5A0E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E348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reglamentación urbanística con la que se apruebe el plano general del proyecto y de la primera etapa servirá de fundamento para la expedición de las licencias de construcción de las demás etapas, aun cuando las normas urbanísticas hayan cambiado y, siempre que la licencia de construcción para la nueva etapa se solicite como mínimo treinta (30) días calendario antes del vencimiento de la licencia de la etapa anterior.  </w:t>
      </w:r>
    </w:p>
    <w:p w14:paraId="395607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77ED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licencia de construcción en la modalidad de obra nueva también podrá contemplar la autorización para construir edificaciones de carácter temporal destinadas exclusivamente a salas de ventas, las cuales deberán ser construidas dentro del paramento de construcción y no se computarán dentro de los índices de ocupación y/o construcción adoptados en el Plan de Ordenamiento Territorial o los instrumentos que lo desarrollen y complementen.  </w:t>
      </w:r>
    </w:p>
    <w:p w14:paraId="77E1B6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2083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casos en que simultáneamente se aprueben licencias de urbanización y de construcción, la sala de ventas se podrá ubicar temporalmente en las zonas destinadas para cesión pública. No obstante, para poder entregar materialmente estas zonas a los municipios y distritos, será necesario adecuar y/o dotar la zona de cesión en los términos aprobados en la respectiva licencia de urbanización.  </w:t>
      </w:r>
    </w:p>
    <w:p w14:paraId="5F5776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6CE7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constructor responsable queda obligado a demoler la construcción temporal antes de dos (2) años, contados a partir de la fecha de ejecutoria de la licencia. Si vencido este plazo no se hubiere demolido la construcción temporal, la autoridad competente para ejercer el control urbano procederá a ordenar la demolición de dichas obras con cargo al titular de la licencia, sin perjuicio de la imposición de las sanciones urbanísticas a que haya lugar.  </w:t>
      </w:r>
    </w:p>
    <w:p w14:paraId="21ED9A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43F2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Los titulares de licencias de parcelación y urbanización tendrán derecho a que se les expida la correspondiente licencia de construcción con base en las normas urbanísticas y demás reglamentaciones que sirvieron de base para la expedición de la licencia de parcelación o urbanización, siempre y cuando se presente alguna de las siguientes condiciones:  </w:t>
      </w:r>
    </w:p>
    <w:p w14:paraId="50B263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AEC9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la solicitud de licencia de construcción se radique en legal y debida forma durante la vigencia de la licencia de parcelación o urbanización en la modalidad de desarrollo, o  </w:t>
      </w:r>
    </w:p>
    <w:p w14:paraId="5A87D6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3E2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el titular de la licencia haya ejecutado la totalidad de las obras contempladas en la misma y entregado y dotado las cesiones correspondientes.  </w:t>
      </w:r>
    </w:p>
    <w:p w14:paraId="738307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C3CC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Cuando las licencias de construcción en las modalidades descritas en este artículo aprueben edificaciones destinadas a oficinas en las que se permiten usos de los servicios empresariales y personales o denominaciones similares según la norma urbanística bajo la cual se aprobó la respectiva licencia que presta el sector privado, se entiende que tal aprobación permite la localización de sedes en las que la administración pública presta servicios del Estado, sin que sea necesario obtener licencia de construcción en la modalidad de adecuación.  </w:t>
      </w:r>
    </w:p>
    <w:p w14:paraId="668F3F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7DE5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6°. Cuando en las licencias de construcción se apruebe la reconstrucción o rehabilitación de los andenes colindantes con el predio o predios objeto de la licencia y en tales andenes se deban ejecutar obras para prevenir, mitigar, corregir o compensar impactos sobre la movilidad peatonal previstas en los estudios de tránsito de que trata el artículo 2.2.6.1.2.1.12. del presente decreto, en el plano de reconstrucción o rehabilitación de andenes se deberá incluir el diseño de dichas obras.  </w:t>
      </w:r>
    </w:p>
    <w:p w14:paraId="013B4939" w14:textId="07284F4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54" w:name="ver_30073999"/>
      <w:bookmarkEnd w:id="1251"/>
      <w:bookmarkEnd w:id="1252"/>
      <w:bookmarkEnd w:id="1253"/>
      <w:bookmarkEnd w:id="1254"/>
    </w:p>
    <w:p w14:paraId="5A74C9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2.2.6.1.1.8 Estado de ruina. Sin perjuicio de las normas de policía y de las especiales que regulen los inmuebles y sectores declarados como bienes de interés cultural, cuando una edificación o parte de ella se encuentre en estado ruinoso y atente contra la seguridad de la comunidad, el alcalde o por conducto de sus agentes, de oficio o a petición de parte, declarará el estado de ruina de la edificación y ordenará su demolición parcial o total. El acto administrativo que declare el estado de ruina hará las veces de licencia de demolición. El estado de ruina se declarará cuando la edificación presente un agotamiento generalizado de sus elementos estructurales, previo peritaje técnico sobre la vulnerabilidad estructural de la construcción, firmado por un ingeniero acreditado de conformidad con los requisitos de Ley 400 de 1997, sus decretos reglamentarios, o las normas que los adicionen, modifiquen o sustituyan y el Reglamento Colombiano de Construcción Sismo Resistente y la norma que lo adicione, modifique o sustituya quien se hará responsable del dictamen. Tratándose de la demolición de un bien de interés cultural también deberá contar con la autorización de la autoridad que lo haya declarado como tal. </w:t>
      </w:r>
    </w:p>
    <w:p w14:paraId="4D67F4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0D37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conformidad con lo previsto en el artículo 106 de la Ley 388 de 1997 o la norma que lo adicione, modifique o sustituya, cuando la declaratoria del estado de ruina obligue la demolición parcial o total de una construcción o edificio declarado como bien de interés cultural, se ordenará la reconstrucción inmediata de lo demolido, según su diseño original y con sujeción a las normas de conservación y restauración que sean aplicables, previa autorización del proyecto de intervención por parte de la autoridad que hizo la declaratoria. </w:t>
      </w:r>
    </w:p>
    <w:p w14:paraId="0CAAC277" w14:textId="3A7A75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55" w:name="ver_30074000"/>
      <w:bookmarkEnd w:id="1255"/>
    </w:p>
    <w:p w14:paraId="0DF31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2.2.6.1.1.9 Autorización de actuaciones urbanísticas en bienes de interés cultural. Sin perjuicio de lo dispuesto en el numeral 4 del artículo 2.2.6.1.2.1.11 del presente decreto, cuando se haya adoptado el Plan Especial de Manejo y Protección de Bienes de Interés Cultural por la autoridad competente, las solicitudes de licencias urbanísticas sobre bienes de interés cultural y sobre los inmuebles localizados al interior de su zona de influencia, se resolverán con sujeción a las normas urbanísticas y de edificación que se adopten en el mismo. En caso de no haberse adoptado el Plan Especial de Manejo y Protección al momento de la solicitud, las licencias se podrán expedir con base en el anteproyecto de intervención del bien de interés cultural aprobado por parte de la autoridad que efectuó la respectiva declaratoria, en el cual se señalará el uso específico autorizado. </w:t>
      </w:r>
    </w:p>
    <w:p w14:paraId="4205E5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437F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anteproyecto autorizado por la entidad que hubiere efectuado la declaratoria de Bienes de Interés Cultural no podrá ser modificado en volumetría, altura, empates ni condiciones espaciales, sin previa autorización por parte de la misma entidad. </w:t>
      </w:r>
    </w:p>
    <w:p w14:paraId="6665D61A" w14:textId="5A93BF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56" w:name="ver_30074001"/>
      <w:bookmarkEnd w:id="1256"/>
    </w:p>
    <w:p w14:paraId="6BD392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2.2.6.1.1.10 Reparaciones locativas. Se entiende por reparaciones o mejoras locativas aquellas obras que tienen como finalidad mantener el inmueble en las debidas condiciones de higiene y ornato sin afectar su estructura portante, su distribución interior, sus características funcionales, formales y/o volumétricas. No requerirán licencia de construcción las reparaciones o mejoras locativas a que hace referencia el artículo 8 de la Ley 810 de 2003 o la norma que lo adicione, modifique o sustituya. </w:t>
      </w:r>
    </w:p>
    <w:p w14:paraId="2EB8E5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555A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Están incluidas dentro de las reparaciones locativas, entre otras, las siguientes obras: el mantenimiento, la sustitución, restitución o mejoramiento de los materiales de pisos, cielorrasos, enchapes, pintura en general, y la sustitución, mejoramiento o ampliación de redes de instalaciones hidráulicas, sanitarias, eléctricas, telefónicas o de gas. Sin perjuicio de lo anterior, quien ejecuta la obra se hace responsable de: </w:t>
      </w:r>
    </w:p>
    <w:p w14:paraId="138420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DF81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Cumplir con los reglamentos establecidos para la propiedad horizontal y las normas que regulan los servicios públicos domiciliarios. </w:t>
      </w:r>
    </w:p>
    <w:p w14:paraId="6F8465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4058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Prevenir daños que se puedan ocasionar a terceros y en caso de que se presenten, responder de conformidad con las normas civiles que regulan la materia. </w:t>
      </w:r>
    </w:p>
    <w:p w14:paraId="508B75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1A32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Cumplir con los procedimientos previos, requisitos y normas aplicables a los inmuebles de conservación histórica, arquitectónica o bienes de interés cultural. </w:t>
      </w:r>
    </w:p>
    <w:p w14:paraId="42E37A70" w14:textId="16052B5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57" w:name="ver_30074002"/>
      <w:bookmarkEnd w:id="1257"/>
    </w:p>
    <w:p w14:paraId="2BDCE9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2.2.6.1.1.11 Régimen especial en materia de licencias urbanísticas. Para la expedición de las licencias urbanísticas, se tendrá en cuenta lo siguiente: </w:t>
      </w:r>
    </w:p>
    <w:p w14:paraId="550862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C8E3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No se requerirá licencia urbanística de urbanización, parcelación, construcción o subdivisión en ninguna de sus modalidades para: </w:t>
      </w:r>
    </w:p>
    <w:p w14:paraId="5EC44D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E3A2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La construcción, ampliación, adecuación, modificación, restauración, remodelación, reforzamiento, demolición y cerramiento de aeropuertos nacionales e internacionales y sus instalaciones, tales como torres de control, hangares, talleres, terminales, plataformas, pistas y calles de rodaje, radio ayudas y demás edificaciones transitorias y permanentes, cuya autorización corresponda exclusivamente a la Aeronáutica Civil, de acuerdo con el Decreto-ley 2724 de 1993 o las normas que lo adicionen, modifique o sustituya. </w:t>
      </w:r>
    </w:p>
    <w:p w14:paraId="56ECA0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C9C3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La ejecución de proyectos de infraestructura de la red vial nacional, regional, departamental y/o municipal; puertos marítimos y fluviales; infraestructura para la exploración y explotación de hidrocarburos; hidroeléctricas, y sistemas de abastecimiento de agua, saneamiento y suministro de energía; sin perjuicio de las demás autorizaciones, permisos o licencias que otorguen las autoridades competentes respecto de cada materia. Tampoco requerirá licencia el desarrollo de edificaciones de carácter transitorio o provisional que sean inherentes a la construcción de este tipo de proyectos. </w:t>
      </w:r>
    </w:p>
    <w:p w14:paraId="2D63A7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16E3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 se requerirá licencia urbanística de construcción en ninguna de sus modalidades para la ejecución de estructuras especiales tales como puentes, torres de transmisión, torres y equipos industriales, muelles, estructuras hidráulicas y todas aquellas estructuras cuyo comportamiento dinámico difiera del de edificaciones convencionales. </w:t>
      </w:r>
    </w:p>
    <w:p w14:paraId="002F43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3FB5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este tipo de estructuras se contemple dentro del trámite de una licencia de construcción, urbanización o parcelación no se computarán dentro de los índices de ocupación y construcción y tampoco estarán sujetas al cumplimiento de la Ley 400 de 1997 y sus decretos reglamentarios, o las normas que los adicionen, modifiquen o sustituyan; y el Reglamento Colombiano de Construcción Sismo Resistente - NSR-10, o la norma que lo adicione, modifique o sustituya. </w:t>
      </w:r>
    </w:p>
    <w:p w14:paraId="171CB6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83EA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Requieren licencia de construcción en cualquiera de sus modalidades, las edificaciones convencionales de carácter permanente que se desarrollen al interior del área del proyecto, obra o actividad de que trata el literal b) del numeral primero del presente artículo. Dichas licencias serán otorgadas por el curador urbano o la autoridad municipal competente con fundamento en la Ley 400 de 1997 y sus decretos reglamentarios, o las normas que los adicionen, modifiquen o sustituyan; y el Reglamento Colombiano de Construcción Sismo Resistente - NSR-10, o la norma que lo adicione, modifique o sustituya; y en todas aquellas disposiciones de carácter especial que regulen este tipo de proyectos. En ninguno de los casos señalados en este numeral se requerirá licencia de urbanización, parcelación ni subdivisión. Parágrafo. Lo previsto en el presente artículo no excluye del cumplimiento de lo dispuesto en los artículos 2.2.6.1.1.12 y 2.2.6.1.1.13 del presente decreto en lo relacionado con la intervención y ocupación del espacio público. </w:t>
      </w:r>
    </w:p>
    <w:p w14:paraId="11A31FC9" w14:textId="3A170F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58" w:name="ver_30074003"/>
      <w:bookmarkEnd w:id="1258"/>
    </w:p>
    <w:p w14:paraId="3A071F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2.2.6.1.1.12 Licencia de intervención y ocupación del espacio público. Es la autorización previa para ocupar o para intervenir bienes de uso público incluidos en el espacio público, de conformidad con las normas urbanísticas adoptadas en el Plan de Ordenamiento Territorial, en los instrumentos que lo desarrollen y complementen y demás normatividad vigente. </w:t>
      </w:r>
    </w:p>
    <w:p w14:paraId="3E4909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0C60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intervenir y ocupar el espacio público, los municipios y distritos solamente podrán exigir las licencias, permisos y autorizaciones que se encuentren previstos de manera taxativa en la ley o autorizados por esta, los cuales se agruparán en una o varias de las modalidades de licencia de intervención u ocupación del espacio público previsto en el presente Capítulo. </w:t>
      </w:r>
    </w:p>
    <w:p w14:paraId="5CD5E9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7129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entidades del nivel central o descentralizado de la Rama Ejecutiva del orden nacional, departamental, municipal y distrital, salvo las empresas industriales y comerciales del Estado, y las sociedades de economía mixta, no están obligadas a obtener licencias de intervención y ocupación del espacio público cuando en cumplimiento de sus funciones, ejecuten obras o actuaciones expresamente contempladas en los planes de desarrollo nacional, departamentales, municipales o distritales, en el Plan de Ordenamiento Territorial o en los instrumentos que lo desarrollen y complementen. </w:t>
      </w:r>
    </w:p>
    <w:p w14:paraId="315A5C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94A5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intervención de los elementos arquitectónicos o naturales de los bienes de propiedad privada que hagan parte del espacio público del municipio o distrito, tales como: cubiertas, fachadas, paramentos, pórticos o antejardines, no requieren de la obtención de licencia de intervención y ocupación del espacio público. No obstante, deben contar con la licencia de construcción correspondiente en los casos en que esta sea requerida, de conformidad con las normas municipales o distritales aplicables para el efecto. </w:t>
      </w:r>
    </w:p>
    <w:p w14:paraId="4BAC9E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5308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Para efectos de lo dispuesto en el numeral segundo del artículo 2 de la Ley 810 de 2003 o la norma que lo adicione, modifique o sustituya, sólo se permitirá el cerramiento de aquellas zonas de uso público, como parques y áreas verdes, distintas de las resultantes de los procesos de urbanización, parcelación o legalización urbanística. </w:t>
      </w:r>
    </w:p>
    <w:p w14:paraId="0CBD1879" w14:textId="7E0556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59" w:name="ver_30074004"/>
      <w:bookmarkEnd w:id="1259"/>
    </w:p>
    <w:p w14:paraId="4D60A4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2.2.6.1.1.13 Modalidades de la licencia de intervención y ocupación del espacio público. Son modalidades de la licencia de intervención y ocupación del espacio público las siguientes: </w:t>
      </w:r>
    </w:p>
    <w:p w14:paraId="0F8885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7D4A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Licencia de ocupación del espacio público para la localización de equipamiento. Es la autorización para ocupar una zona de cesión pública o de uso público con edificaciones destinadas al equipamiento comunal público. Requieren de la expedición de este tipo de licencias los desarrollos urbanísticos aprobados o legalizados por resoluciones expedidas por las oficinas de planeación municipales o distritales, o por dependencias o entidades que hagan sus veces, en los cuales no se haya autorizado el desarrollo de un equipamiento comunal específico. Los municipios y distritos determinarán el máximo porcentaje de las áreas públicas que pueden ser ocupadas con equipamientos. En cualquier caso, la construcción de toda edificación destinada al equipamiento comunal requerirá la respectiva licencia de construcción y sólo podrá localizarse sobre las áreas de cesión destinadas para este tipo de equipamientos, según lo determinen los actos administrativos respectivos. </w:t>
      </w:r>
    </w:p>
    <w:p w14:paraId="78AAF4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6F2F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Licencia de intervención del espacio público. Por medio de esta licencia se autoriza la intervención del espacio público para: </w:t>
      </w:r>
    </w:p>
    <w:p w14:paraId="317DDC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7D16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La construcción, rehabilitación, reparación, sustitución, modificación y/o ampliación de instalaciones y redes para la provisión de servicios públicos domiciliarios y de telecomunicaciones. </w:t>
      </w:r>
    </w:p>
    <w:p w14:paraId="0DE4CB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4D91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perjuicio de lo establecido en el artículo 26 de la Ley 142 de 1994 o la norma que lo adicione, modifique o sustituya, las autorizaciones deben obedecer a un estudio de factibilidad técnica, ambiental y de impacto urbano de las obras propuestas, así como de la coherencia de las obras con los Planes de Ordenamiento Territorial o los instrumentos que los desarrollen o complementen. </w:t>
      </w:r>
    </w:p>
    <w:p w14:paraId="43E5F3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C59F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Se exceptúa de la obligación de solicitar la licencia de que trata este literal, la realización de obras que deban adelantarse como consecuencia de averías, accidentes o emergencias cuando a demora en su reparación pudiera ocasionar daños en bienes o personas. Quien efectúe los trabajos en tales condiciones deberá dejar el lugar en el estado en que se hallaba antes de que sucedieran las situaciones de avería, accidente o emergencia, y de los trabajos se rendirá un informe a la entidad competente para que realice la inspección correspondiente. El incumplimiento de esta obligación dará lugar a las sanciones establecidas en </w:t>
      </w:r>
      <w:proofErr w:type="spellStart"/>
      <w:r w:rsidRPr="009342F9">
        <w:rPr>
          <w:rFonts w:ascii="Arial" w:eastAsia="Times New Roman" w:hAnsi="Arial" w:cs="Arial"/>
          <w:color w:val="000000"/>
          <w:lang w:eastAsia="es-CO"/>
        </w:rPr>
        <w:t>a</w:t>
      </w:r>
      <w:proofErr w:type="spellEnd"/>
      <w:r w:rsidRPr="009342F9">
        <w:rPr>
          <w:rFonts w:ascii="Arial" w:eastAsia="Times New Roman" w:hAnsi="Arial" w:cs="Arial"/>
          <w:color w:val="000000"/>
          <w:lang w:eastAsia="es-CO"/>
        </w:rPr>
        <w:t xml:space="preserve"> ley. </w:t>
      </w:r>
    </w:p>
    <w:p w14:paraId="2376E2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C8DD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particulares que soliciten licencia de intervención del espacio público en </w:t>
      </w:r>
      <w:proofErr w:type="gramStart"/>
      <w:r w:rsidRPr="009342F9">
        <w:rPr>
          <w:rFonts w:ascii="Arial" w:eastAsia="Times New Roman" w:hAnsi="Arial" w:cs="Arial"/>
          <w:color w:val="000000"/>
          <w:lang w:eastAsia="es-CO"/>
        </w:rPr>
        <w:t>ésta</w:t>
      </w:r>
      <w:proofErr w:type="gramEnd"/>
      <w:r w:rsidRPr="009342F9">
        <w:rPr>
          <w:rFonts w:ascii="Arial" w:eastAsia="Times New Roman" w:hAnsi="Arial" w:cs="Arial"/>
          <w:color w:val="000000"/>
          <w:lang w:eastAsia="es-CO"/>
        </w:rPr>
        <w:t xml:space="preserve"> modalidad deberán acompañar a la solicitud la autorización para adelantar el trámite, emitida por la empresa prestadora del servicio público correspondiente. </w:t>
      </w:r>
    </w:p>
    <w:p w14:paraId="0ED857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B36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La utilización del espacio aéreo o del subsuelo para generar elementos de enlace urbano entre inmuebles privados, o entre inmuebles privados y elementos del espacio público, tales como: puentes peatonales o pasos subterráneos. </w:t>
      </w:r>
    </w:p>
    <w:p w14:paraId="297C09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7FF9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autorización deberá obedecer a un estudio de factibilidad técnica e impacto urbano, así como de la coherencia de las obras propuestas con el Plan de Ordenamiento Territorial y los instrumentos que lo desarrollen o complementen. </w:t>
      </w:r>
    </w:p>
    <w:p w14:paraId="469066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B519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La dotación de amoblamiento urbano y la instalación de expresiones artísticas o arborización. </w:t>
      </w:r>
    </w:p>
    <w:p w14:paraId="3A9DDB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F489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municipios y distritos establecerán qué tipo de amoblamiento sobre el espacio público requiere de la licencia de intervención y ocupación del espacio público, así como los procedimientos y condiciones para su expedición. </w:t>
      </w:r>
    </w:p>
    <w:p w14:paraId="445B08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660A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Construcción y rehabilitación de andenes, parques, plazas, alamedas, separadores, ciclorrutas, orejas de puentes vehiculares, vías peatonales, escaleras y rampas. </w:t>
      </w:r>
    </w:p>
    <w:p w14:paraId="2CA097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D8EE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Licencia de intervención y ocupación temporal de playas marítimas y terrenos de bajamar. Es la autorización otorgada por la autoridad municipal o distrital competente, por la Gobernación del departamento Archipiélago de San Andrés, Providencia y Santa Catalina, o por la autoridad designada para tal efecto, de acuerdo con lo dispuesto en el Plan de Ordenamiento Territorial y los instrumentos que lo desarrollen o complementen, para ocupar o intervenir temporalmente las playas y zonas de bajamar, sin perjuicio de las concesiones, permisos o autorizaciones cuyo otorgamiento le corresponda a la Dirección General Marítima –Dimar– o al Instituto Nacional de Concesiones –INCO–. </w:t>
      </w:r>
    </w:p>
    <w:p w14:paraId="483C4E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8E2F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autorización podrá concederse siempre y cuando se garantice el libre tránsito a la ciudadanía y no se vulnere la utilización de las zonas de playas marítimas y terrenos de bajamar al uso común. </w:t>
      </w:r>
    </w:p>
    <w:p w14:paraId="05C57B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2EBC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las licencias para la ocupación de playas con fines turísticos, culturales, y artísticos o recreativos en los distritos de Barranquilla, Santa Marta o Cartagena, se requerirá concepto técnico favorable emanado de la Dimar, de acuerdo con el artículo 15 de la Ley 768 de 2002 o la norma que la adicione, modifique o sustituya. </w:t>
      </w:r>
    </w:p>
    <w:p w14:paraId="0FF72A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1504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conformidad con lo dispuesto en los artículos 177 del Decreto Ley 2324 de 1984 y 43 de la Ley 1ª de 1991, ninguna autoridad concederá permiso para la construcción de vivienda en las playas marítimas y terrenos de bajamar. </w:t>
      </w:r>
    </w:p>
    <w:p w14:paraId="4F4DA9B9" w14:textId="1DDBA47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60" w:name="ver_30074005"/>
      <w:bookmarkEnd w:id="1260"/>
    </w:p>
    <w:p w14:paraId="7174F5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2.2.6.1.1.14 Derechos sobre el espacio público. Las licencias de intervención y ocupación del espacio público sólo confieren a sus titulares el derecho sobre la ocupación o intervención sobre bienes de uso público. A partir de la expedición de la licencia, la autoridad competente podrá revocarla en los términos del Código de Procedimiento </w:t>
      </w:r>
      <w:proofErr w:type="spellStart"/>
      <w:r w:rsidRPr="009342F9">
        <w:rPr>
          <w:rFonts w:ascii="Arial" w:eastAsia="Times New Roman" w:hAnsi="Arial" w:cs="Arial"/>
          <w:color w:val="000000"/>
          <w:lang w:eastAsia="es-CO"/>
        </w:rPr>
        <w:t>Administrtativo</w:t>
      </w:r>
      <w:proofErr w:type="spellEnd"/>
      <w:r w:rsidRPr="009342F9">
        <w:rPr>
          <w:rFonts w:ascii="Arial" w:eastAsia="Times New Roman" w:hAnsi="Arial" w:cs="Arial"/>
          <w:color w:val="000000"/>
          <w:lang w:eastAsia="es-CO"/>
        </w:rPr>
        <w:t xml:space="preserve"> y de lo Contencioso Administrativo. </w:t>
      </w:r>
    </w:p>
    <w:p w14:paraId="7DB75C9B" w14:textId="66BFCEA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61" w:name="ver_30125158"/>
      <w:bookmarkStart w:id="1262" w:name="ver_30125157"/>
      <w:bookmarkEnd w:id="1261"/>
    </w:p>
    <w:p w14:paraId="7E689C9E" w14:textId="5661813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2.2.6.1.1.15</w:t>
      </w:r>
      <w:r w:rsidR="0012676B">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Responsabilidad del titular de la licencia. El titular de la licencia será el responsable de todas las obligaciones urbanísticas y arquitectónicas adquiridas con ocasión de su expedición y extracontractualmente por los perjuicios que se causaren a terceros en desarrollo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0E4D52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5F47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los profesionales que suscriben el formulario único nacional para la solicitud de licencias se desvinculen de la ejecución de los diseños o de la ejecución de la obra, deberán informar de este hecho al curador urbano o a la autoridad municipal o distrital encargada de expedir las licencias, según corresponda, quien de inmediato procederá a requerir al titular de la licencia para que informe de su reemplazo en un término máximo de 15 días hábiles.  </w:t>
      </w:r>
    </w:p>
    <w:p w14:paraId="2D37C3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46A2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profesional que se desvincule del proceso será responsable de las labores adelantadas bajo su gestión hasta tanto se designe uno nuevo.  </w:t>
      </w:r>
    </w:p>
    <w:p w14:paraId="63C2F8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B8C0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que el curador urbano que otorgó la licencia ya no estuviere en ejercicio, se deberá informar a la autoridad municipal o distrital encargada de la preservación, manejo y custodia del expediente de la licencia urbanística otorgada.  </w:t>
      </w:r>
    </w:p>
    <w:p w14:paraId="1424BD08"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074A4E2" w14:textId="7C0C8D0D" w:rsidR="00FC79C1" w:rsidRPr="009342F9" w:rsidRDefault="00FC79C1" w:rsidP="00D4095E">
      <w:pPr>
        <w:spacing w:after="0" w:line="240" w:lineRule="auto"/>
        <w:jc w:val="center"/>
        <w:rPr>
          <w:rFonts w:ascii="Arial" w:eastAsia="Times New Roman" w:hAnsi="Arial" w:cs="Arial"/>
          <w:b/>
          <w:bCs/>
          <w:color w:val="000000"/>
          <w:lang w:eastAsia="es-CO"/>
        </w:rPr>
      </w:pPr>
      <w:bookmarkStart w:id="1263" w:name="ver_30074007"/>
      <w:bookmarkEnd w:id="1262"/>
      <w:bookmarkEnd w:id="1263"/>
      <w:r w:rsidRPr="009342F9">
        <w:rPr>
          <w:rFonts w:ascii="Arial" w:eastAsia="Times New Roman" w:hAnsi="Arial" w:cs="Arial"/>
          <w:b/>
          <w:bCs/>
          <w:color w:val="000000"/>
          <w:lang w:eastAsia="es-CO"/>
        </w:rPr>
        <w:t>SECCIÓN 2</w:t>
      </w:r>
    </w:p>
    <w:p w14:paraId="75E66F2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PROCEDIMIENTOS APLICABLES PARA LA EXPEDICIÓN DE LICENCIAS URBANÍSTICAS Y SUS MODIFICACIONES</w:t>
      </w:r>
    </w:p>
    <w:p w14:paraId="10DFA832" w14:textId="77777777" w:rsidR="0012676B" w:rsidRDefault="0012676B" w:rsidP="00D4095E">
      <w:pPr>
        <w:spacing w:after="0" w:line="240" w:lineRule="auto"/>
        <w:jc w:val="center"/>
        <w:rPr>
          <w:rFonts w:ascii="Arial" w:eastAsia="Times New Roman" w:hAnsi="Arial" w:cs="Arial"/>
          <w:b/>
          <w:bCs/>
          <w:color w:val="000000"/>
          <w:lang w:eastAsia="es-CO"/>
        </w:rPr>
      </w:pPr>
    </w:p>
    <w:p w14:paraId="24433171" w14:textId="088C35D2"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40CC82B5"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LAS SOLICITUDES</w:t>
      </w:r>
    </w:p>
    <w:p w14:paraId="00BF3E9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64" w:name="ver_30109255"/>
      <w:bookmarkStart w:id="1265" w:name="ver_30109242"/>
      <w:bookmarkEnd w:id="1264"/>
    </w:p>
    <w:p w14:paraId="43D1ACE1" w14:textId="258CAF7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2.2.6.1.2.1.1</w:t>
      </w:r>
      <w:r w:rsidR="0012676B">
        <w:rPr>
          <w:rFonts w:ascii="Arial" w:eastAsia="Times New Roman" w:hAnsi="Arial" w:cs="Arial"/>
          <w:color w:val="000000"/>
          <w:lang w:eastAsia="es-CO"/>
        </w:rPr>
        <w:t xml:space="preserve">. </w:t>
      </w:r>
      <w:r w:rsidRPr="009342F9">
        <w:rPr>
          <w:rFonts w:ascii="Arial" w:eastAsia="Times New Roman" w:hAnsi="Arial" w:cs="Arial"/>
          <w:color w:val="000000"/>
          <w:lang w:eastAsia="es-CO"/>
        </w:rPr>
        <w:t>Solicitud de la licencia y sus modificaciones.  </w:t>
      </w:r>
    </w:p>
    <w:p w14:paraId="5DE215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5216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estudio, trámite y expedición de licencias urbanísticas y de sus modificaciones procederá a solicitud de quienes puedan ser titulares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una vez hayan sido radicadas en legal y debida forma.  </w:t>
      </w:r>
    </w:p>
    <w:p w14:paraId="79430D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600D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Se entenderá que una solicitud de licencia o su modificación está radicada en legal y debida forma si a la fecha de radicación se allega la totalidad de los documentos exigidos en el presente decreto, aun cuando estén sujetos a posteriores correcciones.  </w:t>
      </w:r>
    </w:p>
    <w:p w14:paraId="2BE8D7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B213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y tratándose de solicitudes de licencias de construcción y sus modalidades, el curador urbano o la autoridad municipal o distrital competente encargada del estudio, trámite y expedición de las licencias urbanísticas, al momento de la radicación deberá verificar que los documentos que acompañan la solicitud contienen la información básica que se señala en el Formato de Revisión e Información de Proyectos adoptado por el Ministerio de Vivienda, Ciudad y Territorio mediante la Resolución número 0931 de 2012 o la norma que la adicione, modifique o sustituya.  </w:t>
      </w:r>
    </w:p>
    <w:p w14:paraId="30AD3B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DAA7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expedición de la licencia conlleva, por parte del curador urbano o la autoridad municipal o distrital competente encargada del estudio, trámite y expedición de las licencias urbanísticas, la práctica, entre otras, de las siguientes actuaciones: el suministro de información sobre las normas urbanísticas aplicables al predio o predios objeto del proyecto, la rendición de los conceptos que sobre las normas urbanísticas aplicables se soliciten, la aprobación del proyecto urbanístico general y de los planos requeridos para acogerse al régimen de propiedad horizontal, la revisión del diseño estructural y la certificación del cumplimiento de las normas con base en las cuales fue expedida.  </w:t>
      </w:r>
    </w:p>
    <w:p w14:paraId="5F64E0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F45E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los casos en que exista concepto técnico expedido por autoridad municipal o distrital encargada de la gestión del riesgo de desastres, que evidencie que una edificación presenta graves daños en su estructura portante que pueda llegar a afectar la vida o la salud de las personas, que genere lesiones o impactos graves en las mismas o en la comunidad, o medie una orden de autoridad judicial o administrativa que ordene reforzar el inmueble, se deberá garantizar la vida y salud de las personas, así como la estabilidad de las obras, de la siguiente forma:  </w:t>
      </w:r>
    </w:p>
    <w:p w14:paraId="28E736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2932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Titularidad. Será obligatorio para el titular de la licencia de construcción adelantar el trámite para su reforzamiento estructural, una vez expedido el concepto técnico de la autoridad municipal o distrital encargada de la gestión del riesgo de desastres, o se encuentre en firme la decisión judicial o administrativa; en el caso en que el proyecto se encuentre sometido al régimen de propiedad horizontal, el titular de la referida licencia de construcción, será la asamblea de copropietarios o quien esta faculte;  </w:t>
      </w:r>
    </w:p>
    <w:p w14:paraId="4C8E1B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CB0F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Intervención de los alcaldes. En el evento que el titular de la licencia de construcción se niegue a solicitar la respectiva licencia en la modalidad de reforzamiento, el trámite se adelantará por el alcalde municipal o distrital.  </w:t>
      </w:r>
    </w:p>
    <w:p w14:paraId="432D0B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3206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proyecto se encuentra en periodo de garantía de la construcción, deberá tramitarse la licencia de construcción en la modalidad de reforzamiento estructural por el constructor o enajenador responsable de la garantía o la compañía de seguros que constituyó la misma. En caso de no hacerlo, dicho trámite lo podrá adelantar el municipio o distrito. Los costos del trámite y de la ejecución de la obra estarán a cargo de quienes deben asumir la garantía de la construcción;  </w:t>
      </w:r>
    </w:p>
    <w:p w14:paraId="443573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936E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Trámite. En todos los anteriores casos, el curador urbano o la autoridad encargada de resolver la solicitud de licencia, deberá citar a los titulares del derecho de dominio, a quienes ostenten garantías reales, así como a los vecinos colindantes del inmueble o inmuebles para que se hagan parte y hagan valer sus derechos, dando aplicación al procedimiento para la expedición de las licencias y sus modificaciones contemplado en el presente decreto;  </w:t>
      </w:r>
    </w:p>
    <w:p w14:paraId="2010DD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0DF0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Costos. Los costos del trámite y de la ejecución de la obra estarán a cargo del titular o de quienes deben asumir la garantía de la construcción.  </w:t>
      </w:r>
    </w:p>
    <w:p w14:paraId="2BBD50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BD55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por alguna de las situaciones descritas anteriormente, el municipio o distrito asumió el valor asociado al trámite de reforzamiento estructural, de conformidad con las disposiciones del artículo 69 de la Ley 9ª de 1989 o la norma que lo modifique o sustituya, podrá exigir su reembolso por jurisdicción coactiva, si es del caso;  </w:t>
      </w:r>
    </w:p>
    <w:p w14:paraId="327AD2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F9E3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 Incumplimientos. El desconocimiento por parte de los responsables del trámite </w:t>
      </w:r>
      <w:proofErr w:type="gramStart"/>
      <w:r w:rsidRPr="009342F9">
        <w:rPr>
          <w:rFonts w:ascii="Arial" w:eastAsia="Times New Roman" w:hAnsi="Arial" w:cs="Arial"/>
          <w:color w:val="000000"/>
          <w:lang w:eastAsia="es-CO"/>
        </w:rPr>
        <w:t>descrito,</w:t>
      </w:r>
      <w:proofErr w:type="gramEnd"/>
      <w:r w:rsidRPr="009342F9">
        <w:rPr>
          <w:rFonts w:ascii="Arial" w:eastAsia="Times New Roman" w:hAnsi="Arial" w:cs="Arial"/>
          <w:color w:val="000000"/>
          <w:lang w:eastAsia="es-CO"/>
        </w:rPr>
        <w:t xml:space="preserve"> dará lugar a las sanciones urbanísticas del artículo 103 de la Ley 388 de 1997, modificado los artículos 1° de la Ley 810 de 2003 y 104 de la Ley 388 de 1997, modificado por el artículo 2° de la Ley 810 de 2003.  </w:t>
      </w:r>
    </w:p>
    <w:p w14:paraId="0995A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37A1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su trámite, estudio y expedición, la solicitud de licencia no se someterá a reparto entre los curadores urbanos del municipio o distrito.  </w:t>
      </w:r>
    </w:p>
    <w:p w14:paraId="36B63AC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66" w:name="ver_30074009"/>
      <w:bookmarkEnd w:id="1265"/>
      <w:bookmarkEnd w:id="1266"/>
    </w:p>
    <w:p w14:paraId="07FA5A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2.2.6.1.2.1.2 Radicación de la solicitud. Presentada la solicitud de licencia, se radicará y numerará consecutivamente, en orden cronológico de recibo, dejando constancia de los documentos aportados con la misma. </w:t>
      </w:r>
    </w:p>
    <w:p w14:paraId="2A74C1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3E05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que la solicitud no se encuentre completa, se devolverá la documentación para completarla. Si el peticionario insiste, se radicará dejando constancia de este hecho y advirtiéndole que deberá allanarse a cumplir dentro de los treinta (30) días hábiles siguientes so pena de entenderse desistida la solicitud, lo cual se hará mediante acto administrativo que ordene su archivo y contra el que procederá el recurso de reposición ante la autoridad que lo expidió. </w:t>
      </w:r>
    </w:p>
    <w:p w14:paraId="5258F9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75A8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 durante el término que transcurre entre la solicitud de una licencia o su modificación y la expedición del acto administrativo que otorgue la licencia o autorice la modificación, se produce un cambio en las normas urbanísticas que afecten el proyecto sometido a consideración del curador o de la autoridad municipal o distrital encargada de estudiar, tramitar y expedir las licencias urbanísticas, el solicitante tendrá derecho a que la licencia o la modificación se le conceda con base en la norma urbanística vigente al momento de la radicación de la solicitud, siempre que la misma haya sido presentada en legal y debida forma. </w:t>
      </w:r>
    </w:p>
    <w:p w14:paraId="1903588F" w14:textId="623067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67" w:name="ver_30074010"/>
      <w:bookmarkEnd w:id="1267"/>
    </w:p>
    <w:p w14:paraId="306937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2.2.6.1.2.1.3 Sistema de categorización para el trámite de estudio y expedición de licencias de construcción en función de su complejidad. Con el propósito de optimizar y agilizar el trámite de expedición de licencias de construcción y sus modalidades, los curadores urbanos o la autoridad municipal o distrital encargada del estudio, trámite y expedición de las licencias, implementarán el sistema de categorización para el trámite de estudio y expedición de licencias de construcción y sus modalidades en función de la complejidad del proyecto objeto de solicitud, el cual se fundamenta exclusivamente en las siguientes variables: </w:t>
      </w:r>
    </w:p>
    <w:p w14:paraId="4F81E8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BDDA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 de construcción o área construida del proyecto, entendida como la parte a edificar y/o edificada a intervenir y que corresponde a la suma de las superficies de los pisos, excluyendo azoteas y áreas sin cubrir o techar. </w:t>
      </w:r>
    </w:p>
    <w:p w14:paraId="1F7884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6E46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Requisitos generales de diseño estructural y construcción sismo resistente, en concordancia con las normas establecidas en la Ley 400 de 1997, sus decretos reglamentarios, o las normas que los adicionen, modifiquen o sustituyan y el Reglamento Colombiano de Construcción Sismo resistente -NSR- 10, y la norma que lo adicione, modifique o sustituya. </w:t>
      </w:r>
    </w:p>
    <w:p w14:paraId="3A9958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E111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podrán incluirse variables diferentes a las contempladas en el presente artículo. </w:t>
      </w:r>
    </w:p>
    <w:p w14:paraId="0078A4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4718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los efectos del presente artículo, el sistema de categorización en función de su complejidad se define como el conjunto de variables que, aplicadas a una actuación de expedición de una licencia de construcción, establece el mayor o menor grado de dificultad para su estudio. </w:t>
      </w:r>
    </w:p>
    <w:p w14:paraId="16F1E66D" w14:textId="196814C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68" w:name="ver_30074011"/>
      <w:bookmarkEnd w:id="1268"/>
    </w:p>
    <w:p w14:paraId="592194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2.2.6.1.2.1.4 Categorías. Para efectos de lo previsto en el artículo anterior, todas las solicitudes de licencias de construcción y sus modalidades se clasificarán de acuerdo con las siguientes categorías de complejidad: </w:t>
      </w:r>
    </w:p>
    <w:p w14:paraId="78460A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034D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Categoría IV: Alta Complejidad. Se incluyen dentro de esta categoría las solicitudes de licencia de construcción que cumplan con las siguientes condiciones: </w:t>
      </w:r>
    </w:p>
    <w:p w14:paraId="43C9BF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CDE0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Área de construcción mayor a 5.000 metros cuadrados. </w:t>
      </w:r>
    </w:p>
    <w:p w14:paraId="4E35C6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1A83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Características estructurales diferentes a lo dispuesto en el Título E del Reglamento Colombiano de Construcción Sismo resistente -NSR- 10, y la norma que lo adicione, modifique o sustituya. </w:t>
      </w:r>
    </w:p>
    <w:p w14:paraId="143CF5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93C1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Categoría III: Media-Alta Complejidad. Se incluyen dentro de esta categoría las solicitudes de licencia de construcción que cumplan con las siguientes condiciones: </w:t>
      </w:r>
    </w:p>
    <w:p w14:paraId="1C756E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17A2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Área de construcción superior a 2.000 metros cuadrados y hasta 5.000 metros cuadrado. </w:t>
      </w:r>
    </w:p>
    <w:p w14:paraId="05C334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C18D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Características estructurales diferentes a lo dispuesto en el Título E del Reglamento colombiano de Construcción Sismo resistente -NSR- 10, y la norma que lo adicione, modifique o sustituya. </w:t>
      </w:r>
    </w:p>
    <w:p w14:paraId="18633A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D182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Categoría II: Media Complejidad. Se incluyen dentro de esta categoría las solicitudes de licencia de construcción que cumplan con las siguientes condiciones: </w:t>
      </w:r>
    </w:p>
    <w:p w14:paraId="4D83D1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F5E0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Área de construcción entre 500 y 2.000 metros cuadrados. </w:t>
      </w:r>
    </w:p>
    <w:p w14:paraId="77AB4B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8809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Características estructurales de conformidad con lo dispuesto en el Título E del Reglamento Colombiano de Construcción Sismo resistente -NSR- 10, y la norma que lo adicione, modifique o sustituya. </w:t>
      </w:r>
    </w:p>
    <w:p w14:paraId="5AE19A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FD0E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Categoría I: Baja Complejidad. Se incluyen dentro de esta categoría las solicitudes de licencia de construcción que cumplan con las siguientes condiciones: </w:t>
      </w:r>
    </w:p>
    <w:p w14:paraId="56243F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A874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4.4 Área de construcción menor a 500 metros cuadrados. </w:t>
      </w:r>
    </w:p>
    <w:p w14:paraId="247DA0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849E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4.5 Características estructurales de conformidad con lo dispuesto en el Título E del Reglamento Colombiano de Construcción Sismo resistente -NSR- 10, y la norma que lo adicione, modifique o sustituya. </w:t>
      </w:r>
    </w:p>
    <w:p w14:paraId="34CE1C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37CD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Cuando una vez aplicado el sistema de categorización resulte que el proyecto objeto de la solicitud reúne condiciones que permiten clasificarlo en varias categorías, será catalogado en la de mayor complejidad. </w:t>
      </w:r>
    </w:p>
    <w:p w14:paraId="11DBE9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A275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 acuerdo con esta categorización, los curadores urbanos y la autoridad municipal o distrital encargada del estudio, trámite y expedición de las licencias procederán a realizar la revisión técnica, jurídica, estructural, urbanística y arquitectónica de los proyectos objeto de solicitud, en los términos del presente Capítulo y dentro de los plazos Indicativos de que trata el artículo 2.2.6.1.2.3.2 del presente decreto. </w:t>
      </w:r>
    </w:p>
    <w:p w14:paraId="0991A980" w14:textId="52A52D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69" w:name="ver_30110840"/>
      <w:bookmarkStart w:id="1270" w:name="ver_30110839"/>
      <w:bookmarkEnd w:id="1269"/>
    </w:p>
    <w:p w14:paraId="342038F7" w14:textId="4E7C7EA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2.2.6.1.2.1.5.</w:t>
      </w:r>
      <w:r w:rsidR="003A7066">
        <w:rPr>
          <w:rFonts w:ascii="Arial" w:eastAsia="Times New Roman" w:hAnsi="Arial" w:cs="Arial"/>
          <w:color w:val="000000"/>
          <w:lang w:eastAsia="es-CO"/>
        </w:rPr>
        <w:t xml:space="preserve"> </w:t>
      </w:r>
      <w:r w:rsidRPr="009342F9">
        <w:rPr>
          <w:rFonts w:ascii="Arial" w:eastAsia="Times New Roman" w:hAnsi="Arial" w:cs="Arial"/>
          <w:color w:val="000000"/>
          <w:lang w:eastAsia="es-CO"/>
        </w:rPr>
        <w:t>Titulares de las licencias de urbanización, parcelación, subdivisión y construcción. Podrán ser titulares de las licencias de urbanización, parcelación, subdivisión y construcción los titulares de derechos reales principales, los propietarios del derecho de dominio a título de fiducia y los fideicomitentes de las mismas fiducias, de los inmuebles objeto de la solicitud. </w:t>
      </w:r>
    </w:p>
    <w:p w14:paraId="53362E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A97F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También podrán ser titulares las entidades previstas en el artículo 59 de la Ley 388 de 1997 o la norma que lo adicione, modifique o sustituya, cuando se les haya hecho entrega del predio o predios objeto de adquisición, en los procesos de enajenación voluntaria y/o expropiación previstos en los Capítulos VII y VIII de la Ley 388 de 1997. No obstante, durante el curso del proceso y previamente a la entrega del predio o predios, las citadas entidades estarán facultadas para adelantar todos los trámites previos para la solicitud de licencias urbanísticas tales como, solicitudes de factibilidad y disponibilidad de servicios públicos, actualización de cabida y linderos, los trámites dirigidos a precisar o actualizar la información cartográfica y demás actuaciones que se requieran para la expedición de licencias urbanísticas y estudio y aprobación de los instrumentos de planeación urbana que desarrollen y complementen el plan de ordenamiento territorial. </w:t>
      </w:r>
    </w:p>
    <w:p w14:paraId="619158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FF84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propietarios comuneros podrán ser titulares de las licencias de que trata este artículo, siempre y cuando dentro del procedimiento se convoque a los demás copropietarios o comuneros de la forma prevista para la citación a vecinos con el fin de que se hagan parte y hagan valer sus derechos. </w:t>
      </w:r>
    </w:p>
    <w:p w14:paraId="289662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5EB9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los casos de proyectos </w:t>
      </w:r>
      <w:proofErr w:type="spellStart"/>
      <w:r w:rsidRPr="009342F9">
        <w:rPr>
          <w:rFonts w:ascii="Arial" w:eastAsia="Times New Roman" w:hAnsi="Arial" w:cs="Arial"/>
          <w:color w:val="000000"/>
          <w:lang w:eastAsia="es-CO"/>
        </w:rPr>
        <w:t>bifamiliares</w:t>
      </w:r>
      <w:proofErr w:type="spellEnd"/>
      <w:r w:rsidRPr="009342F9">
        <w:rPr>
          <w:rFonts w:ascii="Arial" w:eastAsia="Times New Roman" w:hAnsi="Arial" w:cs="Arial"/>
          <w:color w:val="000000"/>
          <w:lang w:eastAsia="es-CO"/>
        </w:rPr>
        <w:t>, será titular de la licencia de construcción el propietario o poseedor de la unidad para la cual se haya hecho la solicitud, sin que se requiera que el propietario o poseedor de la otra unidad concurra o autorice para radicar la respectiva solicitud. En todo caso, este último deberá ser convocado de la forma prevista para la citación a vecinos”. </w:t>
      </w:r>
    </w:p>
    <w:p w14:paraId="4909D5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487B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poseedores solo podrán ser titulares de las licencias de construcción y de los actos de reconocimiento de la existencia de edificaciones. </w:t>
      </w:r>
    </w:p>
    <w:p w14:paraId="6C910C2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71" w:name="ver_30074013"/>
      <w:bookmarkEnd w:id="1270"/>
      <w:bookmarkEnd w:id="1271"/>
    </w:p>
    <w:p w14:paraId="138C69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2.2.6.1.2.1.6 Titulares de la licencia de intervención y ocupación del espacio público. Podrán ser titulares de las licencias de intervención y ocupación del espacio público las personas naturales o jurídicas, públicas o privadas y los consorcios o uniones temporales que precisen ocupar o intervenir el espacio público. </w:t>
      </w:r>
    </w:p>
    <w:p w14:paraId="576FCC97" w14:textId="4FF286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72" w:name="ver_30125159"/>
      <w:bookmarkEnd w:id="1272"/>
    </w:p>
    <w:p w14:paraId="7708B3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2.2.6.1.2.1.7 Documentos. Toda solicitud de Licencia urbanística deberá acompañarse de los siguientes documentos: </w:t>
      </w:r>
    </w:p>
    <w:p w14:paraId="23DCAA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8788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Copia del certificado de libertad y tradición del inmueble o inmuebles objeto de la solicitud, cuya fecha de expedición no sea superior a un mes antes de la fecha de la solicitud. Cuando el predio no se haya </w:t>
      </w:r>
      <w:proofErr w:type="spellStart"/>
      <w:r w:rsidRPr="009342F9">
        <w:rPr>
          <w:rFonts w:ascii="Arial" w:eastAsia="Times New Roman" w:hAnsi="Arial" w:cs="Arial"/>
          <w:color w:val="000000"/>
          <w:lang w:eastAsia="es-CO"/>
        </w:rPr>
        <w:t>desenglobado</w:t>
      </w:r>
      <w:proofErr w:type="spellEnd"/>
      <w:r w:rsidRPr="009342F9">
        <w:rPr>
          <w:rFonts w:ascii="Arial" w:eastAsia="Times New Roman" w:hAnsi="Arial" w:cs="Arial"/>
          <w:color w:val="000000"/>
          <w:lang w:eastAsia="es-CO"/>
        </w:rPr>
        <w:t xml:space="preserve"> se podrá aportar el certificado del predio de mayor extensión. </w:t>
      </w:r>
    </w:p>
    <w:p w14:paraId="6190BB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6342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formulario único nacional para la solicitud de licencias adoptado mediante la Resolución 0984 de 2005 del Ministerio de Ambiente, Vivienda y Desarrollo Territorial o la norma que la adicione, modifique o sustituya, debidamente diligenciado por el solicitante. </w:t>
      </w:r>
    </w:p>
    <w:p w14:paraId="630D1E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6A32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Copia del documento de identidad del solicitante cuando se trate de personas naturales o certificado de existencia y representación legal, cuya fecha de expedición no sea superior a un mes, cuando se trate de personas jurídicas. </w:t>
      </w:r>
    </w:p>
    <w:p w14:paraId="4A1ECA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4412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Poder o autorización debidamente otorgado, cuando se actúe mediante apoderado o mandatario, con presentación personal de quien lo otorgue. </w:t>
      </w:r>
    </w:p>
    <w:p w14:paraId="408DC9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79D1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Copia del documento o declaración privada del impuesto predial del último año en relación con el inmueble o inmuebles objeto de la solicitud, donde figure la nomenclatura alfanumérica o identificación del predio. Este requisito no se exigirá cuando exista otro documento oficial con base en el cual se pueda establecer la dirección del predio objeto de solicitud. </w:t>
      </w:r>
    </w:p>
    <w:p w14:paraId="4E5408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DEA6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relación de la dirección de los predios colindantes al proyecto objeto de la solicitud. Se entiende por predios colindantes aquellos que tienen un lindero en común con el inmueble o inmuebles objeto de solicitud de licencia. Este requisito no se exigirá cuando se trate de predios rodeados completamente por espacio público o ubicados en zonas rurales no suburbanas. </w:t>
      </w:r>
    </w:p>
    <w:p w14:paraId="6096FC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6478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A las solicitudes de licencia de intervención y ocupación del espacio público solo se les exigirá el aporte de los documentos de que tratan los numerales 3 y 4 del presente artículo. </w:t>
      </w:r>
    </w:p>
    <w:p w14:paraId="785DA2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32A8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A las solicitudes de revalidación solamente se les exigirán los documentos de que tratan los numerales 1, 3 y 4 del presente artículo, no estarán sometidas al procedimiento de expedición de licencia y deberán resolverse en un término máximo de 30 días hábiles contados a partir de la radicación de la solicitud. </w:t>
      </w:r>
    </w:p>
    <w:p w14:paraId="2182EB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8175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las ciudades, donde existan medios tecnológicos disponibles de consulta virtual o flujos de información electrónica, el curador urbano o la autoridad municipal o distrital encargada del estudio, trámite y expedición de las licencias estarán en la obligación de verificar por estos mismos medios, al momento de la radicación de la solicitud, la información pertinente contenida en los documentos de que tratan los numerales 1, 3 y 5 del presente artículo. Esta consulta de verificación sustituye la presentación del documento a cargo del solicitante de la licencia, salvo que la información correspondiente no se encuentre disponible por medios electrónicos. </w:t>
      </w:r>
    </w:p>
    <w:p w14:paraId="635561C9" w14:textId="5A5EE8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47B11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73" w:name="ver_30109497"/>
      <w:bookmarkStart w:id="1274" w:name="ver_30109498"/>
      <w:r w:rsidRPr="009342F9">
        <w:rPr>
          <w:rFonts w:ascii="Arial" w:eastAsia="Times New Roman" w:hAnsi="Arial" w:cs="Arial"/>
          <w:color w:val="000000"/>
          <w:lang w:eastAsia="es-CO"/>
        </w:rPr>
        <w:t>Artículo 2.2.6.1.2.1.8. Derogado  </w:t>
      </w:r>
    </w:p>
    <w:p w14:paraId="0AFF54B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75" w:name="ver_30187321"/>
      <w:bookmarkStart w:id="1276" w:name="ver_30110841"/>
      <w:bookmarkStart w:id="1277" w:name="ver_30110842"/>
      <w:bookmarkEnd w:id="1273"/>
      <w:bookmarkEnd w:id="1274"/>
      <w:bookmarkEnd w:id="1275"/>
    </w:p>
    <w:p w14:paraId="0062B752" w14:textId="060432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2.2.6.1.2.1.9.</w:t>
      </w:r>
      <w:r w:rsidR="00ED3B66">
        <w:rPr>
          <w:rFonts w:ascii="Arial" w:eastAsia="Times New Roman" w:hAnsi="Arial" w:cs="Arial"/>
          <w:color w:val="000000"/>
          <w:lang w:eastAsia="es-CO"/>
        </w:rPr>
        <w:t xml:space="preserve"> </w:t>
      </w:r>
      <w:r w:rsidRPr="009342F9">
        <w:rPr>
          <w:rFonts w:ascii="Arial" w:eastAsia="Times New Roman" w:hAnsi="Arial" w:cs="Arial"/>
          <w:color w:val="000000"/>
          <w:lang w:eastAsia="es-CO"/>
        </w:rPr>
        <w:t>Derogado </w:t>
      </w:r>
    </w:p>
    <w:p w14:paraId="661F846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0FAB9B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78" w:name="ver_30074017"/>
      <w:bookmarkEnd w:id="1276"/>
      <w:bookmarkEnd w:id="1277"/>
      <w:r w:rsidRPr="009342F9">
        <w:rPr>
          <w:rFonts w:ascii="Arial" w:eastAsia="Times New Roman" w:hAnsi="Arial" w:cs="Arial"/>
          <w:color w:val="000000"/>
          <w:lang w:eastAsia="es-CO"/>
        </w:rPr>
        <w:t>Artículo 2.2.6.1.2.1.10 Derogado </w:t>
      </w:r>
    </w:p>
    <w:p w14:paraId="3DB426C2"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0C751D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79" w:name="ver_30187322"/>
      <w:bookmarkStart w:id="1280" w:name="ver_30109509"/>
      <w:bookmarkStart w:id="1281" w:name="ver_30110903"/>
      <w:bookmarkStart w:id="1282" w:name="ver_30110908"/>
      <w:bookmarkEnd w:id="1278"/>
      <w:bookmarkEnd w:id="1279"/>
      <w:r w:rsidRPr="009342F9">
        <w:rPr>
          <w:rFonts w:ascii="Arial" w:eastAsia="Times New Roman" w:hAnsi="Arial" w:cs="Arial"/>
          <w:color w:val="000000"/>
          <w:lang w:eastAsia="es-CO"/>
        </w:rPr>
        <w:t>Artículo 2.2.6.1.2.1.11 Derogado </w:t>
      </w:r>
    </w:p>
    <w:p w14:paraId="1149C6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83" w:name="ver_30187323"/>
      <w:bookmarkStart w:id="1284" w:name="ver_30110916"/>
      <w:bookmarkEnd w:id="1280"/>
      <w:bookmarkEnd w:id="1281"/>
      <w:bookmarkEnd w:id="1282"/>
      <w:bookmarkEnd w:id="1283"/>
    </w:p>
    <w:p w14:paraId="56530B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2.2.6.1.2.1.12 Derogado </w:t>
      </w:r>
    </w:p>
    <w:p w14:paraId="4AE2A183"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98F116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85" w:name="ver_30187325"/>
      <w:bookmarkStart w:id="1286" w:name="ver_30074020"/>
      <w:bookmarkEnd w:id="1284"/>
      <w:bookmarkEnd w:id="1285"/>
      <w:r w:rsidRPr="009342F9">
        <w:rPr>
          <w:rFonts w:ascii="Arial" w:eastAsia="Times New Roman" w:hAnsi="Arial" w:cs="Arial"/>
          <w:color w:val="000000"/>
          <w:lang w:eastAsia="es-CO"/>
        </w:rPr>
        <w:t>Artículo 2.2.6.1.2.1.13 Derogado </w:t>
      </w:r>
    </w:p>
    <w:p w14:paraId="227E6CA1"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287" w:name="ver_30187326"/>
      <w:bookmarkStart w:id="1288" w:name="ver_30074021"/>
      <w:bookmarkEnd w:id="1286"/>
      <w:bookmarkEnd w:id="1287"/>
    </w:p>
    <w:p w14:paraId="6EA3CC46" w14:textId="59F837B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2.2.6.1.2.1.14 Derogado </w:t>
      </w:r>
    </w:p>
    <w:p w14:paraId="1CE081BB"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45B4AFE" w14:textId="05F963C7" w:rsidR="00FC79C1" w:rsidRPr="009342F9" w:rsidRDefault="00FC79C1" w:rsidP="00D4095E">
      <w:pPr>
        <w:spacing w:after="0" w:line="240" w:lineRule="auto"/>
        <w:jc w:val="center"/>
        <w:rPr>
          <w:rFonts w:ascii="Arial" w:eastAsia="Times New Roman" w:hAnsi="Arial" w:cs="Arial"/>
          <w:b/>
          <w:bCs/>
          <w:color w:val="000000"/>
          <w:lang w:eastAsia="es-CO"/>
        </w:rPr>
      </w:pPr>
      <w:bookmarkStart w:id="1289" w:name="ver_30074022"/>
      <w:bookmarkEnd w:id="1288"/>
      <w:bookmarkEnd w:id="1289"/>
      <w:r w:rsidRPr="009342F9">
        <w:rPr>
          <w:rFonts w:ascii="Arial" w:eastAsia="Times New Roman" w:hAnsi="Arial" w:cs="Arial"/>
          <w:b/>
          <w:bCs/>
          <w:color w:val="000000"/>
          <w:lang w:eastAsia="es-CO"/>
        </w:rPr>
        <w:t>SUBSECCIÓN 2</w:t>
      </w:r>
    </w:p>
    <w:p w14:paraId="3D589CC2"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PROCEDIMIENTO PARA LA EXPEDICIÓN DE LA LICENCIA Y SUS MODIFICACIONES</w:t>
      </w:r>
    </w:p>
    <w:p w14:paraId="0B8297F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90" w:name="ver_30074023"/>
      <w:bookmarkEnd w:id="1290"/>
    </w:p>
    <w:p w14:paraId="2C0BCD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2.2.6.1.2.2.1 Citación a vecinos. El curador urbano o la autoridad municipal o distrital competente para el estudio, trámite y expedición de licencias, citará a los vecinos colindantes del inmueble o inmuebles objeto de la solicitud para que se hagan parte y puedan hacer valer sus derechos. En la citación se dará a conocer, por lo menos, el número de radicación y fecha, el nombre del solicitante de la licencia, la dirección del inmueble o inmuebles objeto de solicitud, la modalidad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y el uso o usos propuestos conforme a la radicación. La citación a vecinos se hará por correo certificado conforme a la información suministrada por el solicitante de la licencia. </w:t>
      </w:r>
    </w:p>
    <w:p w14:paraId="5BE0E0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FEEC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entiende por vecinos los propietarios, poseedores, tenedores o residentes de predios colindantes, de acuerdo con lo establecido en el numeral 6 del artículo 2.2.6.1.2.1.7 de este decreto. </w:t>
      </w:r>
    </w:p>
    <w:p w14:paraId="3AB70A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2D25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 citación no fuere posible, se insertará un aviso en la publicación que para tal efecto tuviere la entidad o en un periódico de amplia circulación local o nacional. En la publicación se incluirá la información indicada para las citaciones. En aquellos municipios donde esto no fuere posible, se puede hacer uso de un medio masivo de radiodifusión local, en el horario de 8:00 a. m. a 8:00 p. m. </w:t>
      </w:r>
    </w:p>
    <w:p w14:paraId="2E02F7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D94A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Cualquiera sea el medio utilizado para comunicar la solicitud a los vecinos colindantes, en el expediente se deberán dejar las respectivas constancias. </w:t>
      </w:r>
    </w:p>
    <w:p w14:paraId="25096A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42CD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Desde el día siguiente a la fecha de radicación en legal y debida forma de solicitudes de proyectos de parcelación, urbanización y construcción en cualquiera de sus modalidades, el peticionario de la licencia deberá instalar una valla resistente a la intemperie de fondo amarillo y letras negras, con una dimensión mínima de un metro (1.00 m) por setenta (70) centímetros, en lugar visible desde la vía pública, en la que se advierta a terceros sobre la iniciación del trámite administrativo tendiente a la expedición de la licencia urbanística, indicando el número de radicación, fecha de radicación, la autoridad ante la cual se tramita la solicitud, el uso y características básicas del proyecto. </w:t>
      </w:r>
    </w:p>
    <w:p w14:paraId="1EDFEA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21F3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Tratándose de solicitudes de licencia de construcción individual de vivienda de interés social, se instalará un aviso de treinta (30) centímetros por cincuenta (50) centímetros en lugar visible desde la vía pública. </w:t>
      </w:r>
    </w:p>
    <w:p w14:paraId="248636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D793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solicite licencia para el desarrollo de obras de construcción en las modalidades de ampliación, adecuación, restauración o demolición en edificios o conjunto sometidos al régimen de propiedad horizontal, se instalará un aviso de treinta (30) centímetros por cincuenta (50) centímetros en la cartelera principal del edificio o conjunto, o en un lugar de amplia circulación que determine la administración. </w:t>
      </w:r>
    </w:p>
    <w:p w14:paraId="2847B3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BEF7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fotografía de la valla o del aviso, según sea el caso, con la información indicada se deberá anexar al respectivo expediente administrativo en los cinco (5) días hábiles siguientes a la radicación de la solicitud, so pena de entenderse desistida. </w:t>
      </w:r>
    </w:p>
    <w:p w14:paraId="7622BD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DB70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valla, por ser requisito para el trámite de la licencia, no generará ninguna clase de pagos o permisos adicionales a los de la licencia misma y deberá permanecer en el sitio hasta tanto la solicitud sea resuelta. </w:t>
      </w:r>
    </w:p>
    <w:p w14:paraId="567E74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3A54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 dispuesto en este artículo no se aplicará para las solicitudes de licencia de subdivisión, de construcción en la modalidad de reconstrucción; intervención y ocupación de espacio público; las solicitudes de revalidación ni las solicitudes de modificación de licencia vigente siempre y cuando, en estas últimas, se trate de rediseños internos manteniendo la volumetría y el uso predominante aprobados en la licencia objeto de modificación. </w:t>
      </w:r>
    </w:p>
    <w:p w14:paraId="6BF769FD" w14:textId="4B36F4B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91" w:name="ver_30074024"/>
      <w:bookmarkEnd w:id="1291"/>
    </w:p>
    <w:p w14:paraId="0DA9F2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2.2.6.1.2.2.2 Intervención de terceros. Toda persona interesada en formular objeciones a la expedición de una licencia </w:t>
      </w:r>
      <w:proofErr w:type="gramStart"/>
      <w:r w:rsidRPr="009342F9">
        <w:rPr>
          <w:rFonts w:ascii="Arial" w:eastAsia="Times New Roman" w:hAnsi="Arial" w:cs="Arial"/>
          <w:color w:val="000000"/>
          <w:lang w:eastAsia="es-CO"/>
        </w:rPr>
        <w:t>urbanística,</w:t>
      </w:r>
      <w:proofErr w:type="gramEnd"/>
      <w:r w:rsidRPr="009342F9">
        <w:rPr>
          <w:rFonts w:ascii="Arial" w:eastAsia="Times New Roman" w:hAnsi="Arial" w:cs="Arial"/>
          <w:color w:val="000000"/>
          <w:lang w:eastAsia="es-CO"/>
        </w:rPr>
        <w:t xml:space="preserve"> podrá hacerse parte en el trámite administrativo desde la fecha de la radicación de la solicitud hasta antes de la expedición del acto administrativo que resuelva la solicitud. Dicho acto sólo podrá ser expedido una vez haya transcurrido un término mínimo de cinco (5) días hábiles, contados a partir del día siguiente a la fecha de la citación a los vecinos colindantes o de la publicación cuando esta fuere necesaria y, en el caso de los demás terceros, a partir del día siguiente a la fecha en que se radique la fotografía donde conste la instalación de la valla o aviso de que trata el parágrafo 1 del artículo anterior. </w:t>
      </w:r>
    </w:p>
    <w:p w14:paraId="4BD9CD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BD2C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objeciones y observaciones se deberán presentar por escrito, acreditando la condición de tercero individual y directamente interesado y presentar las pruebas que pretenda hacer valer y deberán fundamentarse únicamente en la aplicación de las normas jurídicas, urbanísticas, de edificabilidad o estructurales referentes a la solicitud, so pena de la responsabilidad extracontractual en la que podría incurrir por los perjuicios que ocasione con su conducta. Dichas observaciones se resolverán en el acto que decida sobre la solicitud. </w:t>
      </w:r>
    </w:p>
    <w:p w14:paraId="3A0CB145" w14:textId="40C5FB8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292" w:name="ver_30125161"/>
      <w:bookmarkStart w:id="1293" w:name="ver_30109499"/>
      <w:bookmarkStart w:id="1294" w:name="ver_30109500"/>
      <w:bookmarkEnd w:id="1292"/>
    </w:p>
    <w:p w14:paraId="13F984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2.2.6.1.2.2.3. De la revisión del proyecto. El curador urbano o la autoridad municipal o distrital encargada de estudiar, tramitar y expedir las licencias deberá revisar el proyecto objeto de la solicitud desde el punto de vista jurídico, urbanístico, arquitectónico y estructural, incluyendo la revisión del cumplimiento del Reglamento Colombiano de Construcción Sismorresistente NSR-10 y la norma que lo adicione, modifique o sustituya; los diseños estructurales, estudios geotécnicos y de suelos y diseños de elementos no estructurales, así como el cumplimiento de las normas urbanísticas y de edificación aplicables.  </w:t>
      </w:r>
    </w:p>
    <w:p w14:paraId="666873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12BD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bien la revisión del proyecto se podrá iniciar a partir del día siguiente de la radicación, los términos para resolver la solicitud empezarán a correr una vez haya sido radicada en legal y debida forma.  </w:t>
      </w:r>
    </w:p>
    <w:p w14:paraId="7A0EC3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79D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Durante el estudio y antes de emitir acta de observaciones podrá modificarse el proyecto objeto de solicitud siempre y cuando no conlleve cambio del uso predominante inicialmente presentado, evento en el cual deberá presentarse una nueva solicitud. Si la modificación del proyecto implica que el área construida alcance o supere los 2.000 metros cuadrados o que se genere un total de 5 o más unidades habitacionales o sin cambiar el uso predominante, para continuar con el trámite deberá allegarse copia de la memoria de los cálculos y planos estructurales firmados por el revisor independiente de los diseños estructurales, y copia del memorial de revisión independiente de los diseños estructurales.  </w:t>
      </w:r>
    </w:p>
    <w:p w14:paraId="143BF0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CC1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Mientras se crea el Registro Único Nacional de Profesionales Acreditados, los profesionales que suscriben el formulario único nacional para la solicitud de licencias, acreditarán su experiencia e idoneidad ante el curador urbano o la autoridad municipal o distrital encargada de la expedición de licencias, de conformidad con lo dispuesto en la Resolución número 015 de 2015 de la Comisión Asesora Permanente para el Régimen de Construcciones Sismorresistentes, o la que la adicione, modifique o sustituya.  </w:t>
      </w:r>
    </w:p>
    <w:p w14:paraId="7F2AA8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8598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revisor o revisores de los diseños estructurales, estudios geotécnicos y de suelos y diseños de elementos no estructurales no puede ser el mismo profesional que los elaboró, ni puede tener relación laboral o contractual con este, ni con la empresa que tuvo a su cargo la elaboración de cada uno de los diseños y estudios respectivamente. Esto aplica tanto para la revisión efectuada por las autoridades municipales o distritales encargadas del licenciamiento urbanístico, como para la revisión efectuada por los curadores urbanos y los revisores independientes de diseños estructurales. Además, no debe presentarse ninguna de las incompatibilidades contenidas en la Ley 1796 de 2016 ni en el Reglamento Colombiano de Construcción Sismorresistente NSR-10.  </w:t>
      </w:r>
    </w:p>
    <w:p w14:paraId="7A48E2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1566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revisión independiente de diseños estructurales debe realizarse conforme a lo dispuesto en el Apéndice A-6 del Reglamento Colombiano de Construcción Sismorresistente NSR-10. La escogencia y costo del profesional independiente será asumido por el solicitante de la licencia. En municipios que no cuenten con la figura del curador urbano, la revisión independiente de diseños estructurales podrá ser realizada por el curador urbano del municipio más cercano dentro del mismo departamento, siempre y cuando el mismo acepte realizarla y cumpla con las calidades profesionales de idoneidad y experiencia exigidas para desarrollar dicha revisión.  </w:t>
      </w:r>
    </w:p>
    <w:p w14:paraId="2508B7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6FB7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alcance y procedimiento de la revisión de los diseños y estudios se sujetará a las disposiciones que para el efecto defina la Comisión Asesora Permanente para el Régimen de Construcciones Sismorresistentes, de acuerdo con lo establecido en los artículos 16 y 42 de la Ley 400 de 1997, sus decretos reglamentarios, o las normas que los adicionen, modifiquen o sustituyan.  </w:t>
      </w:r>
    </w:p>
    <w:p w14:paraId="163D2D8B" w14:textId="13235D3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BEA41C" w14:textId="1D736C58" w:rsidR="00FC79C1" w:rsidRPr="009342F9" w:rsidRDefault="00FC79C1" w:rsidP="00FC79C1">
      <w:pPr>
        <w:spacing w:after="0" w:line="240" w:lineRule="auto"/>
        <w:jc w:val="both"/>
        <w:rPr>
          <w:rFonts w:ascii="Arial" w:eastAsia="Times New Roman" w:hAnsi="Arial" w:cs="Arial"/>
          <w:color w:val="000000"/>
          <w:lang w:eastAsia="es-CO"/>
        </w:rPr>
      </w:pPr>
      <w:bookmarkStart w:id="1295" w:name="ver_30125163"/>
      <w:bookmarkStart w:id="1296" w:name="ver_30125162"/>
      <w:bookmarkEnd w:id="1293"/>
      <w:bookmarkEnd w:id="1294"/>
      <w:bookmarkEnd w:id="1295"/>
      <w:r w:rsidRPr="009342F9">
        <w:rPr>
          <w:rFonts w:ascii="Arial" w:eastAsia="Times New Roman" w:hAnsi="Arial" w:cs="Arial"/>
          <w:color w:val="000000"/>
          <w:lang w:eastAsia="es-CO"/>
        </w:rPr>
        <w:t>Artículo 2.2.6.1.2.2.4.</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Acta de observaciones y correcciones. Efectuada la revisión técnica, jurídica, estructural, urbanística y arquitectónica del proyecto, el curador urbano o la autoridad municipal o distrital competente para el estudio, trámite y expedición de las licencias, prórrogas, revalidaciones de licencias y otras actuaciones, levantará por una sola vez, si a ello hubiere lugar, un acta de observaciones y correcciones en la que se informe al solicitante sobre las actualizaciones, correcciones o aclaraciones que debe realizar al proyecto y los documentos adicionales que debe aportar para decidir sobre la solicitud.  </w:t>
      </w:r>
    </w:p>
    <w:p w14:paraId="3DAAA2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2280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solicitante contará con un plazo de treinta (30) días hábiles para dar respuesta al requerimiento. Este plazo podrá ser ampliado, a solicitud de parte, hasta por un término adicional de quince (15) días hábiles. Durante este plazo se suspenderá el término para la expedición de la licencia.  </w:t>
      </w:r>
    </w:p>
    <w:p w14:paraId="04B238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3B69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que para los proyectos radicados con revisión independiente de los diseños estructurales, se advierta en el acta de observaciones, la necesidad de ajustar el proyecto arquitectónico, el proyecto estructural, los estudios geotécnicos y/o los diseños de los elementos no estructurales, en la respuesta al acta de observaciones, se deberá adjuntar un memorial suscrito por el revisor independiente de diseños estructurales, dirigido al curador urbano o a la autoridad municipal o distrital competente, que certifique el alcance de la revisión efectuada, el cumplimiento de las normas y decretos reglamentarios aplicables. Así mismo el revisor independiente de diseños estructurales firmará los planos y demás documentos técnicos como constancia de haber efectuado la revisión.  </w:t>
      </w:r>
    </w:p>
    <w:p w14:paraId="7E6F00E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97" w:name="ver_30074027"/>
      <w:bookmarkEnd w:id="1296"/>
      <w:bookmarkEnd w:id="1297"/>
    </w:p>
    <w:p w14:paraId="03818C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2.2.6.1.2.2.5 Información de otras autoridades. Las licencias urbanísticas deberán resolverse exclusivamente con los requisitos fijados por las normas nacionales que reglamentan su trámite. 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los curadores urbanos o las autoridades competentes para la expedición de licencias, podrán solicitar a otras autoridades el aporte de información que requieran para precisar los requisitos definidos por la reglamentación nacional, la cual deberá ser remitida en un plazo de diez (10) días hábiles contados a partir del día siguiente de la radicación del requerimiento, lapso durante el cual se suspenderá el término que tiene la autoridad competente para decidir. </w:t>
      </w:r>
    </w:p>
    <w:p w14:paraId="1BEE95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EEB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curador urbano o la autoridad municipal o distrital competente para el estudio, trámite y expedición de las licencias deberá resolver la solicitud de licencia con la información disponible que sustente su actuación, dentro del término establecido en los en los artículos siguientes. </w:t>
      </w:r>
    </w:p>
    <w:p w14:paraId="7258750F"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298" w:name="ver_30074028"/>
      <w:bookmarkEnd w:id="1298"/>
    </w:p>
    <w:p w14:paraId="3573DCAA" w14:textId="4B757C65"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38E534BC"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EXPEDICIÓN DE LICENCIAS, SUS MODIFICACIONES Y REVALIDACIONES</w:t>
      </w:r>
    </w:p>
    <w:p w14:paraId="4C24D50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299" w:name="ver_30125165"/>
      <w:bookmarkStart w:id="1300" w:name="ver_30125164"/>
      <w:bookmarkEnd w:id="1299"/>
    </w:p>
    <w:p w14:paraId="3C0C76DB" w14:textId="6B4BF43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w:t>
      </w:r>
      <w:r w:rsidR="004A4ED6">
        <w:rPr>
          <w:rFonts w:ascii="Arial" w:eastAsia="Times New Roman" w:hAnsi="Arial" w:cs="Arial"/>
          <w:color w:val="000000"/>
          <w:lang w:eastAsia="es-CO"/>
        </w:rPr>
        <w:t>1</w:t>
      </w:r>
      <w:r w:rsidRPr="009342F9">
        <w:rPr>
          <w:rFonts w:ascii="Arial" w:eastAsia="Times New Roman" w:hAnsi="Arial" w:cs="Arial"/>
          <w:color w:val="000000"/>
          <w:lang w:eastAsia="es-CO"/>
        </w:rPr>
        <w:t>.</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Término para resolver las solicitudes de licencias, sus modificaciones y revalidación de licencias. Los curadores urbanos y la entidad municipal o distrital encargada del estudio, trámite y expedición de las licencias, según el caso, tendrán un plazo máximo de cuarenta y cinco (45) días hábiles para resolver las solicitudes de licencias y de modificación de licencia vigente pronunciándose sobre su viabilidad, negación o desistimiento contados desde la fecha en que la solicitud haya sido radicada en legal y debida forma. Vencido este plazo sin que los curadores urbanos o las autoridades se hubieren pronunciado, se aplicará el silencio administrativo positivo en los términos </w:t>
      </w:r>
      <w:proofErr w:type="gramStart"/>
      <w:r w:rsidRPr="009342F9">
        <w:rPr>
          <w:rFonts w:ascii="Arial" w:eastAsia="Times New Roman" w:hAnsi="Arial" w:cs="Arial"/>
          <w:color w:val="000000"/>
          <w:lang w:eastAsia="es-CO"/>
        </w:rPr>
        <w:t>solicitados</w:t>
      </w:r>
      <w:proofErr w:type="gramEnd"/>
      <w:r w:rsidRPr="009342F9">
        <w:rPr>
          <w:rFonts w:ascii="Arial" w:eastAsia="Times New Roman" w:hAnsi="Arial" w:cs="Arial"/>
          <w:color w:val="000000"/>
          <w:lang w:eastAsia="es-CO"/>
        </w:rPr>
        <w:t xml:space="preserve"> pero en ningún caso en contravención de las normas urbanísticas y de edificación vigentes, quedando obligadas la autoridad municipal o distrital competente o el curador urbano, a expedir las constancias y certificaciones que se requieran para evidenciar la aprobación del proyecto presentado. La invocación del silencio administrativo </w:t>
      </w:r>
      <w:proofErr w:type="gramStart"/>
      <w:r w:rsidRPr="009342F9">
        <w:rPr>
          <w:rFonts w:ascii="Arial" w:eastAsia="Times New Roman" w:hAnsi="Arial" w:cs="Arial"/>
          <w:color w:val="000000"/>
          <w:lang w:eastAsia="es-CO"/>
        </w:rPr>
        <w:t>positivo,</w:t>
      </w:r>
      <w:proofErr w:type="gramEnd"/>
      <w:r w:rsidRPr="009342F9">
        <w:rPr>
          <w:rFonts w:ascii="Arial" w:eastAsia="Times New Roman" w:hAnsi="Arial" w:cs="Arial"/>
          <w:color w:val="000000"/>
          <w:lang w:eastAsia="es-CO"/>
        </w:rPr>
        <w:t xml:space="preserve"> se someterá al procedimiento previsto en el Código de Procedimiento Administrativo y de lo Contencioso Administrativo.  </w:t>
      </w:r>
    </w:p>
    <w:p w14:paraId="453894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99CD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tamaño o la complejidad del proyecto lo ameriten, el plazo para resolver la solicitud de licencia de que trata este artículo podrá prorrogarse por una sola vez hasta por la mitad del término establecido mediante acto administrativo de trámite que solo será comunicado.  </w:t>
      </w:r>
    </w:p>
    <w:p w14:paraId="755E4C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9EB7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solicitudes de revalidación de licencias se resolverán en un término máximo de treinta (30) días contados a partir de la fecha de radicación de la solicitud en legal y debida forma.  </w:t>
      </w:r>
    </w:p>
    <w:p w14:paraId="0CFDAA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73B2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Cuando se encuentre viable la expedición de la licencia, se proferirá un acto de trámite que se comunicará al interesado por escrito, y en el que además se le requerirá para que aporte los documentos señalados en el artículo 2.2.6.6.8.2 del presente decreto, los cuales deberán ser presentados en un término máximo de treinta (30) días contados a partir del recibo de la comunicación. Durante este término se entenderá suspendido el trámite para la expedición de la licencia.  </w:t>
      </w:r>
    </w:p>
    <w:p w14:paraId="43A569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CB31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curador urbano o la autoridad municipal o distrital encargada del estudio, trámite y expedición de las licencias, estará obligado a expedir el acto administrativo que conceda la licencia en un término no superior a cinco (5) días contados a partir de la entrega de los citados documentos. Vencido este plazo sin que el curador urbano o la autoridad municipal hubiere expedido la licencia operará el silencio administrativo a favor del solicitante cuando se cumpla el plazo máximo para la expedición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7D4160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1969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interesado no aporta los documentos en el término previsto en este parágrafo, la solicitud se entenderá desistida y en consecuencia se procederá a archivar el expediente, mediante acto administrativo contra el cual procederá el recurso de reposición.  </w:t>
      </w:r>
    </w:p>
    <w:p w14:paraId="79FDD8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7456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Con el fin de garantizar la publicidad y la participación de quienes puedan verse afectados con la decisión, en ningún caso se podrá expedir el acto administrativo mediante el cual se niegue o conceda la licencia sin que previamente se haya dado estricto cumplimiento a la obligación de citación a vecinos colindantes y demás terceros en los términos previstos por los artículos 2.2.6.1.2.2.1 y 2.2.6.1.2.2.2 del presente decreto. Esta norma no será exigible para las licencias de subdivisión y construcción en la modalidad de reconstrucción.  </w:t>
      </w:r>
    </w:p>
    <w:p w14:paraId="5C3C1C0E" w14:textId="32DB759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01" w:name="ver_30074030"/>
      <w:bookmarkEnd w:id="1300"/>
      <w:bookmarkEnd w:id="1301"/>
    </w:p>
    <w:p w14:paraId="090D3F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2.2.6.1.2.3.2 Plazos indicativos para pronunciarse sobre la solicitud de licencias de construcción. Una vez se adopte por los curadores urbanos o por la autoridad municipal o distrital competente para la expedición de licencias el sistema de categorización de que trata el artículo 2.2.6.1.2.1.3 del presente decreto, se tendrán en cuenta los siguientes plazos indicativos para pronunciarse sobre las solicitudes de las licencias de construcción: </w:t>
      </w:r>
    </w:p>
    <w:p w14:paraId="5C4D83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B626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Categoría IV Alta Complejidad: Cuarenta y cinco (45) días contados a partir de la fecha de radicación de la solicitud en legal y debida forma. </w:t>
      </w:r>
    </w:p>
    <w:p w14:paraId="7AE796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8AB6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Categoría III Media-Alta Complejidad: Treinta y cinco (35) días contados a partir de la fecha de radicación de la solicitud en legal y debida forma. </w:t>
      </w:r>
    </w:p>
    <w:p w14:paraId="617795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B6C0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Categoría II Media Complejidad: Veinticinco (25) días contados a partir de la fecha de radicación de la solicitud en legal y debida forma. </w:t>
      </w:r>
    </w:p>
    <w:p w14:paraId="5507C6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4BDF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Categoría I Baja Complejidad: Veinte (20) días contados a partir de la fecha de radicación de la solicitud en legal y debida forma. </w:t>
      </w:r>
    </w:p>
    <w:p w14:paraId="47CB3D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F1CA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Estos plazos son de carácter indicativo y en los casos de los curadores urbanos se tendrán en cuenta para la evaluación anual sobre la calidad del servicio a cargo del curador urbano, de conformidad con lo previsto en el presente decreto. En todo caso, cuando no sea posible cumplir con los plazos previstos en el artículo 2.2.6.6.4.4 del presente decreto, los curadores urbanos podrán disponer de los cuarenta y cinco (45) días hábiles y la prórroga de que trata el artículo 99 numeral 3 de la Ley 388 de 1997 para resolver la solicitud y el artículo anterior. </w:t>
      </w:r>
    </w:p>
    <w:p w14:paraId="08F751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EEA7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efectos de lo dispuesto en el artículo 2.2.6.6.4.5 del presente decreto, los curadores urbanos deberán presentar un informe trimestral a las alcaldías municipales y distritales o a las entidades que estas designen, en el que reporten la fecha de radicación en legal y debida forma de las solicitudes de licencias de construcción y sus modalidades señalando la categoría de complejidad a la que pertenece cada una y la fecha en que se resolvió o desistió la solicitud, con el fin de verificar el cumplimiento de los plazos indicativos de que trata este artículo. </w:t>
      </w:r>
    </w:p>
    <w:p w14:paraId="2AAE49EE" w14:textId="59E053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02" w:name="ver_30074031"/>
      <w:bookmarkEnd w:id="1302"/>
    </w:p>
    <w:p w14:paraId="7B56EA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2.2.6.1.2.3.3 Efectos de la licencia. De conformidad con lo dispuesto en el literal a) del artículo 5° del Decreto-ley 151 de 1998, el otorgamiento de la licencia determinará la adquisición de los derechos de construcción y desarrollo, ya sea parcelando, urbanizando o construyendo en los predios objeto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en los términos y condiciones expresados en la respectiva licencia. </w:t>
      </w:r>
    </w:p>
    <w:p w14:paraId="507AB5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8959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expedición de licencias no conlleva pronunciamiento alguno acerca de la titularidad de derechos reales ni de la posesión sobre el inmueble o inmuebles objeto de ella. Las licencias recaen sobre uno o más predios y/o inmuebles y producen todos sus efectos </w:t>
      </w:r>
      <w:proofErr w:type="spellStart"/>
      <w:r w:rsidRPr="009342F9">
        <w:rPr>
          <w:rFonts w:ascii="Arial" w:eastAsia="Times New Roman" w:hAnsi="Arial" w:cs="Arial"/>
          <w:color w:val="000000"/>
          <w:lang w:eastAsia="es-CO"/>
        </w:rPr>
        <w:t>aún</w:t>
      </w:r>
      <w:proofErr w:type="spellEnd"/>
      <w:r w:rsidRPr="009342F9">
        <w:rPr>
          <w:rFonts w:ascii="Arial" w:eastAsia="Times New Roman" w:hAnsi="Arial" w:cs="Arial"/>
          <w:color w:val="000000"/>
          <w:lang w:eastAsia="es-CO"/>
        </w:rPr>
        <w:t xml:space="preserve"> cuando sean enajenados. Para el efecto, se tendrá por titular de la licencia, a quien esté registrado como propietario en el certificado de tradición y libertad del predio o inmueble, o al poseedor solicitante en los casos de licencia de construcción. </w:t>
      </w:r>
    </w:p>
    <w:p w14:paraId="464AEF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D0E4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que el predio objeto de la licencia sea enajenado, no se requerirá adelantar ningún trámite de actualización del titular. No obstante, si el nuevo propietario así lo solicitare, dicha actuación no generará expensa a favor del curador urbano. </w:t>
      </w:r>
    </w:p>
    <w:p w14:paraId="3FD20E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85D9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Mientras estén vigentes las licencias urbanísticas los titulares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xml:space="preserve"> podrán renunciar por escrito a los derechos concedidos por ellas ante cualquier curador o la autoridad municipal o distrital competente para su estudio, trámite y expedición. En estos casos no habrá lugar a devolución de las expensas y para tramitar una nueva licencia deberán ajustarse a la reglamentación vigente al momento de la solicitud. </w:t>
      </w:r>
    </w:p>
    <w:p w14:paraId="41ED0A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C8FE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curador urbano o la autoridad competente, expedirá sin costo el acto que reconoce la renuncia, contra el cual no procederá recurso, e informará por escrito de esta situación a los demás curadores urbanos del municipio y a la autoridad encargada de ejercer el control urbano. </w:t>
      </w:r>
    </w:p>
    <w:p w14:paraId="03E7773C" w14:textId="0F92779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03" w:name="ver_30074032"/>
      <w:bookmarkEnd w:id="1303"/>
    </w:p>
    <w:p w14:paraId="61D5FE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2.2.6.1.2.3.4 Desistimiento de solicitudes de licencia. El solicitante de una licencia urbanística podrá desistir de la misma mientras no se haya expedido el acto administrativo mediante el cual se concede la licencia o se niegue la solicitud presentada. </w:t>
      </w:r>
    </w:p>
    <w:p w14:paraId="6987EC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7803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solicitante de la licencia no haya dado cumplimiento a los requerimientos exigidos en el acta de observaciones y correcciones a que hace referencia el artículo 2.2.6.1.2.2.4 del presente decreto dentro de los términos allí indicados, la solicitud se entenderá desistida y en consecuencia se procederá a archivar el expediente mediante acto administrativo, contra el cual procederá el recurso de reposición. Una vez archivado el expediente, el interesado deberá presentar nuevamente la solicitud. </w:t>
      </w:r>
    </w:p>
    <w:p w14:paraId="7D2EB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9446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interesado contará con treinta (30) días calendario, contados a partir de la fecha en que quede en firme el acto administrativo por el cual se entiende desistida la solicitud, para retirar los documentos que reposan en el expediente o para solicitar su traslado a otro en el evento que se radique una nueva solicitud ante la misma autoridad. En estos casos se expedirá el acto de devolución o desglose y traslado. Contra este acto no procede recurso. </w:t>
      </w:r>
    </w:p>
    <w:p w14:paraId="0A5EB096" w14:textId="195A54C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04" w:name="ver_30125173"/>
      <w:bookmarkStart w:id="1305" w:name="ver_30125172"/>
      <w:bookmarkEnd w:id="1304"/>
    </w:p>
    <w:p w14:paraId="6DA92C34" w14:textId="5BE427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2.2.6.1.2.3.5.</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Contenido de la licencia. La licencia se adoptará mediante acto administrativo de carácter particular y concreto y contendrá por lo menos: </w:t>
      </w:r>
    </w:p>
    <w:p w14:paraId="0E11AC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07C3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Número secuencial de la licencia y su fecha de expedición. </w:t>
      </w:r>
    </w:p>
    <w:p w14:paraId="5FF017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D466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Tipo de licencia y modalidad. </w:t>
      </w:r>
    </w:p>
    <w:p w14:paraId="27647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EF12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Vigencia. </w:t>
      </w:r>
    </w:p>
    <w:p w14:paraId="72B182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DA6A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Nombre e identificación del titular de la licencia, al igual que del urbanizador o del constructor responsable. </w:t>
      </w:r>
    </w:p>
    <w:p w14:paraId="3C46F9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D1EC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Datos del predio: </w:t>
      </w:r>
    </w:p>
    <w:p w14:paraId="556E54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A769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5.1. Folio de matrícula inmobiliaria del predio o del de mayor extensión del que este forme parte. </w:t>
      </w:r>
    </w:p>
    <w:p w14:paraId="2578B5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D16D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5.2. Dirección o ubicación del predio con plano de localización. </w:t>
      </w:r>
    </w:p>
    <w:p w14:paraId="575DBA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BACE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Descripción de las características básicas del proyecto aprobado, identificando cuando menos: uso, área del lote, área construida, número de pisos, número de unidades privadas aprobadas, estacionamientos, índices de ocupación y de construcción. </w:t>
      </w:r>
    </w:p>
    <w:p w14:paraId="369A3C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1B15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Planos impresos aprobados por el curador urbano o la autoridad municipal o distrital competente para expedir licencias. </w:t>
      </w:r>
    </w:p>
    <w:p w14:paraId="6816D2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8F05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Constancia que se trata de vivienda de interés social cuando la licencia incluya este tipo de vivienda. </w:t>
      </w:r>
    </w:p>
    <w:p w14:paraId="5FE05E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8D9A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Señalar la obligación de someter a supervisión técnica independiente la ejecución de la edificación cuando se trate de proyectos que requirieron y fueron objeto de revisión independiente de diseños estructurales. </w:t>
      </w:r>
    </w:p>
    <w:p w14:paraId="7C753E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FB68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Señalar, para los proyectos de vivienda nueva que requirieron revisión independiente de diseños estructurales, la obligación de obtener el Certificado de Ocupación antes de efectuarse la transferencia de los bienes inmuebles resultantes y/o su ocupación. </w:t>
      </w:r>
    </w:p>
    <w:p w14:paraId="1FD4B5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4EB6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Indicar el cumplimiento de las normas vigentes de carácter nacional, municipal o distrital sobre eliminación de barreras arquitectónicas para personas en situación de discapacidad. </w:t>
      </w:r>
    </w:p>
    <w:p w14:paraId="6CC723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B8F1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w:t>
      </w: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sea viable la expedición de la licencia, el interesado deberá proporcionar dos (2) copias en medio impreso y digital de los planos y demás estudios que hacen parte de la licencia, para que sean firmados por la autoridad competente en el momento de expedir el correspondiente acto administrativo. </w:t>
      </w:r>
    </w:p>
    <w:p w14:paraId="0805E4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1F11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las copias no se aportan el curador urbano o la autoridad municipal o distrital encargada del estudio, trámite y expedición de la licencia podrá reproducir a costa del titular dos (2) copias impresas de los planos y demás estudios que hacen parte de la licencia. </w:t>
      </w:r>
    </w:p>
    <w:p w14:paraId="73E2DE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7F28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Un juego de copias se entregará al titular de la licencia con el acto administrativo que resuelva la solicitud, la otra copia irá para el archivo y los originales de la licencia, incluyendo, de ser el caso, las memorias y planos donde conste la revisión independiente de los diseños </w:t>
      </w:r>
      <w:proofErr w:type="gramStart"/>
      <w:r w:rsidRPr="009342F9">
        <w:rPr>
          <w:rFonts w:ascii="Arial" w:eastAsia="Times New Roman" w:hAnsi="Arial" w:cs="Arial"/>
          <w:color w:val="000000"/>
          <w:lang w:eastAsia="es-CO"/>
        </w:rPr>
        <w:t>estructurales,</w:t>
      </w:r>
      <w:proofErr w:type="gramEnd"/>
      <w:r w:rsidRPr="009342F9">
        <w:rPr>
          <w:rFonts w:ascii="Arial" w:eastAsia="Times New Roman" w:hAnsi="Arial" w:cs="Arial"/>
          <w:color w:val="000000"/>
          <w:lang w:eastAsia="es-CO"/>
        </w:rPr>
        <w:t xml:space="preserve"> se entregarán a la autoridad municipal o distrital competente encargada del archivo y custodia de estos documentos. </w:t>
      </w:r>
    </w:p>
    <w:p w14:paraId="39167A6E" w14:textId="59118E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06" w:name="ver_30179422"/>
      <w:bookmarkStart w:id="1307" w:name="ver_30125180"/>
      <w:bookmarkStart w:id="1308" w:name="ver_30179418"/>
      <w:bookmarkEnd w:id="1305"/>
      <w:bookmarkEnd w:id="1306"/>
    </w:p>
    <w:p w14:paraId="2E638F3A" w14:textId="5ACD98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2.2.6.1.2.3.6.</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Obligaciones del titular de la licencia. El curador urbano o la autoridad encargada de estudiar, tramitar y expedir licencias, deberá indicar al titular, el cumplimiento de las siguientes obligaciones: </w:t>
      </w:r>
    </w:p>
    <w:p w14:paraId="3C7A5F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B0F9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Ejecutar las obras de forma tal que se garantice la salubridad y seguridad de las personas, así como la estabilidad de los terrenos y edificaciones vecinas y de los elementos constitutivos del espacio público. </w:t>
      </w:r>
    </w:p>
    <w:p w14:paraId="4967E8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3FD7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Cuando se trate de licencias de urbanización, ejecutar las obras de urbanización con sujeción a los proyectos técnicos aprobados y entregar y dotar las áreas públicas objeto de cesión gratuita con destino a vías locales, equipamientos colectivos y espacio público, de acuerdo con las especificaciones que la autoridad competente expida. </w:t>
      </w:r>
    </w:p>
    <w:p w14:paraId="562920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CFC8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Mantener en la obra la licencia y los planos aprobados, y exhibirlos cuando sean requeridos por la autoridad competente. </w:t>
      </w:r>
    </w:p>
    <w:p w14:paraId="784FA5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8AD6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Cumplir con el programa de manejo ambiental de materiales y elementos a los que hace referencia la Resolución número 541 de 1994 del Ministerio del Medio Ambiente, o el acto que la modifique o sustituya, para aquellos proyectos que no requieren licencia ambiental, o planes de manejo, recuperación o restauración ambiental, de conformidad con el decreto único del sector ambiente y desarrollo sostenible en materia de licenciamiento ambiental. </w:t>
      </w:r>
    </w:p>
    <w:p w14:paraId="435A16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2B23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Cuando se trate de licencias de construcción, solicitar la Autorización de Ocupación de Inmuebles al concluir las obras de edificación en los términos que establece el artículo 2.2.6.1.4.1 del presente decreto. </w:t>
      </w:r>
    </w:p>
    <w:p w14:paraId="7BF247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A809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Someter el proyecto a supervisión técnica independiente en los términos que señala el Título I del Reglamento Colombiano de Construcción Sismorresistente (NSR) 10. </w:t>
      </w:r>
    </w:p>
    <w:p w14:paraId="018EFF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E830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 Garantizar durante el desarrollo de la obra la participación del diseñador estructural del proyecto y del ingeniero </w:t>
      </w:r>
      <w:proofErr w:type="spellStart"/>
      <w:r w:rsidRPr="009342F9">
        <w:rPr>
          <w:rFonts w:ascii="Arial" w:eastAsia="Times New Roman" w:hAnsi="Arial" w:cs="Arial"/>
          <w:color w:val="000000"/>
          <w:lang w:eastAsia="es-CO"/>
        </w:rPr>
        <w:t>geotecnista</w:t>
      </w:r>
      <w:proofErr w:type="spellEnd"/>
      <w:r w:rsidRPr="009342F9">
        <w:rPr>
          <w:rFonts w:ascii="Arial" w:eastAsia="Times New Roman" w:hAnsi="Arial" w:cs="Arial"/>
          <w:color w:val="000000"/>
          <w:lang w:eastAsia="es-CO"/>
        </w:rPr>
        <w:t xml:space="preserve"> responsables de los planos y estudios aprobados, con el fin de que atiendan las consultas y aclaraciones que solicite el constructor y/o supervisor técnico independiente. Las consultas y aclaraciones deberán incorporarse en la bitácora del proyecto y/o en las actas de supervisión. </w:t>
      </w:r>
    </w:p>
    <w:p w14:paraId="17A755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785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Designar en un término máximo de 15 días hábiles al profesional que reemplazará a aquel que se desvinculó de la ejecución de los diseños o de la ejecución de la obra. Hasta tanto se designe el nuevo profesional, el que asumirá la obligación del profesional saliente será el titular de la licencia. </w:t>
      </w:r>
    </w:p>
    <w:p w14:paraId="67DFA9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88F9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Obtener, previa la ocupación y/o transferencia de las nuevas edificaciones que requieren supervisión técnica independiente, el Certificado Técnico de Ocupación emitido por parte del Supervisor Técnico Independiente siguiendo lo previsto en el Título I del Reglamento Colombiano de Construcción Sismorresistente NSR-10. </w:t>
      </w:r>
    </w:p>
    <w:p w14:paraId="43EB70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392F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ocupación de edificaciones sin haber protocolizado y registrado el Certificado Técnico de Ocupación ocasionará las sanciones correspondientes, incluyendo las previstas en el Código Nacional de Policía y Convivencia, Ley 1801 de 2016 o la norma que la adicione, modifique o sustituya. </w:t>
      </w:r>
    </w:p>
    <w:p w14:paraId="3EED88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A6D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Remitir, para el caso de proyectos que requieren supervisión técnica independiente, copia de las actas de la supervisión técnica independiente que se expidan durante el desarrollo de la obra, así como el certificado técnico de ocupación, a las autoridades competentes para ejercer el control urbano en el municipio o distrito quienes remitirán copia a la entidad encargada de conservar el expediente del proyecto, y serán de público conocimiento. En los casos de patrimonios autónomos en los que el fiduciario ostente la titularidad del predio y/o de la licencia de construcción, se deberá prever en el correspondiente contrato fiduciario quien es el responsable de esta obligación. </w:t>
      </w:r>
    </w:p>
    <w:p w14:paraId="518099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7FA2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Realizar los controles de calidad para los diferentes materiales y elementos que señalen las normas de construcción sismorresistentes. </w:t>
      </w:r>
    </w:p>
    <w:p w14:paraId="348E45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FF43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Instalar los equipos, sistemas e implementos de bajo consumo de agua, establecidos en la Ley 373 de 1997 o la norma que la adicione, modifique o sustituya. </w:t>
      </w:r>
    </w:p>
    <w:p w14:paraId="6BC6D1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6A4D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Cumplir con las normas vigentes de carácter nacional, municipal o distrital sobre eliminación de barreras arquitectónicas para personas en situación de discapacidad. </w:t>
      </w:r>
    </w:p>
    <w:p w14:paraId="1A35C1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41A4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Cumplir con las disposiciones contenidas en las normas de construcción sismo-</w:t>
      </w:r>
      <w:proofErr w:type="spellStart"/>
      <w:r w:rsidRPr="009342F9">
        <w:rPr>
          <w:rFonts w:ascii="Arial" w:eastAsia="Times New Roman" w:hAnsi="Arial" w:cs="Arial"/>
          <w:color w:val="000000"/>
          <w:lang w:eastAsia="es-CO"/>
        </w:rPr>
        <w:t>rresistente</w:t>
      </w:r>
      <w:proofErr w:type="spellEnd"/>
      <w:r w:rsidRPr="009342F9">
        <w:rPr>
          <w:rFonts w:ascii="Arial" w:eastAsia="Times New Roman" w:hAnsi="Arial" w:cs="Arial"/>
          <w:color w:val="000000"/>
          <w:lang w:eastAsia="es-CO"/>
        </w:rPr>
        <w:t xml:space="preserve"> vigente. </w:t>
      </w:r>
    </w:p>
    <w:p w14:paraId="404E07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75FC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Dar cumplimiento a las disposiciones sobre construcción sostenible que adopte el Ministerio de Vivienda, Ciudad y Territorio o los municipios o distritos en ejercicio de sus competencias. </w:t>
      </w:r>
    </w:p>
    <w:p w14:paraId="0CACA9F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09" w:name="ver_30074035"/>
      <w:bookmarkEnd w:id="1307"/>
      <w:bookmarkEnd w:id="1308"/>
      <w:bookmarkEnd w:id="1309"/>
    </w:p>
    <w:p w14:paraId="570127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2.2.6.1.2.3.7 Notificación de licencias. El acto administrativo que </w:t>
      </w:r>
      <w:proofErr w:type="gramStart"/>
      <w:r w:rsidRPr="009342F9">
        <w:rPr>
          <w:rFonts w:ascii="Arial" w:eastAsia="Times New Roman" w:hAnsi="Arial" w:cs="Arial"/>
          <w:color w:val="000000"/>
          <w:lang w:eastAsia="es-CO"/>
        </w:rPr>
        <w:t>otorgue,</w:t>
      </w:r>
      <w:proofErr w:type="gramEnd"/>
      <w:r w:rsidRPr="009342F9">
        <w:rPr>
          <w:rFonts w:ascii="Arial" w:eastAsia="Times New Roman" w:hAnsi="Arial" w:cs="Arial"/>
          <w:color w:val="000000"/>
          <w:lang w:eastAsia="es-CO"/>
        </w:rPr>
        <w:t xml:space="preserve"> niegue o declare el desistimiento de la solicitud de licencia será notificado al solicitante y a cualquier persona o autoridades que se hubiere hecho parte dentro del trámite, en los términos previstos en el Código de Procedimiento Administrativo y de lo Contencioso Administrativo. La constancia de la notificación se anexará al expediente. En el evento que el solicitante de la licencia sea un poseedor, el acto que resuelva la solicitud se le notificará al propietario inscrito del bien objeto de la licencia en la forma indicada anteriormente. </w:t>
      </w:r>
    </w:p>
    <w:p w14:paraId="256C1045" w14:textId="489380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10" w:name="ver_30074036"/>
      <w:bookmarkEnd w:id="1310"/>
    </w:p>
    <w:p w14:paraId="3DB8E6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2.2.6.1.2.3.8 Publicación. De conformidad con el artículo 73 del Código de Procedimiento Administrativo y de lo Contencioso Administrativo, cuando, a juicio del curador urbano o la autoridad municipal o distrital competente, la expedición del acto administrativo que resuelva la solicitud de licencia afecte en forma directa e inmediata a terceros que no hayan intervenido en la actuación, se ordenará la publicación de la parte resolutiva de la licencia en un periódico de amplia circulación en el municipio o distrito donde se encuentren ubicados los inmuebles y en la página electrónica de la oficina que haya expedido la licencia, si cuentan con ella. </w:t>
      </w:r>
    </w:p>
    <w:p w14:paraId="29C938D6" w14:textId="0D1791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11" w:name="ver_30074037"/>
      <w:bookmarkEnd w:id="1311"/>
    </w:p>
    <w:p w14:paraId="279622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2.2.6.1.2.3.9 Recursos. Contra los actos que concedan o nieguen las solicitudes de licencias procederá el recurso de reposición y en subsidio apelación: </w:t>
      </w:r>
    </w:p>
    <w:p w14:paraId="45A976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3322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de reposición, ante el curador urbano o la autoridad municipal o distrital que lo expidió, para que lo aclare, modifique o revoque. </w:t>
      </w:r>
    </w:p>
    <w:p w14:paraId="71C43B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1B37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de apelación, ante la oficina de planeación o en su defecto ante el alcalde municipal, para que lo aclare, modifique o revoque. El recurso de apelación podrá interponerse directamente, o como subsidiario del de reposición. </w:t>
      </w:r>
    </w:p>
    <w:p w14:paraId="7F3761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ADCC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recursos de reposición y apelación deberán presentarse en los términos previstos en el Código de Procedimiento Administrativo y de lo Contencioso Administrativo y de conformidad con lo dispuesto en el artículo 65 de la Ley 9ª de 1989. Transcurrido un plazo de dos (2) meses contados a partir de la interposición del recurso sin que se haya notificado decisión expresa sobre ellos, se entenderá que la decisión es negativa y quedará en firme el acto recurrido. Pasado dicho término, no se podrá resolver el recurso interpuesto e incurrirá en causal de mala conducta el funcionario moroso. </w:t>
      </w:r>
    </w:p>
    <w:p w14:paraId="4895D9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D1F3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el trámite de los recursos, los conceptos técnicos que expidan las autoridades o entidades encargadas de resolver los mismos, a través de sus dependencias internas, no darán lugar a la suspensión o prórroga de los términos para decidir. </w:t>
      </w:r>
    </w:p>
    <w:p w14:paraId="0C7767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D4A4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todo caso, presentados los recursos se dará traslado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al titular por el término de cinco (5) días calendario para que se pronuncien sobre ellos. El acto que ordene el traslado no admite recurso y sólo será comunicado. </w:t>
      </w:r>
    </w:p>
    <w:p w14:paraId="7DDA5804" w14:textId="5508D7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12" w:name="ver_30074038"/>
      <w:bookmarkEnd w:id="1312"/>
    </w:p>
    <w:p w14:paraId="3C6F80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2.2.6.1.2.3.10 De la revocatoria directa. Al acto administrativo que otorga la respectiva licencia le son aplicables las disposiciones sobre revocatoria directa establecidas en el Código de Procedimiento Administrativo y de lo Contencioso Administrativo con las precisiones señaladas en el presente artículo: </w:t>
      </w:r>
    </w:p>
    <w:p w14:paraId="1C930A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F507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Son competentes para adelantar la revocatoria directa de las licencias, el mismo curador que expidió el acto o quien haya sido designado como tal mediante acto administrativo de manera provisional o definitiva, o el alcalde municipal o distrital o su delegado. </w:t>
      </w:r>
    </w:p>
    <w:p w14:paraId="06236E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4C44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Podrán solicitar la revocatoria directa de las licencias los solicitantes de las mismas, los vecinos colindantes del predio objeto de la </w:t>
      </w:r>
      <w:proofErr w:type="gramStart"/>
      <w:r w:rsidRPr="009342F9">
        <w:rPr>
          <w:rFonts w:ascii="Arial" w:eastAsia="Times New Roman" w:hAnsi="Arial" w:cs="Arial"/>
          <w:color w:val="000000"/>
          <w:lang w:eastAsia="es-CO"/>
        </w:rPr>
        <w:t>solicitud</w:t>
      </w:r>
      <w:proofErr w:type="gramEnd"/>
      <w:r w:rsidRPr="009342F9">
        <w:rPr>
          <w:rFonts w:ascii="Arial" w:eastAsia="Times New Roman" w:hAnsi="Arial" w:cs="Arial"/>
          <w:color w:val="000000"/>
          <w:lang w:eastAsia="es-CO"/>
        </w:rPr>
        <w:t xml:space="preserve"> así como los terceros y las autoridades administrativas competentes que se hayan hecho parte en el trámite. </w:t>
      </w:r>
    </w:p>
    <w:p w14:paraId="40F4DC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C760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Durante el trámite de revocatoria directa el expediente quedará a disposición de las partes para su consulta y expedición de copias y se deberá convocar al interesado, y a los terceros que puedan resultar afectados con la decisión, con el fin de que se hagan parte y hagan valer sus derechos. Para el efecto, desde el inicio de la actuación, se pondrán en conocimiento, mediante oficio que será comunicado a las personas indicadas anteriormente, los motivos que fundamentan el trámite. Se concederá un término de diez (10) días hábiles para que se pronuncien sobre ellos y se solicite la práctica de pruebas. </w:t>
      </w:r>
    </w:p>
    <w:p w14:paraId="57CAA8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A8BF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Practicadas las pruebas decretadas y dentro del término previsto por el Código de Procedimiento Administrativo y de lo Contencioso Administrativo para resolver el trámite, se adoptará la decisión. </w:t>
      </w:r>
    </w:p>
    <w:p w14:paraId="28C032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54F1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término para resolver las solicitudes de revocatoria directa es de dos (2) meses contados a partir del día siguiente de la fecha de presentación de la solicitud. Vencido este término sin que se hubiere resuelto la petición, se entenderá que la solicitud de revocatoria fue negada. </w:t>
      </w:r>
    </w:p>
    <w:p w14:paraId="05CC5D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27E0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No procederá la revocatoria directa de los actos administrativos respecto de los cuales el peticionario haya ejercitado los recursos. </w:t>
      </w:r>
    </w:p>
    <w:p w14:paraId="77AF2053" w14:textId="40E254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13" w:name="ver_30074040"/>
      <w:bookmarkEnd w:id="1313"/>
    </w:p>
    <w:p w14:paraId="147807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2.2.6.1.2.3.11 Información sobre licencias negadas. Cuando el acto que resuelva negar una solicitud de </w:t>
      </w:r>
      <w:proofErr w:type="gramStart"/>
      <w:r w:rsidRPr="009342F9">
        <w:rPr>
          <w:rFonts w:ascii="Arial" w:eastAsia="Times New Roman" w:hAnsi="Arial" w:cs="Arial"/>
          <w:color w:val="000000"/>
          <w:lang w:eastAsia="es-CO"/>
        </w:rPr>
        <w:t>licencia,</w:t>
      </w:r>
      <w:proofErr w:type="gramEnd"/>
      <w:r w:rsidRPr="009342F9">
        <w:rPr>
          <w:rFonts w:ascii="Arial" w:eastAsia="Times New Roman" w:hAnsi="Arial" w:cs="Arial"/>
          <w:color w:val="000000"/>
          <w:lang w:eastAsia="es-CO"/>
        </w:rPr>
        <w:t xml:space="preserve"> se encuentre en firme, el curador urbano o la autoridad que la niegue pondrá en conocimiento de ello a las autoridades encargadas del control urbano, indicando las razones por las cuales fue negada. </w:t>
      </w:r>
    </w:p>
    <w:p w14:paraId="5BC234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565A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que en el municipio o distrito exista la figura del curador urbano, este informará también a la oficina de planeación o la entidad que haga sus veces y a los demás curadores urbanos, a fin de que no se tramite la misma solicitud en las condiciones en que fue inicialmente negada. </w:t>
      </w:r>
    </w:p>
    <w:p w14:paraId="0DD6D363" w14:textId="255B8A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14" w:name="ver_30110918"/>
      <w:bookmarkStart w:id="1315" w:name="ver_30110917"/>
      <w:bookmarkEnd w:id="1314"/>
    </w:p>
    <w:p w14:paraId="05783E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2.2.6.1.2.3.12 Obligación de suministrar información de licencias otorgadas. Las oficinas de planeación, o la entidad que haga sus veces y los curadores urbanos, encargados de la expedición de licencias, en desarrollo de lo previsto en la Ley 79 de 1993 o la norma que la adicione, modifique o sustituya, remitirán al Departamento Administrativo Nacional de Estadística, DANE, dentro de los primeros cinco (5) días de cada mes, la información de la totalidad de las licencias que hayan quedado en firme durante el mes inmediatamente anterior. </w:t>
      </w:r>
    </w:p>
    <w:p w14:paraId="710C38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CE03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los curadores urbanos remitirán trimestralmente por escrito al Ministerio Vivienda, Ciudad y Territorio a más tardar el 30 de enero, 30 de abril, el 30 de julio y 30 de octubre de cada año, la información sobre las licencias expedidas por el respectivo curador, correspondientes al trimestre inmediatamente anterior. Dicha información será remitida en los formatos que para tal fin expida el Ministerio. </w:t>
      </w:r>
    </w:p>
    <w:p w14:paraId="06714C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920181" w14:textId="11A31A6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curadores urbanos o la entidad encargada del estudio, trámite y expedi</w:t>
      </w:r>
      <w:r w:rsidRPr="009342F9">
        <w:rPr>
          <w:rFonts w:ascii="Arial" w:eastAsia="Times New Roman" w:hAnsi="Arial" w:cs="Arial"/>
          <w:color w:val="000000"/>
          <w:lang w:eastAsia="es-CO"/>
        </w:rPr>
        <w:softHyphen/>
        <w:t xml:space="preserve">ción de licencias, una vez en firme la correspondiente licencia de urbanización, parcelación y/o intervención y ocupación del espacio público en sus diferentes modalidades así como sus prórrogas, modificaciones y/o revalidaciones, remitirán mensualmente en los medios tecnológicos que defina el municipio o distrito, a la entidad encargada de la administración del espacio público del respectivo municipio o distrito, la información relacionada con las áreas de cesiones urbanísticas gratuitas destinadas entre otros, a vías, zonas verdes, parques, equipamientos colectivos y espacio público en general, con el objeto de hacer seguimiento a su entrega efectiva por parte de los urbanizadores, </w:t>
      </w:r>
      <w:proofErr w:type="spellStart"/>
      <w:r w:rsidRPr="009342F9">
        <w:rPr>
          <w:rFonts w:ascii="Arial" w:eastAsia="Times New Roman" w:hAnsi="Arial" w:cs="Arial"/>
          <w:color w:val="000000"/>
          <w:lang w:eastAsia="es-CO"/>
        </w:rPr>
        <w:t>parceladores</w:t>
      </w:r>
      <w:proofErr w:type="spellEnd"/>
      <w:r w:rsidRPr="009342F9">
        <w:rPr>
          <w:rFonts w:ascii="Arial" w:eastAsia="Times New Roman" w:hAnsi="Arial" w:cs="Arial"/>
          <w:color w:val="000000"/>
          <w:lang w:eastAsia="es-CO"/>
        </w:rPr>
        <w:t xml:space="preserve"> y/o titulares de licencias de intervención y ocupación del espacio público, en los medios y según lo determine el municipio o distrito”.  </w:t>
      </w:r>
    </w:p>
    <w:p w14:paraId="38CDDDA0" w14:textId="77777777" w:rsidR="00ED3B66" w:rsidRDefault="00ED3B66" w:rsidP="00FC79C1">
      <w:pPr>
        <w:spacing w:after="0" w:line="240" w:lineRule="auto"/>
        <w:jc w:val="both"/>
        <w:rPr>
          <w:rFonts w:ascii="Arial" w:eastAsia="Times New Roman" w:hAnsi="Arial" w:cs="Arial"/>
          <w:color w:val="000000"/>
          <w:lang w:eastAsia="es-CO"/>
        </w:rPr>
      </w:pPr>
      <w:bookmarkStart w:id="1316" w:name="ver_30074042"/>
      <w:bookmarkEnd w:id="1315"/>
      <w:bookmarkEnd w:id="1316"/>
    </w:p>
    <w:p w14:paraId="7B5C5634" w14:textId="0C2D16B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2.2.6.1.2.3.13 Archivo del expediente de la licencia urbanística otorgada. Componen el expediente de la licencia urbanística otorgada, los originales de los actos administrativos que se expidan, los documentos presentados y expedidos durante el trámite y los planos definitivos. </w:t>
      </w:r>
    </w:p>
    <w:p w14:paraId="206409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C92EF3"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El manejo, organización y conservación de los documentos de que trata el inciso anterior atenderá lo dispuesto en la Ley 594 de 2000 o la norma que la adicione, modifique o sustituya y su reglamento y corresponde a las oficinas de planeación municipal o distrital, la preservación, manejo y custodia de los archivos remitidos por los curadores urbanos. </w:t>
      </w:r>
    </w:p>
    <w:p w14:paraId="7B86F56C" w14:textId="526E39AF" w:rsidR="004A4ED6" w:rsidRPr="009342F9" w:rsidRDefault="00FC79C1" w:rsidP="00ED3B66">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7810F8" w14:textId="753203E2" w:rsidR="00FC79C1" w:rsidRPr="009342F9" w:rsidRDefault="00FC79C1" w:rsidP="00D4095E">
      <w:pPr>
        <w:spacing w:after="0" w:line="240" w:lineRule="auto"/>
        <w:jc w:val="center"/>
        <w:rPr>
          <w:rFonts w:ascii="Arial" w:eastAsia="Times New Roman" w:hAnsi="Arial" w:cs="Arial"/>
          <w:b/>
          <w:bCs/>
          <w:color w:val="000000"/>
          <w:lang w:eastAsia="es-CO"/>
        </w:rPr>
      </w:pPr>
      <w:bookmarkStart w:id="1317" w:name="ver_30074043"/>
      <w:bookmarkEnd w:id="1317"/>
      <w:r w:rsidRPr="009342F9">
        <w:rPr>
          <w:rFonts w:ascii="Arial" w:eastAsia="Times New Roman" w:hAnsi="Arial" w:cs="Arial"/>
          <w:b/>
          <w:bCs/>
          <w:color w:val="000000"/>
          <w:lang w:eastAsia="es-CO"/>
        </w:rPr>
        <w:t>SUBSECCIÓN 4</w:t>
      </w:r>
    </w:p>
    <w:p w14:paraId="3F2FE338"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VIGENCIA DE LAS LICENCIAS</w:t>
      </w:r>
    </w:p>
    <w:p w14:paraId="2B2CAF1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18" w:name="ver_30219440"/>
      <w:bookmarkStart w:id="1319" w:name="ver_30109501"/>
      <w:bookmarkStart w:id="1320" w:name="ver_30109502"/>
      <w:bookmarkStart w:id="1321" w:name="ver_30110843"/>
      <w:bookmarkStart w:id="1322" w:name="ver_30137637"/>
      <w:bookmarkEnd w:id="1318"/>
    </w:p>
    <w:p w14:paraId="6C46C838" w14:textId="03823B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2.2.6.1.2.4.1.</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Vigencia de las licencias. Las licencias de urbanización en las modalidades de desarrollo y reurbanización, las licencias de parcelación y de construcción y las licencias de intervención y ocupación del espacio público, así como las revalidaciones, tendrán una vigencia de veinticuatro (24) meses prorrogables por una sola vez por un plazo adicional de doce (12) meses, contados a partir de la fecha en que queden en firme los actos administrativos por medio de los cuales fueron otorgadas. </w:t>
      </w:r>
    </w:p>
    <w:p w14:paraId="727C00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311D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licencias de urbanización en la modalidad de saneamiento y las licencias de parcelación para </w:t>
      </w:r>
      <w:proofErr w:type="gramStart"/>
      <w:r w:rsidRPr="009342F9">
        <w:rPr>
          <w:rFonts w:ascii="Arial" w:eastAsia="Times New Roman" w:hAnsi="Arial" w:cs="Arial"/>
          <w:color w:val="000000"/>
          <w:lang w:eastAsia="es-CO"/>
        </w:rPr>
        <w:t>saneamiento,</w:t>
      </w:r>
      <w:proofErr w:type="gramEnd"/>
      <w:r w:rsidRPr="009342F9">
        <w:rPr>
          <w:rFonts w:ascii="Arial" w:eastAsia="Times New Roman" w:hAnsi="Arial" w:cs="Arial"/>
          <w:color w:val="000000"/>
          <w:lang w:eastAsia="es-CO"/>
        </w:rPr>
        <w:t xml:space="preserve"> tienen una vigencia de doce (12) meses no prorrogables. </w:t>
      </w:r>
    </w:p>
    <w:p w14:paraId="6935FE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67E9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en un mismo acto se conceda licencia de urbanización en las modalidades de desarrollo o reurbanización, licencia de parcelación y licencia de construcción en modalidad distinta a la de cerramiento, tendrán una vigencia de treinta y seis (36) meses prorrogables por un período adicional de doce (12) meses, contados a partir de la fecha en que quede en firme el acto administrativo mediante el cual se otorgan las respectivas licencias. </w:t>
      </w:r>
    </w:p>
    <w:p w14:paraId="488787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5B24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solicitud de prórroga deberá formularse dentro de los treinta (30) días calendario, anteriores al vencimiento de la respectiva licencia, siempre que el urbanizador o constructor responsable certifique la iniciación de la obra. </w:t>
      </w:r>
    </w:p>
    <w:p w14:paraId="4D9B80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A645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prórroga de la revalidación se debe solicitar dentro de los treinta (30) días calendario anteriores a su vencimiento y su expedición procede con la sola presentación de la solicitud por parte del interesado. </w:t>
      </w:r>
    </w:p>
    <w:p w14:paraId="42B2CE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B342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licencias de subdivisión tendrán una vigencia improrrogable de seis (6) meses, contados a partir de la fecha en la que quede en firme el acto administrativo que otorga la respectiva licencia, para adelantar actuaciones de autorización y registro a que se refieren los artículos 7° de la Ley 810 de 2003 y 108 de la Ley 812 de 2003 o las normas que los adicionen, modifiquen o sustituyan, así como para la incorporación de estas subdivisiones en la cartografía oficial de los municipios. </w:t>
      </w:r>
    </w:p>
    <w:p w14:paraId="5805F2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24D2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Hasta el 31 de diciembre del año 2019, los titulares de las licencias urbanísticas vigentes, salvo cuando se trate de licencia de urbanización en la modalidad de saneamiento, licencia de subdivisión, licencia de parcelación para saneamiento y acto de reconocimiento, podrán solicitar una segunda prórroga por un plazo adicional de doce (12) meses contados a partir de la fecha de vencimiento de la primera prórroga.  </w:t>
      </w:r>
    </w:p>
    <w:p w14:paraId="5AB0B9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D14B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solicitud de segunda prórroga deberá formularse dentro de los treinta (30) días calendario, anteriores al vencimiento de la primera prórroga, y su expedición procederá con la presentación de la solicitud por parte del titular. La segunda prórroga solo podrá concederse cumpliendo los requisitos señalados en este parágrafo y por una sola vez. </w:t>
      </w:r>
    </w:p>
    <w:p w14:paraId="204ADC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0C04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Segundo Transitorio. Ampliar automáticamente por un término de nueve (9) meses la vigencia de las licencias urbanísticas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al 12 de marzo de 2020, estuvieren vigentes. </w:t>
      </w:r>
    </w:p>
    <w:p w14:paraId="1D157EB8" w14:textId="568CEA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23" w:name="ver_30074047"/>
      <w:bookmarkEnd w:id="1319"/>
      <w:bookmarkEnd w:id="1320"/>
      <w:bookmarkEnd w:id="1321"/>
      <w:bookmarkEnd w:id="1322"/>
      <w:bookmarkEnd w:id="1323"/>
    </w:p>
    <w:p w14:paraId="5CAB2A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2.2.6.1.2.4.2 Vigencia de las licencias en urbanizaciones por etapas y proyecto urbanístico general. El proyecto urbanístico general es el planteamiento gráfico de un diseño urbanístico que refleja el desarrollo de uno o más predios en suelo urbano, o en suelo de expansión urbana cuando se haya adoptado el respectivo plan parcial, los cuales requieren de redes de servicios públicos, infraestructura vial, áreas de cesiones y áreas para obras de espacio público y equipamiento, e involucra las normas referentes a aprovechamientos y volumetrías básicas, acordes con el Plan de Ordenamiento Territorial y los instrumentos que lo desarrollen. </w:t>
      </w:r>
    </w:p>
    <w:p w14:paraId="2D7F63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26CD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las urbanizaciones por etapas, el proyecto urbanístico general deberá elaborarse para la totalidad del predio o predios sobre los cuales se adelantará a urbanización y aprobarse mediante acto administrativo por el curador urbano o la autoridad municipal o distrital competente para expedir la licencia. El proyecto urbanístico deberá reflejar el desarrollo progresivo de la urbanización definiendo la ubicación y cuadro de áreas para cada una de las etapas. </w:t>
      </w:r>
    </w:p>
    <w:p w14:paraId="6AAB8A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DE07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proyecto urbanístico general y la reglamentación de las urbanizaciones aprobadas mantendrán su vigencia aun cuando se modifiquen las normas urbanísticas sobre las cuales se aprobaron y servirán de fundamento para la expedición de las licencias de urbanización de las demás etapas, siempre que la licencia de urbanización para la nueva etapa se solicite como mínimo treinta (30) días calendario antes del vencimiento de la licencia de la etapa anterior. Las modificaciones del proyecto urbanístico general, en tanto esté vigente, se resolverán con fundamento en las normas urbanísticas y reglamentaciones con base en las cuales fue aprobado. </w:t>
      </w:r>
    </w:p>
    <w:p w14:paraId="4DE0DC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7B59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cada etapa se podrá solicitar y expedir una licencia, siempre que cuente con el documento de que trata el presente decreto respecto a la prestación de servicios públicos domiciliarios, los accesos y el cumplimiento autónomo de los porcentajes de cesión. </w:t>
      </w:r>
    </w:p>
    <w:p w14:paraId="053402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4EDD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ejecución de la licencia para una de las etapas y en el marco del proyecto urbanístico general, se podrán conectar las redes de servicios públicos ubicadas fuera de la respectiva etapa, sin que sea necesaria la expedición de la licencia de urbanización para el área a intervenir, siempre y cuando se cumpla con las especificaciones técnicas definidas por la empresa de servicios públicos correspondientes y exista la aprobación del paso de redes por terrenos de los propietarios. </w:t>
      </w:r>
    </w:p>
    <w:p w14:paraId="5FB20ECA" w14:textId="509B956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24" w:name="ver_30110844"/>
      <w:bookmarkStart w:id="1325" w:name="ver_30109503"/>
      <w:bookmarkStart w:id="1326" w:name="ver_30109504"/>
      <w:bookmarkEnd w:id="1324"/>
    </w:p>
    <w:p w14:paraId="4CEE55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2.2.6.1.2.4.</w:t>
      </w:r>
      <w:proofErr w:type="gramStart"/>
      <w:r w:rsidRPr="009342F9">
        <w:rPr>
          <w:rFonts w:ascii="Arial" w:eastAsia="Times New Roman" w:hAnsi="Arial" w:cs="Arial"/>
          <w:color w:val="000000"/>
          <w:lang w:eastAsia="es-CO"/>
        </w:rPr>
        <w:t>3.Tránsito</w:t>
      </w:r>
      <w:proofErr w:type="gramEnd"/>
      <w:r w:rsidRPr="009342F9">
        <w:rPr>
          <w:rFonts w:ascii="Arial" w:eastAsia="Times New Roman" w:hAnsi="Arial" w:cs="Arial"/>
          <w:color w:val="000000"/>
          <w:lang w:eastAsia="es-CO"/>
        </w:rPr>
        <w:t xml:space="preserve"> de normas urbanísticas y revalidación de licencias. Cuando una licencia pierda su vigencia por vencimiento del plazo o de sus prórrogas, el interesado deberá solicitar una nueva licencia, ante la misma autoridad que la expidió, ajustándose a las normas urbanísticas vigentes al momento de la nueva solicitud.  </w:t>
      </w:r>
    </w:p>
    <w:p w14:paraId="6E4806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210A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embargo, el interesado podrá solicitar, por una sola vez, la revalidación de la licencia vencida, entendida esta como el acto administrativo mediante el cual el curador urbano o la autoridad encargada de la expedición de licencias urbanísticas, concede una nueva licencia, con el fin de que se culminen las obras y actuaciones aprobadas en la licencia vencida, siempre y cuando no haya transcurrido un término mayor a dos (2) meses desde el vencimiento de la licencia que se pretende revalidar, que el constructor o el urbanizador presente el cuadro de áreas en el que se identifique lo ejecutado durante la licencia vencida así como lo que se ejecutará durante la revalidación y manifieste bajo la gravedad del juramento que el inmueble se encuentra en cualquiera de las siguientes situaciones:  </w:t>
      </w:r>
    </w:p>
    <w:p w14:paraId="7AAD94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1EEB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el caso de licencias de urbanización o parcelación, que las obras de la urbanización o parcelación se encuentran ejecutadas en por lo menos un cincuenta por ciento (50%).  </w:t>
      </w:r>
    </w:p>
    <w:p w14:paraId="6D48AF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93CC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el caso de las licencias de construcción por unidades independientes estructuralmente, que por lo menos la mitad de las unidades construibles autorizadas, cuenten como mínimo con el cincuenta (50%) por ciento de la estructura portante o el elemento que haga sus veces.  </w:t>
      </w:r>
    </w:p>
    <w:p w14:paraId="791C43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688B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En el caso de las licencias de construcción de una edificación independiente estructuralmente, que se haya construido por lo menos el cincuenta por ciento (50%) de la estructura portante o el elemento que haga sus veces.  </w:t>
      </w:r>
    </w:p>
    <w:p w14:paraId="61ADA1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191C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Para las licencias de intervención y ocupación del espacio público, solo se exige la presentación de la solicitud dentro del término señalado en el presente artículo.  </w:t>
      </w:r>
    </w:p>
    <w:p w14:paraId="277900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1247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revalidaciones se resolverán con fundamento en las normas urbanísticas y demás reglamentaciones que sirvieron de base para la expedición de la licencia objeto de la revalidación, tendrán el mismo término de su vigencia y podrán prorrogarse por una sola vez por el término de doce (12) meses.  </w:t>
      </w:r>
    </w:p>
    <w:p w14:paraId="204D63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FC42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revalidación podrá ser objeto de modificaciones, caso en el cual la expensa se calculará aplicando el artículo 2.2.6.6.8.10 del Decreto Único Reglamentario 1077 de 2015. Si la modificación de la revalidación incluye el cambio o inclusión de nuevos usos, se deberá adelantar el trámite de citación a vecinos colindantes de que trata el artículo 2.2.6.1.2.2.1 del Decreto Único Reglamentario 1077 de 2015, o la norma que lo adicione, modifique o sustituya.  </w:t>
      </w:r>
    </w:p>
    <w:p w14:paraId="0F9839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F126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transitorio. A partir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presente parágrafo y hasta el 31 de diciembre del año 2017, todas las revalidaciones vigentes podrán tener una segunda prórroga por un plazo adicional de doce (12) meses contados a partir de la fecha de vencimiento de la primera prórroga”.  </w:t>
      </w:r>
    </w:p>
    <w:p w14:paraId="076204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599B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solicitud de segunda prórroga deberá formularse dentro de los treinta (30) días calendario, anteriores al vencimiento de la primera prórroga de la revalidación, y su expedición procederá con la presentación de la solicitud por parte del titular”. </w:t>
      </w:r>
    </w:p>
    <w:p w14:paraId="4E5D356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27" w:name="ver_30074050"/>
      <w:bookmarkEnd w:id="1325"/>
      <w:bookmarkEnd w:id="1326"/>
      <w:bookmarkEnd w:id="1327"/>
    </w:p>
    <w:p w14:paraId="68D5BB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2.2.6.1.2.4.4 Vigencia de la licencia de intervención y ocupación del espacio público. La licencia de intervención y ocupación del espacio público tendrá una vigencia de veinticuatro (24) meses, contados a partir de la fecha en la que quede en firme el acto administrativo que otorga la respectiva licencia, para la ejecución total de las obras autorizadas. </w:t>
      </w:r>
    </w:p>
    <w:p w14:paraId="6A939B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D243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término de la licencia de intervención y ocupación del espacio público podrá prorrogarse por una sola vez, por un término igual a la mitad del tiempo que fue inicialmente concedido, siempre y cuando esta sea solicitada durante los quince días anteriores al vencimiento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0C8460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6DFE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Una vez en firme la licencia de intervención y ocupación del espacio público para la localización de equipamiento comunal de que trata el numeral 1 del artículo 2.2.6.1.1.13 del presente decreto, el solicitante dispondrá máximo de seis (6) meses para obtener la respectiva licencia de construcción si se requiere, </w:t>
      </w: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esta no se obtenga, la licencia de intervención y ocupación del espacio público perderá automáticamente su vigencia. </w:t>
      </w:r>
    </w:p>
    <w:p w14:paraId="20EDDC4A" w14:textId="68C449F5"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28" w:name="ver_30074053"/>
      <w:bookmarkEnd w:id="1328"/>
    </w:p>
    <w:p w14:paraId="1181EFAC" w14:textId="69A7D4D9"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40D462EA"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ACTUACIONES RELACIONADAS CON LA EXPEDICIÓN DE LAS LICENCIAS</w:t>
      </w:r>
    </w:p>
    <w:p w14:paraId="2EE3852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29" w:name="ver_30125188"/>
      <w:bookmarkStart w:id="1330" w:name="ver_30109505"/>
      <w:bookmarkStart w:id="1331" w:name="ver_30109506"/>
      <w:bookmarkStart w:id="1332" w:name="ver_30110845"/>
      <w:bookmarkEnd w:id="1329"/>
    </w:p>
    <w:p w14:paraId="6977C9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2.2.6.1.3.</w:t>
      </w:r>
      <w:proofErr w:type="gramStart"/>
      <w:r w:rsidRPr="009342F9">
        <w:rPr>
          <w:rFonts w:ascii="Arial" w:eastAsia="Times New Roman" w:hAnsi="Arial" w:cs="Arial"/>
          <w:color w:val="000000"/>
          <w:lang w:eastAsia="es-CO"/>
        </w:rPr>
        <w:t>1.Otras</w:t>
      </w:r>
      <w:proofErr w:type="gramEnd"/>
      <w:r w:rsidRPr="009342F9">
        <w:rPr>
          <w:rFonts w:ascii="Arial" w:eastAsia="Times New Roman" w:hAnsi="Arial" w:cs="Arial"/>
          <w:color w:val="000000"/>
          <w:lang w:eastAsia="es-CO"/>
        </w:rPr>
        <w:t xml:space="preserve"> actuaciones. Se entiende por otras actuaciones relacionadas con la expedición de las licencias, aquellas vinculadas con el desarrollo de proyectos urbanísticos o arquitectónicos, que se pueden ejecutar independientemente o con ocasión de la expedición de una licencia dentro de las cuales se pueden enunciar las siguientes:  </w:t>
      </w:r>
    </w:p>
    <w:p w14:paraId="338CB7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749C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Ajuste de cotas de áreas. Es la autorización para incorporar en los planos urbanísticos previamente aprobados por el curador urbano o la autoridad municipal o distrital competente para expedir licencias, la corrección técnica de cotas y áreas de un predio o predios determinados cuya urbanización haya sido ejecutada en su totalidad.  </w:t>
      </w:r>
    </w:p>
    <w:p w14:paraId="6CAA70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A459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Concepto de norma urbanística. Es el dictamen escrito por medio del cual el curador urbano, la autoridad municipal o distrital competente para expedir licencias o la oficina de planeación o la que haga sus veces, informa al interesado sobre las normas urbanísticas y demás vigentes aplicables a un predio que va a ser construido o intervenido. La expedición de estos conceptos no otorga derechos ni obligaciones a su peticionario y no modifica los derechos conferidos mediante licencias que estén vigentes o que hayan sido ejecutadas.  </w:t>
      </w:r>
    </w:p>
    <w:p w14:paraId="790B52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5D7D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Concepto de uso del suelo. Es el dictamen escrito por medio del cual el curador urbano o la autoridad municipal o distrital competente para expedir licencias o la oficina de planeación o la que haga sus veces, informa al interesado sobre el uso o usos permitidos en un predio o edificación, de conformidad con las normas urbanísticas del Plan de Ordenamiento Territorial y los instrumentos que lo desarrollen. La expedición de estos conceptos no otorga derechos ni obligaciones a su peticionario y no modifica los derechos conferidos mediante licencias que estén vigentes o que hayan sido ejecutadas.  </w:t>
      </w:r>
    </w:p>
    <w:p w14:paraId="17A9D4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379C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Copia certificada de planos. Es la certificación que otorga el curador urbano o la autoridad municipal o distrital competente para expedir licencias de que la copia adicional de los planos es idéntica a los planos que se aprobaron en la respectiva licencia urbanística.  </w:t>
      </w:r>
    </w:p>
    <w:p w14:paraId="1582A9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A8FD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Aprobación de los Planos de Propiedad Horizontal. Es la aprobación que otorga el curador urbano, o la autoridad municipal o distrital competente para el estudio, trámite y expedición de las licencias, a los planos de alinderamiento, cuadros de áreas o al proyecto de división entre bienes privados y bienes comunes de la propiedad horizontal exigidos por la Ley 675 de 2001 o la norma que la adicione, modifique o sustituya, los cuales deben corresponder fielmente al proyecto de parcelación, urbanización o construcción aprobado mediante licencias urbanísticas o el aprobado por la autoridad competente cuando se trate de bienes de interés cultural. Estos deben señalar la localización, linderos, nomenclatura, áreas de cada una de las unidades privadas y las áreas y bienes de uso común.  </w:t>
      </w:r>
    </w:p>
    <w:p w14:paraId="7E067D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FFAD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Autorización para el movimiento de tierras. Es la aprobación correspondiente al conjunto de trabajos a realizar en un terreno para dejarlo despejado y nivelado, como fase preparatoria de futuras obras de parcelación, urbanización y/o construcción.  </w:t>
      </w:r>
    </w:p>
    <w:p w14:paraId="409EE3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99EB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Dicha autorización se otorgará a solicitud del interesado, con fundamento en estudios geotécnicos que garanticen la protección de vías, instalaciones de servicios públicos, predios aledaños y construcciones vecinas.  </w:t>
      </w:r>
    </w:p>
    <w:p w14:paraId="6DE7FF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53A0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Aprobación de piscinas. Es la autorización para la intervención del terreno destinado a la construcción de piscinas en que se verifica el cumplimiento de las normas técnicas y de seguridad definidas por la normatividad vigente.  </w:t>
      </w:r>
    </w:p>
    <w:p w14:paraId="3B325C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0A6D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Modificación de planos urbanísticos, de legalización y demás planos que aprobaron desarrollos o asentamientos. Son los ajustes a los planos y cuadros de áreas de las urbanizaciones aprobadas y ejecutadas cuya licencia esté vencida o de los planos y cuadros de áreas aprobados y ejecutados según actos de legalización y demás que aprobaron asentamientos tales como loteos, planos de localización, planos topográficos y demás. Esta actuación no conlleva nuevas autorizaciones para ejecutar obras, y solo implica la actualización de la información contenida en los planos urbanísticos, de legalización y demás en concordancia con lo ejecutado.  </w:t>
      </w:r>
    </w:p>
    <w:p w14:paraId="291993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439C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Habrá lugar a la modificación de los planos urbanísticos, de legalización y demás de que trata el presente numeral en los siguientes eventos:  </w:t>
      </w:r>
    </w:p>
    <w:p w14:paraId="1DC98B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0C0E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Cuando la autoridad competente desafecte áreas cuya destinación corresponda a afectaciones o reservas, o que no hayan sido adquiridas por estas dentro de los términos previstos en el artículo 37 de la Ley 9ª de 1989.  </w:t>
      </w:r>
    </w:p>
    <w:p w14:paraId="61A46A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A679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este caso, para desarrollar el área desafectada se deberá obtener una nueva licencia de urbanización, la cual se expedirá con fundamento en las normas urbanísticas con que se aprobó el proyecto que se está ajustando, con el fin de mantener la coherencia entre el nuevo proyecto y el original.  </w:t>
      </w:r>
    </w:p>
    <w:p w14:paraId="3C87BD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6BE2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manera previa a esta solicitud, se debe cancelar en el folio de matrícula inmobiliaria del predio la inscripción de la afectación;  </w:t>
      </w:r>
    </w:p>
    <w:p w14:paraId="4BCDE5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EA22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Cuando existan urbanizaciones parcialmente ejecutadas y se pretenda separar el área urbanizada de la parte no urbanizada.  </w:t>
      </w:r>
    </w:p>
    <w:p w14:paraId="152B78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B593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este caso, el área urbanizada deberá ser autónoma en el cumplimiento del porcentaje de zonas de cesión definidos por la norma urbanística con que se aprobó la urbanización.  </w:t>
      </w:r>
    </w:p>
    <w:p w14:paraId="33D833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3A53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desarrollar el área no urbanizada se deberá obtener una nueva licencia de urbanización, la cual se expedirá teniendo en cuenta lo previsto en la Sección Primera del Capítulo I del Título VI de la Parte 2 del Decreto número 1077 de 2015;  </w:t>
      </w:r>
    </w:p>
    <w:p w14:paraId="409BE9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5BA1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Cuando las entidades públicas administradoras del espacio público de uso público soliciten el cambio de uso de una zona de equipamiento comunal para convertirla en zona verde o viceversa que sean producto de procesos de urbanización y que estén bajo su administración;  </w:t>
      </w:r>
    </w:p>
    <w:p w14:paraId="2E5D54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7AF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Cuando se trate de programas o proyectos de renovación urbana y se requiera precisar las áreas públicas y privadas de los planos urbanísticos, de legalización y demás sobre los que se adelantará el programa o proyecto objeto de renovación urbana;  </w:t>
      </w:r>
    </w:p>
    <w:p w14:paraId="015B60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9C9C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Cuando existan circunstancias de fuerza mayor o caso fortuito plenamente acreditadas que justifiquen la modificación.  </w:t>
      </w:r>
    </w:p>
    <w:p w14:paraId="783129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14B9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Bienes destinados a uso público o con vocación de uso público. Para efectos de definir la condición de bienes de uso público o con vocación de uso público en desarrollos urbanísticos construidos por el desaparecido Instituto de Crédito Territorial (ICT) y que de conformidad con la Ley 1001 de 2005 se deban ceder a título gratuito a las entidades del orden municipal o distrital, se deberá tener en consideración cualquiera de las siguientes condiciones:  </w:t>
      </w:r>
    </w:p>
    <w:p w14:paraId="630AB1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3A47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al superponer los planos urbanísticos históricos disponibles del ICT, sobre la base cartográfica catastral oficial, y debidamente georreferenciado el bien, el mismo se identifique como una zona de cesión o destinada al uso público;  </w:t>
      </w:r>
    </w:p>
    <w:p w14:paraId="52DBDD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DB14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aun cuando no cuenten con un señalamiento expreso como áreas de cesión pública en los planos urbanísticos históricos disponibles del ICT, de acuerdo con certificación expedida por la Oficina de Planeación o la autoridad municipal competente, el bien haya sido efectivamente utilizado por la comunidad como zona verde o parque, siempre y cuando el ente territorial acredite que ha invertido recursos en el predio o que los destinará a más tardar dentro de la vigencia fiscal inmediatamente siguiente a la transferencia, so pena de la restitución del predio;  </w:t>
      </w:r>
    </w:p>
    <w:p w14:paraId="0AC126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EDAD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Que </w:t>
      </w:r>
      <w:proofErr w:type="spellStart"/>
      <w:r w:rsidRPr="009342F9">
        <w:rPr>
          <w:rFonts w:ascii="Arial" w:eastAsia="Times New Roman" w:hAnsi="Arial" w:cs="Arial"/>
          <w:color w:val="000000"/>
          <w:lang w:eastAsia="es-CO"/>
        </w:rPr>
        <w:t>auncuando</w:t>
      </w:r>
      <w:proofErr w:type="spellEnd"/>
      <w:r w:rsidRPr="009342F9">
        <w:rPr>
          <w:rFonts w:ascii="Arial" w:eastAsia="Times New Roman" w:hAnsi="Arial" w:cs="Arial"/>
          <w:color w:val="000000"/>
          <w:lang w:eastAsia="es-CO"/>
        </w:rPr>
        <w:t xml:space="preserve"> no cuenten con un señalamiento expreso como áreas de cesión pública en los planos urbanísticos históricos disponibles del ICT, de acuerdo con certificación expedida por la Oficina de Planeación o la autoridad municipal competente, o la cartografía oficial del municipio, el bien se encuentre conformando un perfil vial;  </w:t>
      </w:r>
    </w:p>
    <w:p w14:paraId="6F21F9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78D5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Que aun cuando no cuenten con un señalamiento expreso como áreas de cesión pública en los planos urbanísticos históricos disponibles del ICT, de acuerdo con certificación expedida por la Oficina de Planeación o la autoridad municipal competente, o la cartografía oficial del municipio, el predio se encuentre en una zona de protección ambiental.  </w:t>
      </w:r>
    </w:p>
    <w:p w14:paraId="07A2CF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0E09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todos los casos anteriores, el Ministerio de Vivienda, Ciudad y Territorio, elaborará un “Plano Récord de Identificación de Zonas de Uso Público” y lo remitirá al municipio o distrito, para su incorporación en la cartografía oficial.  </w:t>
      </w:r>
    </w:p>
    <w:p w14:paraId="11815D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DDA3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Revisión independiente de los diseños estructurales por parte de Curadores Urbanos. Es la revisión independiente de los diseños estructurales que adelanta el curador urbano en los términos del apéndice A-6 del Reglamento Colombiano de Construcción Sismorresistente NSR-10, en la cual constata que el diseño estructural propuesto en el proyecto cumple con la norma sismorresistente. El alcance y trámite de la revisión de los diseños estructurales se adelantará conforme a lo establecido en la Resolución número 0015 de 2015 expedida por la Comisión Asesora Permanente para el Régimen de Construcciones Sismorresistentes, o la norma que la adicione, modifique o sustituya.  </w:t>
      </w:r>
    </w:p>
    <w:p w14:paraId="13C45C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0B1E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revisión independiente de los diseños estructurales que realiza el curador urbano estará vigente mientras no se modifique la Norma Sismorresistente. Esta revisión solo podrá ser adelantada por el curador urbano del municipio más cercano del mismo departamento, en aquellos municipios y distritos donde no se cuente con la figura de curador urbano.  </w:t>
      </w:r>
    </w:p>
    <w:p w14:paraId="1890C5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F248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Cuando se desarrollen una o varias de las actividades señaladas en el presente artículo dentro del trámite de la licencia, se considerarán como parte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y no darán lugar al cobro de expensas adicionales en favor del curador urbano distintas a las que se generan por el estudio, trámite y expedición de la respectiva licencia.  </w:t>
      </w:r>
    </w:p>
    <w:p w14:paraId="5DC4EA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5408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revisión independiente de los diseños estructurales que ejecute el curador urbano no hará parte del trámite de licenciamiento.  </w:t>
      </w:r>
    </w:p>
    <w:p w14:paraId="40D358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E95F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término para que el curador urbano o la autoridad municipal o distrital competente para decidir sobre las actuaciones de que trata este artículo, será de quince (15) días hábiles contados a partir del día siguiente de la fecha de radicación de la solicitud, salvo cuando el curador urbano adelante la actuación señalada en el numeral 10, caso en el cual pactará con el solicitante el plazo para adelantar dicha labor.  </w:t>
      </w:r>
    </w:p>
    <w:p w14:paraId="4202A0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E55B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Las actuaciones de que tratan los numerales 6 y 7 de este artículo tienen una vigencia de dieciocho (18) meses improrrogables. La actuación de que trata el numeral 10 de este artículo tendrá vigencia mientras no se modifique la norma sismorresistente. La vigencia de las demás actuaciones no está limitada en el tiempo por cuanto no conllevan autorización de ejecución de obras sino la actualización, acreditación, conceptualización o certificación de situaciones urbanísticas.  </w:t>
      </w:r>
    </w:p>
    <w:p w14:paraId="3CC8C33F" w14:textId="77777777"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33" w:name="ver_30110847"/>
      <w:bookmarkStart w:id="1334" w:name="ver_30110846"/>
      <w:bookmarkEnd w:id="1330"/>
      <w:bookmarkEnd w:id="1331"/>
      <w:bookmarkEnd w:id="1332"/>
      <w:bookmarkEnd w:id="1333"/>
    </w:p>
    <w:p w14:paraId="6C07447A" w14:textId="3640D6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2.2.6.1.3.2</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Requisitos para las solicitudes de otras actuaciones relacionadas con la expedición de las licencias. A las solicitudes de otras actuaciones urbanísticas de ajuste de cotas y áreas, aprobación de los planos de propiedad horizontal, autorización para el movimiento de tierras, aprobación de piscinas y modificación del </w:t>
      </w:r>
      <w:proofErr w:type="spellStart"/>
      <w:r w:rsidRPr="009342F9">
        <w:rPr>
          <w:rFonts w:ascii="Arial" w:eastAsia="Times New Roman" w:hAnsi="Arial" w:cs="Arial"/>
          <w:color w:val="000000"/>
          <w:lang w:eastAsia="es-CO"/>
        </w:rPr>
        <w:t>plano</w:t>
      </w:r>
      <w:proofErr w:type="spellEnd"/>
      <w:r w:rsidRPr="009342F9">
        <w:rPr>
          <w:rFonts w:ascii="Arial" w:eastAsia="Times New Roman" w:hAnsi="Arial" w:cs="Arial"/>
          <w:color w:val="000000"/>
          <w:lang w:eastAsia="es-CO"/>
        </w:rPr>
        <w:t xml:space="preserve"> urbanístico se acompañarán los documentos a que hacen referencia los numerales 1, 3 y 4 del artículo 2.2.6.1.2.1.7 del presente decreto. </w:t>
      </w:r>
    </w:p>
    <w:p w14:paraId="6DDAEE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EE8B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a los requisitos generales señalados anteriormente, y dependiendo de la actuación que se solicite, se aportarán los siguientes documentos: </w:t>
      </w:r>
    </w:p>
    <w:p w14:paraId="146135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3BFD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Ajustes de cotas y áreas: Se debe aportar copia del plano correspondiente. </w:t>
      </w:r>
    </w:p>
    <w:p w14:paraId="4867AC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4B96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Aprobación de los planos de propiedad horizontal: Se deben aportar los planos de alinderamiento y el cuadro de áreas o proyecto de división. Cuando se presente ante autoridad distinta a la que otorgó la licencia, copia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y de los planos correspondientes. Tratándose de bienes de interés cultural, el anteproyecto de intervención aprobado. </w:t>
      </w:r>
    </w:p>
    <w:p w14:paraId="0AE88A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11BE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casos en que las licencias urbanísticas hayan perdido su vigencia, se hará una manifestación expresa presentada bajo la gravedad de juramento en la que conste que la obra aprobada está construida en su totalidad. </w:t>
      </w:r>
    </w:p>
    <w:p w14:paraId="41C4FE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72A5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Autorización para el movimiento de tierras: Se deben aportar los estudios de suelos y geotécnicos de conformidad con Ley 400 de 1997, sus decretos reglamentarios, o las normas que los adicionen, modifiquen o sustituyan. </w:t>
      </w:r>
    </w:p>
    <w:p w14:paraId="725070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F16C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Aprobación de piscinas: Se deben aportar los planos de diseño y arquitectónicos, los estudios de suelos y geotécnicos de conformidad con las normas vigentes. </w:t>
      </w:r>
    </w:p>
    <w:p w14:paraId="52E30A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271D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5. Modificación de plano urbanístico de legalización y demás planos: Se debe aportar copia de la licencia de urbanización, sus modificaciones, prórroga y/o revalidación, o el acto administrativo de legalización, o el acto administrativo que aprobó el desarrollo o asentamiento y los planos que hacen parte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en cada caso, junto con los planos que contengan la nueva propuesta urbanística objeto de aprobación. En caso de que la aprobación del plano que se pretende modificar este contenida en el propio plano no se exigirá el acto administrativo que la apruebe. </w:t>
      </w:r>
    </w:p>
    <w:p w14:paraId="569F19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903F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 solicitud de modificación de plano urbanístico, de legalización y demás planos que aprobaron el desarrollo o asentamiento se hace para el desarrollo de un programa o proyecto de renovación urbana, el nuevo plano deberá identificar el área objeto de renovación y elaborarse con fundamento en las áreas consignadas en los títulos de propiedad, o en los certificados de cabida y linderos expedidos por las autoridades catastrales competentes, o en las áreas definidas en sentencias judiciales. </w:t>
      </w:r>
    </w:p>
    <w:p w14:paraId="28DDBA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55DB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Concepto de norma urbanística y uso del suelo: se indicará la dirección oficial del predio o su ubicación si se encuentra en suelo rural y los antecedentes urbanísticos como licencias y demás, en el caso de existir. </w:t>
      </w:r>
    </w:p>
    <w:p w14:paraId="41D42C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C0DA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Bienes destinados a uso público o con vocación de uso público: Se debe aportar “Plano Récord de Identificación de Zonas de Uso Público” elaborado por el Ministerio de Vivienda, Ciudad y Territorio. </w:t>
      </w:r>
    </w:p>
    <w:p w14:paraId="1894F5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A5C1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los municipios y distritos en donde existan medios tecnológicos disponibles de consulta virtual o flujos de información electrónica, los curadores urbanos estarán en la obligación de verificar por estos mismos medios, al momento de la radicación de la solicitud, la información pertinente contenida en los documentos de que tratan los numerales 1 y 3 del artículo 2.2.6.1.2.1.7 del presente decreto. Esta consulta de verificación sustituye la presentación del documento a cargo del solicitante de la actuación, salvo que la información correspondiente no se encuentre disponible por medios electrónicos”. </w:t>
      </w:r>
    </w:p>
    <w:p w14:paraId="63E639A6" w14:textId="33A97719" w:rsidR="00FC79C1" w:rsidRPr="009342F9" w:rsidRDefault="00FC79C1" w:rsidP="00D4095E">
      <w:pPr>
        <w:spacing w:after="0" w:line="240" w:lineRule="auto"/>
        <w:jc w:val="center"/>
        <w:rPr>
          <w:rFonts w:ascii="Arial" w:eastAsia="Times New Roman" w:hAnsi="Arial" w:cs="Arial"/>
          <w:b/>
          <w:bCs/>
          <w:color w:val="000000"/>
          <w:lang w:eastAsia="es-CO"/>
        </w:rPr>
      </w:pPr>
    </w:p>
    <w:p w14:paraId="123E8CD2" w14:textId="669D86B6" w:rsidR="00FC79C1" w:rsidRPr="009342F9" w:rsidRDefault="00FC79C1" w:rsidP="00D4095E">
      <w:pPr>
        <w:spacing w:after="0" w:line="240" w:lineRule="auto"/>
        <w:jc w:val="center"/>
        <w:rPr>
          <w:rFonts w:ascii="Arial" w:eastAsia="Times New Roman" w:hAnsi="Arial" w:cs="Arial"/>
          <w:b/>
          <w:bCs/>
          <w:color w:val="000000"/>
          <w:lang w:eastAsia="es-CO"/>
        </w:rPr>
      </w:pPr>
      <w:bookmarkStart w:id="1335" w:name="ver_30074059"/>
      <w:bookmarkEnd w:id="1334"/>
      <w:bookmarkEnd w:id="1335"/>
      <w:r w:rsidRPr="009342F9">
        <w:rPr>
          <w:rFonts w:ascii="Arial" w:eastAsia="Times New Roman" w:hAnsi="Arial" w:cs="Arial"/>
          <w:b/>
          <w:bCs/>
          <w:color w:val="000000"/>
          <w:lang w:eastAsia="es-CO"/>
        </w:rPr>
        <w:t>SECCIÓN 4</w:t>
      </w:r>
    </w:p>
    <w:p w14:paraId="04ACFCE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DISPOSICIONES</w:t>
      </w:r>
    </w:p>
    <w:p w14:paraId="7B6EEEA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36" w:name="ver_30125196"/>
      <w:bookmarkStart w:id="1337" w:name="ver_30125189"/>
      <w:bookmarkEnd w:id="1336"/>
    </w:p>
    <w:p w14:paraId="69C55F9E" w14:textId="70748E1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2.2.6.1.4.1.</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Autorización de Ocupación de Inmuebles. Es el acto mediante el cual la autoridad competente para ejercer el control urbano y posterior de obra certifica mediante acta detallada el cabal cumplimiento de:  </w:t>
      </w:r>
    </w:p>
    <w:p w14:paraId="53F215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1D85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obras construidas de conformidad con la licencia de construcción en la modalidad de obra nueva otorgada por el curador urbano o la autoridad municipal o distrital competente para expedir licencias, cuando se trate de proyectos que no requirieron supervisión técnica independiente.  </w:t>
      </w:r>
    </w:p>
    <w:p w14:paraId="4C8C30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1B33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Las obras de adecuación a las normas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xml:space="preserve"> y/o a las normas urbanísticas y arquitectónicas contempladas en el acto de reconocimiento de la edificación, en los términos de que trata el presente decreto. Para este efecto, la autoridad competente realizará una inspección al sitio donde se desarrolló el proyecto, dejando constancia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mediante acta, en la que se describirán las obras ejecutadas. Si estas se adelantaron de conformidad con lo aprobado en la licencia, la autoridad expedirá la Autorización de Ocupación de Inmuebles.  </w:t>
      </w:r>
    </w:p>
    <w:p w14:paraId="63A65A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EFDE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se podrá supeditar la conexión de servicios públicos domiciliarios a la obtención del permiso de ocupación y/o demás mecanismos de control urbano del orden municipal o distrital. Dicha conexión únicamente se sujetará al cumplimiento de lo previsto en la Ley 142 de 1994 y sus reglamentaciones o a las normas que lo adicionen, modifiquen o sustituyan.  </w:t>
      </w:r>
    </w:p>
    <w:p w14:paraId="3024AE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451C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autoridad competente tendrá un término máximo de quince (15) días hábiles contados a partir de la fecha de la solicitud, para expedir sin costo alguno la Autorización de Ocupación de Inmuebles.  </w:t>
      </w:r>
    </w:p>
    <w:p w14:paraId="4A07C5F1" w14:textId="45519BE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BD1E2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38" w:name="ver_30074062"/>
      <w:bookmarkEnd w:id="1337"/>
      <w:bookmarkEnd w:id="1338"/>
      <w:r w:rsidRPr="009342F9">
        <w:rPr>
          <w:rFonts w:ascii="Arial" w:eastAsia="Times New Roman" w:hAnsi="Arial" w:cs="Arial"/>
          <w:color w:val="000000"/>
          <w:lang w:eastAsia="es-CO"/>
        </w:rPr>
        <w:t>Artículo 2.2.6.1.4.2 Expedición de licencias de urbanización y construcción con posterioridad a la declaración de situación de desastre o calamidad pública. En el evento de declaración de situación de desastre o calamidad pública, se aplicará el régimen especial para la expedición de licencias de urbanización y construcción contenidos en el Capítulo sobre “Licencias urbanísticas con posterioridad a la declaratoria de situación de desastre o calamidad pública” del presente decreto. </w:t>
      </w:r>
    </w:p>
    <w:p w14:paraId="38406733" w14:textId="198E3EC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39" w:name="ver_30074063"/>
      <w:bookmarkEnd w:id="1339"/>
    </w:p>
    <w:p w14:paraId="19C3DF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2.2.6.1.4.3 Materiales y métodos alternos de diseño y de construcción. En el evento de que la solicitud de la licencia de construcción incluya el uso de materiales estructurales, métodos de diseño y métodos de construcción diferentes a los prescritos por las normas de construcción sismo resistentes vigentes, deberá cumplirse con los </w:t>
      </w:r>
      <w:proofErr w:type="spellStart"/>
      <w:r w:rsidRPr="009342F9">
        <w:rPr>
          <w:rFonts w:ascii="Arial" w:eastAsia="Times New Roman" w:hAnsi="Arial" w:cs="Arial"/>
          <w:color w:val="000000"/>
          <w:lang w:eastAsia="es-CO"/>
        </w:rPr>
        <w:t>requisites</w:t>
      </w:r>
      <w:proofErr w:type="spellEnd"/>
      <w:r w:rsidRPr="009342F9">
        <w:rPr>
          <w:rFonts w:ascii="Arial" w:eastAsia="Times New Roman" w:hAnsi="Arial" w:cs="Arial"/>
          <w:color w:val="000000"/>
          <w:lang w:eastAsia="es-CO"/>
        </w:rPr>
        <w:t xml:space="preserve"> y seguirse el procedimiento establecido en el Capítulo 2 del Título III de la Ley 400 de 1997, sus decretos reglamentarios, o las normas que los adicionen, modifiquen o sustituyan y el Reglamento Colombiano de Construcción Sismorresistente – NSR – 10, y la norma que lo adicione, modifique o sustituya. </w:t>
      </w:r>
    </w:p>
    <w:p w14:paraId="0A5E3E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7E2A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permitir la utilización de métodos alternos de construcción y de materiales cubiertos, se aplicará lo establecido en el artículo 11 de la Ley 400 de 1997, sus decretos reglamentarios, o las normas que los adicionen, modifiquen o sustituyan. </w:t>
      </w:r>
    </w:p>
    <w:p w14:paraId="75DF469E" w14:textId="2087690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40" w:name="ver_30074065"/>
      <w:bookmarkEnd w:id="1340"/>
    </w:p>
    <w:p w14:paraId="11A51D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2.2.6.1.4.4 Exigencias técnicas de construcción. En desarrollo de lo dispuesto en el numeral 11 del artículo 41 de la Ley 400 de 1997, sus decretos reglamentarios, o las normas que los adicionen, modifiquen o sustituyan, la aprobación de condiciones de diseño y técnicas de </w:t>
      </w:r>
      <w:proofErr w:type="gramStart"/>
      <w:r w:rsidRPr="009342F9">
        <w:rPr>
          <w:rFonts w:ascii="Arial" w:eastAsia="Times New Roman" w:hAnsi="Arial" w:cs="Arial"/>
          <w:color w:val="000000"/>
          <w:lang w:eastAsia="es-CO"/>
        </w:rPr>
        <w:t>construcción,</w:t>
      </w:r>
      <w:proofErr w:type="gramEnd"/>
      <w:r w:rsidRPr="009342F9">
        <w:rPr>
          <w:rFonts w:ascii="Arial" w:eastAsia="Times New Roman" w:hAnsi="Arial" w:cs="Arial"/>
          <w:color w:val="000000"/>
          <w:lang w:eastAsia="es-CO"/>
        </w:rPr>
        <w:t xml:space="preserve"> corresponderá exclusivamente a la Comisión Asesora Permanente para el Régimen de Construcciones Sismorresistentes. </w:t>
      </w:r>
    </w:p>
    <w:p w14:paraId="066E51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30D5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curadores urbanos no podrán exigir el cumplimiento de normas técnicas o cualquier otra norma de construcción establecida por los municipios y distritos, salvo que exista expresa atribución legal que permita a las autoridades locales la definición de aspectos de orden técnico en la construcción de obras. </w:t>
      </w:r>
    </w:p>
    <w:p w14:paraId="003257CB" w14:textId="7BF5E26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41" w:name="ver_30074066"/>
      <w:bookmarkEnd w:id="1341"/>
    </w:p>
    <w:p w14:paraId="265EA4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2.2.6.1.4.5 Determinación de las áreas de cesión. Sin perjuicio de las normas nacionales que regulan la materia, los Planes de Ordenamiento Territorial o los instrumentos que lo desarrollen o complementen determinarán las especificaciones para la conformación y dotación de las cesiones gratuitas destinadas a vías, equipamientos colectivos y espacio público en general. Cuando las zonas de cesión presenten áreas inferiores a las mínimas exigidas, o cuando su ubicación sea inconveniente para el municipio o distrito, se podrán compensar en dinero o en otros inmuebles, en los términos que reglamente el Concejo municipal o distrital. Estas previsiones se consignarán en las respectivas licencias de urbanización o parcelación. </w:t>
      </w:r>
    </w:p>
    <w:p w14:paraId="17D0B4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A0B5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 compensación es en dinero, se destinará su valor para la adquisición de los predios requeridos para la conformación del sistema de espacio público, y si es en inmuebles, los mismos deberán estar destinados a la provisión de espacio público en los lugares apropiados, según lo determine el Plan de Ordenamiento Territorial o los instrumentos que lo desarrollen o complementen. </w:t>
      </w:r>
    </w:p>
    <w:p w14:paraId="7C4E82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F032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por lo menos el cincuenta por ciento (50%) de las zonas de cesión con destino a parques, zonas verdes o equipamientos se distribuirán espacialmente en un sólo globo de terreno y cumplirán con las siguientes características: </w:t>
      </w:r>
    </w:p>
    <w:p w14:paraId="1BBFCB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E5E1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Garantizar el acceso a las cesiones públicas para parques y equipamientos desde una vía pública vehicular. </w:t>
      </w:r>
    </w:p>
    <w:p w14:paraId="38FE02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AB1F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Proyectar las zonas de cesión en forma continua hacia el espacio público sin interrupción por áreas privadas. </w:t>
      </w:r>
    </w:p>
    <w:p w14:paraId="56E2C3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6E9E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No localizar las cesiones en predios inundables ni en zonas de alto riesgo. </w:t>
      </w:r>
    </w:p>
    <w:p w14:paraId="32CE35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D8D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aislamientos laterales, paramentos y retrocesos de las edificaciones no podrán ser compensados en dinero, ni canjeado por otros inmuebles. </w:t>
      </w:r>
    </w:p>
    <w:p w14:paraId="2085ABC7" w14:textId="6433825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42" w:name="ver_30074068"/>
      <w:bookmarkEnd w:id="1342"/>
    </w:p>
    <w:p w14:paraId="431BC3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2.2.6.1.4.6 Incorporación de áreas públicas. El espacio público resultante de los procesos de urbanización, parcelación y construcción se incorporará con el solo procedimiento de registro de la escritura de constitución de la urbanización en la Oficina de Registro de Instrumentos Públicos, en la cual se determinen las áreas públicas objeto de cesión y las áreas privadas, por su localización y linderos. La escritura correspondiente deberá otorgarse y registrarse antes de la iniciación de las ventas del proyecto respectivo. </w:t>
      </w:r>
    </w:p>
    <w:p w14:paraId="1B32F5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089B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escritura pública de constitución de la urbanización se incluirá una cláusula en la cual se expresará que este acto implica cesión gratuita de las zonas públicas objeto de cesión obligatoria al municipio o distrito. Igualmente se incluirá una cláusula en la que se manifieste que el acto de cesión está sujeto a condición resolutoria, en el evento en que las obras y/o dotación de las zonas de cesión no se ejecuten en su totalidad durante el término de vigencia de la licencia o su revalidación. Para acreditar la ocurrencia de tal condición bastará la certificación expedida por la entidad municipal o distrital responsable de la administración y mantenimiento del espacio público acerca de la no ejecución de las obras y/o dotaciones correspondientes. En este caso se entenderá incumplida la obligación de entrega de la zona de cesión y, por tanto, no se tendrá por urbanizado el predio. </w:t>
      </w:r>
    </w:p>
    <w:p w14:paraId="1E3A0F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6D61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condición resolutoria se hará efectiva una vez verificado el procedimiento previsto en el artículo siguiente del presente decreto. </w:t>
      </w:r>
    </w:p>
    <w:p w14:paraId="633A5E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4DEF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urbanizador tendrá la obligación de avisar a la entidad municipal o distrital responsable de la administración y mantenimiento del espacio público acerca del otorgamiento de la escritura de constitución de la urbanización. El Registrador de Instrumentos Públicos abrirá los folios de matrícula que correspondan a la cesión en los que figure el municipio o distrito como titular del dominio. </w:t>
      </w:r>
    </w:p>
    <w:p w14:paraId="35E722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2C3C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Corresponderá a los municipios y distritos determinar las demás condiciones y procedimientos para garantizar que a través de la correspondiente escritura pública las áreas de terreno determinadas como espacio público objeto de cesión obligatoria ingresen al inventario inmobiliario municipal o distrital. </w:t>
      </w:r>
    </w:p>
    <w:p w14:paraId="42B2F42C" w14:textId="3D25DD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43" w:name="ver_30074069"/>
      <w:bookmarkEnd w:id="1343"/>
    </w:p>
    <w:p w14:paraId="664E1B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2.2.6.1.4.7 Entrega material de las áreas de cesión. La entrega material de las zonas objeto de cesión obligatoria, así como la ejecución de las obras y dotaciones a cargo del urbanizador sobre dichas zonas, se verificará mediante inspección realizada por la entidad municipal o distrital responsable de la administración y mantenimiento del espacio público. </w:t>
      </w:r>
    </w:p>
    <w:p w14:paraId="5D7CC7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0812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diligencia de inspección se realizará en la fecha que fije la entidad municipal o distrital responsable de la administración y mantenimiento del espacio público, levantando un acta de la inspección suscrita por el urbanizador y la entidad municipal o distrital competente. La solicitud escrita deberá presentarse por el urbanizador y/o el titular de la licencia a más tardar, dentro de los seis (6) meses siguientes al vencimiento del término de vigencia de la licencia o de su revalidación, y se señalará y comunicará al solicitante la fecha de la diligencia, dentro de los cinco (5) días siguientes a partir de la fecha de radicación de la solicitud. </w:t>
      </w:r>
    </w:p>
    <w:p w14:paraId="2BB8AF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3A46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acta de inspección equivaldrá al recibo material de las zonas cedidas, y será el medio probatorio para verificar el cumplimiento de las obligaciones a cargo del urbanizador establecidas en la respectiva licencia. En el evento de verificarse un incumplimiento de las citadas obligaciones, en el acta se deberá dejar constancia de las razones del incumplimiento y del término que se concede al urbanizador para ejecutar las obras o actividades que le den solución, el que en todo caso no podrá ser inferior a quince (15) días hábiles. Igualmente se señalará la fecha en que se llevará a cabo la segunda visita, la que tendrá como finalidad verificar que las obras y dotaciones se adecuaron a lo establecido en la licencia, caso en el cual, en la misma acta se indicará que es procedente el recibo de las zonas de cesión. </w:t>
      </w:r>
    </w:p>
    <w:p w14:paraId="41A674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CD25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efectuada la segunda visita el incumplimiento persiste, se hará efectiva la condición resolutoria de que trata el artículo anterior y se dará traslado a la entidad competente, dentro de los tres (3) días hábiles siguientes, para iniciar las acciones tendientes a sancionar la infracción en los términos de la Ley 810 de 2003 o la norma que la adicione, modifique o sustituya. </w:t>
      </w:r>
    </w:p>
    <w:p w14:paraId="3E1C11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C5F3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el acto que otorgue la licencia se dejará manifestación expresa de la obligación que tiene el titular de la licencia de solicitar la diligencia de inspección de que trata este artículo. </w:t>
      </w:r>
    </w:p>
    <w:p w14:paraId="260E5F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8141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las urbanizaciones por etapas, la ejecución de las obras y dotaciones a cargo del urbanizador se hará de manera proporcional al avance del proyecto urbanístico. Los municipios y distritos establecerán los mecanismos y procedimientos para asegurar el cumplimiento de las obras y dotaciones a cargo del urbanizador. </w:t>
      </w:r>
    </w:p>
    <w:p w14:paraId="2ECF7CF7" w14:textId="5AB4A6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44" w:name="ver_30110912"/>
      <w:bookmarkStart w:id="1345" w:name="ver_30110911"/>
      <w:bookmarkEnd w:id="1344"/>
    </w:p>
    <w:p w14:paraId="68F9CA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2.2.6.1.4.8 Entrega anticipada de cesiones. Los propietarios de predios ur</w:t>
      </w:r>
      <w:r w:rsidRPr="009342F9">
        <w:rPr>
          <w:rFonts w:ascii="Arial" w:eastAsia="Times New Roman" w:hAnsi="Arial" w:cs="Arial"/>
          <w:color w:val="000000"/>
          <w:lang w:eastAsia="es-CO"/>
        </w:rPr>
        <w:softHyphen/>
        <w:t>banizables no urbanizados que se encuentren dentro del perímetro urbano y no hayan sido objeto de incorporación en los términos del artículo 47 de la Ley 1537 de 2012 modificado por el artículo 91 de la Ley 1753 de 2015, podrán proponer a los municipios o distritos, o estos a aquellos, la cesión de porción o porciones de dichos predios que, sin sustituir totalmente el reparto de cargas y beneficios que se deba efectuar al momento de solicitar la licencia urbanística, se recibirán a título de zonas de cesión anticipada de desarrollos urbanísticos futuros, siempre y cuando, resulten convenientes para proyectos de utilidad pública o interés social que estén previstos en el Plan de Ordenamiento Territorial o en los instrumentos que lo desarrollen y/o complementen. </w:t>
      </w:r>
    </w:p>
    <w:p w14:paraId="51D68D82" w14:textId="5F57F878"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municipal o distrital responsable de la administración y mantenimiento del espacio público, efectuará el recibo físico de la zona de cesión anticipada indicando su des</w:t>
      </w:r>
      <w:r w:rsidRPr="009342F9">
        <w:rPr>
          <w:rFonts w:ascii="Arial" w:eastAsia="Times New Roman" w:hAnsi="Arial" w:cs="Arial"/>
          <w:color w:val="000000"/>
          <w:lang w:eastAsia="es-CO"/>
        </w:rPr>
        <w:softHyphen/>
        <w:t>tino, para lo cual suscribirá con el propietario la respectiva acta de entrega a la cual deberá anexarse documento que permita la plena identificación física del predio, de acuerdo con los lineamientos que defina el Ministerio de Vivienda, Ciudad y Territorio. </w:t>
      </w:r>
    </w:p>
    <w:p w14:paraId="4CE3F18E" w14:textId="77777777" w:rsidR="00ED3B66" w:rsidRPr="009342F9" w:rsidRDefault="00ED3B66" w:rsidP="00FC79C1">
      <w:pPr>
        <w:spacing w:after="0" w:line="240" w:lineRule="auto"/>
        <w:jc w:val="both"/>
        <w:rPr>
          <w:rFonts w:ascii="Arial" w:eastAsia="Times New Roman" w:hAnsi="Arial" w:cs="Arial"/>
          <w:color w:val="000000"/>
          <w:lang w:eastAsia="es-CO"/>
        </w:rPr>
      </w:pPr>
    </w:p>
    <w:p w14:paraId="2EFFA7FE" w14:textId="0401D1ED"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transferencia del área de cesión anticipada para equipamientos públicos, se procederá a otorgar y registrar la escritura de división material dando aplicación al numeral 2 del artículo 2.2.2.1.4.1.4 del presente decreto. </w:t>
      </w:r>
    </w:p>
    <w:p w14:paraId="54DF14B0" w14:textId="77777777" w:rsidR="00ED3B66" w:rsidRPr="009342F9" w:rsidRDefault="00ED3B66" w:rsidP="00FC79C1">
      <w:pPr>
        <w:spacing w:after="0" w:line="240" w:lineRule="auto"/>
        <w:jc w:val="both"/>
        <w:rPr>
          <w:rFonts w:ascii="Arial" w:eastAsia="Times New Roman" w:hAnsi="Arial" w:cs="Arial"/>
          <w:color w:val="000000"/>
          <w:lang w:eastAsia="es-CO"/>
        </w:rPr>
      </w:pPr>
    </w:p>
    <w:p w14:paraId="20DC87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solicitar la respectiva licencia de construcción en la modalidad de obra nueva para el desarrollo de equipamientos en suelos objeto de entrega de cesiones anticipadas, se de</w:t>
      </w:r>
      <w:r w:rsidRPr="009342F9">
        <w:rPr>
          <w:rFonts w:ascii="Arial" w:eastAsia="Times New Roman" w:hAnsi="Arial" w:cs="Arial"/>
          <w:color w:val="000000"/>
          <w:lang w:eastAsia="es-CO"/>
        </w:rPr>
        <w:softHyphen/>
        <w:t>berá adjuntar la disponibilidad inmediata de servicios públicos domiciliarios de acueducto, alcantarillado y energía eléctrica, expedidos por los respectivos prestadores de servicios. En el proyecto se deberá garantizar el acceso directo desde una vía pública vehicular y acce</w:t>
      </w:r>
      <w:r w:rsidRPr="009342F9">
        <w:rPr>
          <w:rFonts w:ascii="Arial" w:eastAsia="Times New Roman" w:hAnsi="Arial" w:cs="Arial"/>
          <w:color w:val="000000"/>
          <w:lang w:eastAsia="es-CO"/>
        </w:rPr>
        <w:softHyphen/>
        <w:t>sibilidad al transporte público en las condiciones de la norma urbanística correspondiente. </w:t>
      </w:r>
    </w:p>
    <w:p w14:paraId="1B166D5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46" w:name="ver_30074079"/>
      <w:bookmarkEnd w:id="1345"/>
      <w:bookmarkEnd w:id="1346"/>
    </w:p>
    <w:p w14:paraId="466DCB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2.2.6.1.4.9 Identificación de las obras. El titular de la licencia de parcelación, urbanización o construcción está obligado a instalar un aviso durante el término de ejecución de las obras, cuya dimensión mínima será de un metro (1.00 m) por setenta (70) centímetros, localizada en lugar visible desde la vía pública más importante sobre la cual tenga frente o límite el desarrollo o construcción que haya sido objeto de la licencia. En caso de obras que se desarrollen en edificios o conjunto sometidos al régimen de propiedad horizontal se instalará un aviso en la cartelera principal del edificio o conjunto, o en un lugar de amplia circulación que determine la administración. En caso de obras menores se instalará un aviso de treinta (30) centímetros por cincuenta (50) centímetros. </w:t>
      </w:r>
    </w:p>
    <w:p w14:paraId="7D190B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CE27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valla o aviso deberá indicar al menos: </w:t>
      </w:r>
    </w:p>
    <w:p w14:paraId="33CCFE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CF6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clase y número de identificación de la licencia, y la autoridad que la expidió. </w:t>
      </w:r>
    </w:p>
    <w:p w14:paraId="3B6C91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0BB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nombre o razón social del titular de la licencia. </w:t>
      </w:r>
    </w:p>
    <w:p w14:paraId="0EAD7E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EBA5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dirección del inmueble. </w:t>
      </w:r>
    </w:p>
    <w:p w14:paraId="5B3E3F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29F5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Vigencia de la licencia. </w:t>
      </w:r>
    </w:p>
    <w:p w14:paraId="2AAABE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5279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Descripción del tipo de obra que se adelanta, haciendo referencia especialmente al uso o usos autorizados, metros de construcción, altura total de las edificaciones, número de estacionamientos y número de unidades habitacionales, comerciales o de otros usos. </w:t>
      </w:r>
    </w:p>
    <w:p w14:paraId="3E09C1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4240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valla o aviso se instalará antes de la iniciación de cualquier tipo de obra, emplazamiento de campamentos o maquinaria, entre otros, y deberá permanecer instalado durante todo el tiempo de la ejecución de la obra. </w:t>
      </w:r>
    </w:p>
    <w:p w14:paraId="63CBDF1C" w14:textId="7A84E9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47" w:name="ver_30074081"/>
      <w:bookmarkEnd w:id="1347"/>
    </w:p>
    <w:p w14:paraId="1F3B1CCD"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2.2.6.1.4.10 Aplicación de las normas de accesibilidad al espacio público, a los edificios de uso público y a la vivienda. Los proyectos de urbanización, construcción e intervención y ocupación del espacio </w:t>
      </w:r>
      <w:proofErr w:type="gramStart"/>
      <w:r w:rsidRPr="009342F9">
        <w:rPr>
          <w:rFonts w:ascii="Arial" w:eastAsia="Times New Roman" w:hAnsi="Arial" w:cs="Arial"/>
          <w:color w:val="000000"/>
          <w:lang w:eastAsia="es-CO"/>
        </w:rPr>
        <w:t>público,</w:t>
      </w:r>
      <w:proofErr w:type="gramEnd"/>
      <w:r w:rsidRPr="009342F9">
        <w:rPr>
          <w:rFonts w:ascii="Arial" w:eastAsia="Times New Roman" w:hAnsi="Arial" w:cs="Arial"/>
          <w:color w:val="000000"/>
          <w:lang w:eastAsia="es-CO"/>
        </w:rPr>
        <w:t xml:space="preserve"> deben contemplar en su diseño las normas vigentes que garanticen la accesibilidad y desplazamiento de las personas con movilidad reducida, sea esta temporal o permanente, de conformidad con las normas establecidas en la Ley 361 de 1997 o la norma que la adicione, modifique o sustituya y su reglamento. </w:t>
      </w:r>
    </w:p>
    <w:p w14:paraId="1B3BA1AB" w14:textId="77777777" w:rsidR="004A4ED6" w:rsidRPr="009342F9" w:rsidRDefault="004A4ED6" w:rsidP="00FC79C1">
      <w:pPr>
        <w:spacing w:after="0" w:line="240" w:lineRule="auto"/>
        <w:jc w:val="both"/>
        <w:rPr>
          <w:rFonts w:ascii="Arial" w:eastAsia="Times New Roman" w:hAnsi="Arial" w:cs="Arial"/>
          <w:color w:val="000000"/>
          <w:lang w:eastAsia="es-CO"/>
        </w:rPr>
      </w:pPr>
    </w:p>
    <w:p w14:paraId="5010910B" w14:textId="59B5E93F" w:rsidR="00FC79C1" w:rsidRPr="009342F9" w:rsidRDefault="00FC79C1" w:rsidP="00FC79C1">
      <w:pPr>
        <w:spacing w:after="0" w:line="240" w:lineRule="auto"/>
        <w:jc w:val="both"/>
        <w:rPr>
          <w:rFonts w:ascii="Arial" w:eastAsia="Times New Roman" w:hAnsi="Arial" w:cs="Arial"/>
          <w:color w:val="000000"/>
          <w:lang w:eastAsia="es-CO"/>
        </w:rPr>
      </w:pPr>
      <w:bookmarkStart w:id="1348" w:name="ver_30125198"/>
      <w:bookmarkStart w:id="1349" w:name="ver_30125197"/>
      <w:bookmarkEnd w:id="1348"/>
      <w:r w:rsidRPr="009342F9">
        <w:rPr>
          <w:rFonts w:ascii="Arial" w:eastAsia="Times New Roman" w:hAnsi="Arial" w:cs="Arial"/>
          <w:color w:val="000000"/>
          <w:lang w:eastAsia="es-CO"/>
        </w:rPr>
        <w:t>Artículo 2.2.6.1.4.11.</w:t>
      </w:r>
      <w:r w:rsidR="004A4ED6">
        <w:rPr>
          <w:rFonts w:ascii="Arial" w:eastAsia="Times New Roman" w:hAnsi="Arial" w:cs="Arial"/>
          <w:color w:val="000000"/>
          <w:lang w:eastAsia="es-CO"/>
        </w:rPr>
        <w:t xml:space="preserve"> </w:t>
      </w:r>
      <w:r w:rsidRPr="009342F9">
        <w:rPr>
          <w:rFonts w:ascii="Arial" w:eastAsia="Times New Roman" w:hAnsi="Arial" w:cs="Arial"/>
          <w:color w:val="000000"/>
          <w:lang w:eastAsia="es-CO"/>
        </w:rPr>
        <w:t>Competencia del control urbano. Corresponde a los alcaldes municipales o distritales por conducto de los inspectores de policía rurales, urbanos y corregidores, de conformidad con lo dispuesto en la Ley 1801 de 2016 (Código de Policía) o la norma que la modifique, adicione o sustituya, ejercer la vigilancia y control durante la ejecución de las obras, con el fin de aplicar las medidas correctivas para asegurar el cumplimiento de las licencias urbanísticas y de las normas contenidas en el Plan de Ordenamiento Territorial, sin perjuicio de las facultades atribuidas a los funcionarios del Ministerio Público y de las veedurías en defensa tanto del orden jurídico, del ambiente y del patrimonio y espacios públicos, como de los intereses colectivos y de la sociedad en general.  </w:t>
      </w:r>
    </w:p>
    <w:p w14:paraId="3F32939A" w14:textId="151451B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0" w:name="ver_30074084"/>
      <w:bookmarkEnd w:id="1349"/>
      <w:bookmarkEnd w:id="1350"/>
    </w:p>
    <w:p w14:paraId="12555F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2.2.6.1.4.12 Régimen de transición para la expedición de licencias, reconocimiento de edificaciones y otras actuaciones. Las solicitudes de licencias, reconocimiento de edificaciones, otras actuaciones asociadas a la Licencia y prórrogas que hubieren sido radicadas en legal y debida forma antes del 3 de mayo de 2010, continuarán rigiéndose por las disposiciones vigentes al momento de su radicación. </w:t>
      </w:r>
    </w:p>
    <w:p w14:paraId="0160B887" w14:textId="37D0F2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1" w:name="ver_30074086"/>
      <w:bookmarkEnd w:id="1351"/>
    </w:p>
    <w:p w14:paraId="7693B3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2.2.6.1.4.13 Trámite de licencias por parte de las oficinas municipales encargadas de expedir licencias. Las entidades municipales o distritales encargadas de estudiar, tramitar y expedir licencias, deberán sujetarse en un todo a la reglamentación que establece la Ley 388 de 1997, el presente decreto y las normas que lo adicionen, sustituyan o modifiquen. </w:t>
      </w:r>
    </w:p>
    <w:p w14:paraId="478234DD" w14:textId="4D54728F" w:rsidR="00FC79C1" w:rsidRPr="009342F9" w:rsidRDefault="00FC79C1" w:rsidP="00ED3B66">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32E065" w14:textId="4445D3F3" w:rsidR="00FC79C1" w:rsidRPr="00ED3B66" w:rsidRDefault="00FC79C1" w:rsidP="00ED3B66">
      <w:pPr>
        <w:spacing w:after="0" w:line="240" w:lineRule="auto"/>
        <w:jc w:val="center"/>
        <w:rPr>
          <w:rFonts w:ascii="Arial" w:eastAsia="Times New Roman" w:hAnsi="Arial" w:cs="Arial"/>
          <w:b/>
          <w:bCs/>
          <w:color w:val="000000"/>
          <w:lang w:eastAsia="es-CO"/>
        </w:rPr>
      </w:pPr>
      <w:bookmarkStart w:id="1352" w:name="ver_30074087"/>
      <w:bookmarkEnd w:id="1352"/>
      <w:r w:rsidRPr="00ED3B66">
        <w:rPr>
          <w:rFonts w:ascii="Arial" w:eastAsia="Times New Roman" w:hAnsi="Arial" w:cs="Arial"/>
          <w:b/>
          <w:bCs/>
          <w:color w:val="000000"/>
          <w:lang w:eastAsia="es-CO"/>
        </w:rPr>
        <w:t>CAPÍTULO 2</w:t>
      </w:r>
    </w:p>
    <w:p w14:paraId="5FD761EC" w14:textId="77777777" w:rsidR="00FC79C1" w:rsidRPr="00ED3B66" w:rsidRDefault="00FC79C1" w:rsidP="00ED3B66">
      <w:pPr>
        <w:spacing w:after="0" w:line="240" w:lineRule="auto"/>
        <w:jc w:val="center"/>
        <w:rPr>
          <w:rFonts w:ascii="Arial" w:eastAsia="Times New Roman" w:hAnsi="Arial" w:cs="Arial"/>
          <w:b/>
          <w:bCs/>
          <w:color w:val="000000"/>
          <w:lang w:eastAsia="es-CO"/>
        </w:rPr>
      </w:pPr>
      <w:r w:rsidRPr="00ED3B66">
        <w:rPr>
          <w:rFonts w:ascii="Arial" w:eastAsia="Times New Roman" w:hAnsi="Arial" w:cs="Arial"/>
          <w:b/>
          <w:bCs/>
          <w:color w:val="000000"/>
          <w:lang w:eastAsia="es-CO"/>
        </w:rPr>
        <w:t>LICENCIAS URBANÍSTICAS EN SUELO RURAL</w:t>
      </w:r>
    </w:p>
    <w:p w14:paraId="64D495C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53" w:name="ver_30074089"/>
      <w:bookmarkEnd w:id="1353"/>
    </w:p>
    <w:p w14:paraId="4A8263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2.2.6.2.1 Edificación en suelo rural. La expedición de licencias urbanísticas en suelo rural, además de lo dispuesto en el Título anterior, y en la legislación específica aplicable, se sujetará a las siguientes condiciones: </w:t>
      </w:r>
    </w:p>
    <w:p w14:paraId="073AD8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9E24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Deberá darse estricto cumplimiento a las incompatibilidades sobre usos del suelo señaladas en el Plan de Ordenamiento Territorial o los instrumentos que lo desarrollen o complementen. </w:t>
      </w:r>
    </w:p>
    <w:p w14:paraId="08E350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879C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Solamente se podrá autorizar la construcción de edificaciones dedicadas a la explotación económica del predio que guarden relación con la naturaleza y destino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en razón de sus usos agrícolas, ganaderos, forestales, de explotación de recursos naturales y/o actividades análogas. </w:t>
      </w:r>
    </w:p>
    <w:p w14:paraId="54971E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842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construcción de equipamientos en suelo rural podrá autorizarse siempre que se compruebe que no exista la posibilidad de formación de un núcleo de población, de conformidad con la localización prevista para estos usos por el Plan de Ordenamiento Territorial o los instrumentos que lo desarrollen o complementen. </w:t>
      </w:r>
    </w:p>
    <w:p w14:paraId="1D7965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400D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desarrollo de usos industriales, comerciales y de servicios en suelo rural se sujetará a las determinaciones, dimensionamiento y localización de las áreas destinadas a estos usos en el Plan de Ordenamiento Territorial o los instrumentos que lo desarrollen o complementen. </w:t>
      </w:r>
    </w:p>
    <w:p w14:paraId="155E2F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575D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autorización de actuaciones urbanísticas en centros poblados rurales se subordinará a las normas adoptadas en el Plan de Ordenamiento Territorial o los instrumentos que lo desarrollen o complementen, para orientar la ocupación de sus suelos y la adecuada dotación de infraestructura de servicios básicos y de equipamiento social. </w:t>
      </w:r>
    </w:p>
    <w:p w14:paraId="07A91D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CB99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ningún caso, se podrán expedir licencias autorizando el desarrollo de usos, intensidades de uso y densidades propias del suelo urbano en suelo rural. </w:t>
      </w:r>
    </w:p>
    <w:p w14:paraId="56E629CE" w14:textId="33F86DA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4" w:name="ver_30074090"/>
      <w:bookmarkEnd w:id="1354"/>
    </w:p>
    <w:p w14:paraId="56DE9E20" w14:textId="478EFE8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2.2.6.2.2 Prohibición de parcelaciones en suelo rural. A partir del 17 de enero de 2006, no se podrán expedir licencias de parcelación o construcción autorizando parcelaciones en suelo rural para vivienda campestre, mientras no se incorpore en el Plan de Ordenamiento Territorial la identificación y delimitación precisa de las áreas destinadas a este uso, con la definición de las normas urbanísticas de parcelación, las cuales deberán tener en cuenta la legislación agraria y ambiental. Esta prohibición cobija a las solicitudes de licencias de parcelación o construcción de parcelaciones en suelo rural para vivienda campestre, que actualmente se encuentran en trámite. </w:t>
      </w:r>
    </w:p>
    <w:p w14:paraId="53C6FA86"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356506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para la definición de las normas urbanísticas de parcelación los municipios deberán ajustarse a las normas generales y las densidades máximas definidas por la Corporación Autónoma Regional correspondiente, las cuales deberán ser inferiores a aquellas establecidas para el suelo suburbano. </w:t>
      </w:r>
    </w:p>
    <w:p w14:paraId="7FC08E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1659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municipios y distritos señalarán los terrenos que deban ser mantenidos y preservados por su importancia para la explotación agrícola, ganadera, </w:t>
      </w:r>
      <w:proofErr w:type="spellStart"/>
      <w:r w:rsidRPr="009342F9">
        <w:rPr>
          <w:rFonts w:ascii="Arial" w:eastAsia="Times New Roman" w:hAnsi="Arial" w:cs="Arial"/>
          <w:color w:val="000000"/>
          <w:lang w:eastAsia="es-CO"/>
        </w:rPr>
        <w:t>paisajísmo</w:t>
      </w:r>
      <w:proofErr w:type="spellEnd"/>
      <w:r w:rsidRPr="009342F9">
        <w:rPr>
          <w:rFonts w:ascii="Arial" w:eastAsia="Times New Roman" w:hAnsi="Arial" w:cs="Arial"/>
          <w:color w:val="000000"/>
          <w:lang w:eastAsia="es-CO"/>
        </w:rPr>
        <w:t xml:space="preserve"> o de recursos naturales, según la clasificación del suelo adoptada en el Plan de Ordenamiento Territorial. En estos terrenos no podrán autorizarse actuaciones urbanísticas de subdivisión, parcelación o edificación de inmuebles que impliquen la alteración o transformación de su uso actual. </w:t>
      </w:r>
    </w:p>
    <w:p w14:paraId="0D9752DA" w14:textId="00C814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5" w:name="ver_30074092"/>
      <w:bookmarkEnd w:id="1355"/>
    </w:p>
    <w:p w14:paraId="01522D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2.2.6.2.3 Actuaciones urbanísticas en suelo suburbano. El suelo suburbano puede ser objeto de desarrollo con restricciones de uso, de intensidad y de densidad, garantizando el autoabastecimiento en servicios públicos domiciliarios, de conformidad con lo establecido en la Ley 99 de 1993 y en la Ley 142 de 1994 o las normas que las adicionen, modifiquen o sustituyan. </w:t>
      </w:r>
    </w:p>
    <w:p w14:paraId="48A9F7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925A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municipios y distritos deben establecer las regulaciones complementarias tendientes a impedir el desarrollo de actividades y usos urbanos en estas áreas. </w:t>
      </w:r>
    </w:p>
    <w:p w14:paraId="073E3282" w14:textId="2590783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6" w:name="ver_30074094"/>
      <w:bookmarkEnd w:id="1356"/>
    </w:p>
    <w:p w14:paraId="78245A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2.2.6.2.4. Cesiones obligatorias. De conformidad con lo previsto en el artículo 37 de la Ley 388 de 1997, las reglamentaciones municipales y distritales deberán determinar las cesiones obligatorias que los propietarios de inmuebles deben hacer con destino a vías locales, equipamientos colectivos y espacio público para las actuaciones urbanísticas de parcelación y edificación en suelo rural. </w:t>
      </w:r>
    </w:p>
    <w:p w14:paraId="259F80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1A88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propietarios quedan obligados a realizar las cesiones obligatorias de terrenos que establezca el plan de ordenamiento territorial o los instrumentos que los desarrollen y complementen. En los planos que acompañan la licencia se hará la identificación precisa de las áreas objeto de cesión obligatoria. </w:t>
      </w:r>
    </w:p>
    <w:p w14:paraId="5BE93A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804A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cesiones obligatorias incluirán entre otros componentes las franjas de aislamiento y las calzadas de desaceleración de que trata el artículo 2.2.2.2.2.3 del presente decreto. </w:t>
      </w:r>
    </w:p>
    <w:p w14:paraId="5DB4B7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F848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las áreas de cesión obligatoria en suelo rural suburbano con destino a vías y espacio público podrán ser compensadas en dinero, ni podrán canjearse por otros inmuebles. </w:t>
      </w:r>
    </w:p>
    <w:p w14:paraId="67FDC9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1C44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el otorgamiento de licencias urbanísticas que autoricen el desarrollo de parques, conjuntos o agrupaciones industriales en suelo rural suburbano con índices de ocupación superiores al 30%, las reglamentaciones municipales y distritales deberán definir la cantidad de suelo que debe obtenerse por concepto de cesiones urbanísticas obligatorias adicionales a las previstas en el presente artículo, que compensen el impacto urbanístico y ambiental producido por la mayor ocupación autorizada. </w:t>
      </w:r>
    </w:p>
    <w:p w14:paraId="6D856A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644B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cesiones adicionales deberán localizarse en las zonas que se hayan delimitado en el plan de ordenamiento territorial para consolidar el sistema de espacio público en aquellas áreas de que trata el numeral 1 del artículo 2.2.2.2.1.3 del presente decreto. </w:t>
      </w:r>
    </w:p>
    <w:p w14:paraId="4CA152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F9E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la cesión adicional podrá ser inferior a la cantidad de metros cuadrados de suelo de mayor ocupación con áreas construidas que se autoricen por encima del 30%. </w:t>
      </w:r>
    </w:p>
    <w:p w14:paraId="067287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B70B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efectos de lo dispuesto en el inciso 2° del Parágrafo anterior, los municipios y distritos adoptarán, previa concertación con la respectiva Corporación Autónoma Regional, la delimitación específica de las áreas en donde se permitirá la localización de las cesiones adicionales, en todo de conformidad con la localización y dimensionamiento que haya definido el plan de ordenamiento de las áreas de conservación y protección ambiental a que se refiere el presente decreto. </w:t>
      </w:r>
    </w:p>
    <w:p w14:paraId="734119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8686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delimitación de estas áreas también incorporará los criterios de priorización que resulten necesarios para programar la transferencia de la propiedad de las áreas de cesión adicional al municipio o distrito. </w:t>
      </w:r>
    </w:p>
    <w:p w14:paraId="7AE42C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81B3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Para el otorgamiento de la respectiva licencia se requiere acreditar la transferencia de la propiedad de las áreas de cesión adicional al municipio o distrito, las cuales deberán estar demarcadas por localización, alinderamiento y amojonamiento y libres de cualquier limitación al derecho de dominio, tales como condiciones resolutorias, daciones en pago, embargos, hipotecas, anticresis, arrendamiento por escritura pública, servidumbres y libres de construcciones, invasiones u ocupaciones temporales o permanentes. Igualmente, se encontrarán a paz y salvo por concepto de pago de tributos municipales. </w:t>
      </w:r>
    </w:p>
    <w:p w14:paraId="7C4E3029" w14:textId="3CF40E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7" w:name="ver_30074095"/>
      <w:bookmarkEnd w:id="1357"/>
    </w:p>
    <w:p w14:paraId="5E9A8E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2.2.6.2.5 Cálculo del Índice de ocupación. Para la aplicación de las disposiciones contenidas en el presente Título, dentro del índice de ocupación únicamente se computarán las áreas de suelo que pueden ser ocupadas por edificación en primer piso bajo cubierta. </w:t>
      </w:r>
    </w:p>
    <w:p w14:paraId="6A56F4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E89A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índice de ocupación se calculará sobre el área resultante de descontar del área bruta del predio, las áreas para la localización de la infraestructura para el sistema vial principal y de transporte, las redes primarias de servicios públicos, las áreas de conservación y protección de los recursos naturales y paisajísticos y demás afectaciones del predio. </w:t>
      </w:r>
    </w:p>
    <w:p w14:paraId="75EA3420" w14:textId="10BE322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8" w:name="ver_30074098"/>
      <w:bookmarkEnd w:id="1358"/>
    </w:p>
    <w:p w14:paraId="34DE99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2.2.6.2.6 Condiciones generales para el otorgamiento de licencias para los distintos usos en suelo rural y rural suburbano. Sin perjuicio de lo dispuesto en el presente Título, la expedición de licencias de parcelación y construcción en suelo rural y rural suburbano deberá sujetarse al cumplimiento de lo dispuesto en este artículo: </w:t>
      </w:r>
    </w:p>
    <w:p w14:paraId="5AA530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50C9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Movimiento de tierras. El movimiento de tierras para parcelar o edificar sólo podrá autorizarse en la respectiva licencia de parcelación o construcción. </w:t>
      </w:r>
    </w:p>
    <w:p w14:paraId="4C4D5D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013D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Ambiente. Se deberán conservar y mantener las masas arbóreas y forestales en suelos con pendientes superiores a cuarenta y cinco grados (45°), en las condiciones que determine la autoridad ambiental competente, sin perjuicio del cumplimiento de las demás normas ambientales. </w:t>
      </w:r>
    </w:p>
    <w:p w14:paraId="7DB33B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0305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Condiciones para la prestación de servicios públicos domiciliarios. Cuando existan redes de servicios públicos domiciliarios disponibles de acueducto y saneamiento básico será obligatorio vincularse como usuario y cumplir con los deberes respectivos. En su defecto, quienes puedan ser titulares de las licencias deberán acreditar los permisos y autorizaciones para el uso y aprovechamiento de los recursos naturales renovables en caso de autoabastecimiento y el pronunciamiento de la Superintendencia de Servicios Públicos de conformidad con lo dispuesto en la Ley 142 de 1994. </w:t>
      </w:r>
    </w:p>
    <w:p w14:paraId="6EE95A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37FB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la prestación de dichos servicios deberá resolverse de forma integral para la totalidad de los predios que integren la unidad mínima de actuación. </w:t>
      </w:r>
    </w:p>
    <w:p w14:paraId="43C1DF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97AC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Accesos viales. Deberá garantizarse la adecuada conexión con el sistema nacional, departamental o local de carreteras. Las obras de construcción, adecuación y/o ampliación de accesos viales a las parcelaciones correrán por cuenta de los propietarios de los predios objeto de la solicitud, aun cuando deban pasar por fuera de los límites del predio o predios objeto de la solicitud, para lo cual deberán utilizar preferentemente las vías o caminos rurales existentes de dominio público. </w:t>
      </w:r>
    </w:p>
    <w:p w14:paraId="78B13C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6629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Cerramientos. El cerramiento de los predios se realizará con elementos transparentes, los cuales se podrán combinar con elementos vegetales de acuerdo con lo que para el efecto se especifique en las normas urbanísticas. En todo caso, se prohibirán los cerramientos con tapias o muros que obstaculicen o impidan el disfrute visual del paisaje rural. </w:t>
      </w:r>
    </w:p>
    <w:p w14:paraId="6448AE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4BE3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Retrocesos. En los corredores viales suburbanos, se exigirá un retroceso al interior del predio como mínimo de diez (10) metros respecto de la calzada de desaceleración, de los cuales por lo menos cinco (5) metros deben tratarse como zona verde privada. El área restante se puede destinar para estacionamientos. El cerramiento de los predios se permitirá a partir de la zona verde de retroceso de que trata este numeral. </w:t>
      </w:r>
    </w:p>
    <w:p w14:paraId="6B98AF2F" w14:textId="7D2F6F5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59" w:name="ver_30074105"/>
      <w:bookmarkEnd w:id="1359"/>
    </w:p>
    <w:p w14:paraId="5B8598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2.2.6.2.7 Régimen de transición para la expedición de licencias. Mientras los municipios y distritos revisan y/o modifican sus planes de ordenamiento territorial y/o adoptan las unidades de planificación rural de acuerdo con las disposiciones contenidas en el presente decreto, en el trámite de estudio y expedición de licencias deberá verificarse que los proyectos de parcelación y edificación en suelo rural y rural suburbano se ajusten a lo dispuesto en el presente decreto en lo relativo a: </w:t>
      </w:r>
    </w:p>
    <w:p w14:paraId="2F2746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BCE8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extensión de la unidad mínima de actuación prevista en el presente decreto. </w:t>
      </w:r>
    </w:p>
    <w:p w14:paraId="3A37CA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5344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demarcación de la franja de aislamiento y la calzada de desaceleración de que trata este Decreto. </w:t>
      </w:r>
    </w:p>
    <w:p w14:paraId="5A65EF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A1E0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Las normas aplicables para el desarrollo de usos industriales, comerciales y de servicios de que trata este decreto, y </w:t>
      </w:r>
    </w:p>
    <w:p w14:paraId="44290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2FB5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Las demás disposiciones previstas en el presente decreto, y en las demás normas que los modifiquen, complementen o sustituyan. </w:t>
      </w:r>
    </w:p>
    <w:p w14:paraId="656079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30BF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solicitudes de licencia de parcelación y/o construcción radicadas en legal y debida forma antes de la promulgación del presente decreto se resolverán con base en las normas vigentes al momento de la radicación de la solicitud. </w:t>
      </w:r>
    </w:p>
    <w:p w14:paraId="06304B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BFD7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titulares de licencias de parcelación en suelo rural y rural suburbano otorgadas antes de la entrada en vigencia del presente decreto o en virtud de lo dispuesto en el parágrafo anterior, podrán solicitar que se les expida la correspondiente licencia de construcción con fundamento en las normas urbanísticas y reglamentaciones que sirvieron de base para la expedición de la licencia de parcelación, siempre y cuando se presente alguna de las condiciones de que trata el parágrafo 4 del artículo 2.2.6.1.1.7 del presente decreto. </w:t>
      </w:r>
    </w:p>
    <w:p w14:paraId="564BDCEA" w14:textId="1ABAF99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0" w:name="ver_30074107"/>
      <w:bookmarkEnd w:id="1360"/>
    </w:p>
    <w:p w14:paraId="3766E2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2.2.6.2.8 Licencias de ampliación de edificaciones existentes. Sin perjuicio de lo dispuesto en la Ley 1228 de 2008, y tratándose de predios ubicados sobre corredores viales suburbanos, el otorgamiento de licencias de ampliación de edificaciones existentes deberá respetar la franja de aislamiento y la calzada de desaceleración de que trata el presente decreto. </w:t>
      </w:r>
    </w:p>
    <w:p w14:paraId="729AF440" w14:textId="2E2FDB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1" w:name="ver_30074110"/>
      <w:bookmarkEnd w:id="1361"/>
    </w:p>
    <w:p w14:paraId="3D9941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2.2.6.2.9 Obligación de suministrar la información de licencias. Con el fin de facilitar las funciones de evaluación, prevención y control de los factores de deterioro ambiental, los curadores urbanos o las entidades municipales encargadas de la expedición de licencias remitirán a la Corporación Autónoma Regional o autoridad ambiental correspondiente, dentro de los primeros dos (2) días hábiles de cada mes, la información de la totalidad de las licencias de parcelación y construcción en suelo rural y rural suburbano que hayan otorgado durante el mes inmediatamente anterior. </w:t>
      </w:r>
    </w:p>
    <w:p w14:paraId="5BFDE3F1" w14:textId="77777777" w:rsidR="00ED3B66" w:rsidRDefault="00FC79C1" w:rsidP="00ED3B66">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2" w:name="ver_30074112"/>
      <w:bookmarkEnd w:id="1362"/>
    </w:p>
    <w:p w14:paraId="1F84D97B" w14:textId="45E0F754" w:rsidR="00FC79C1" w:rsidRPr="009342F9" w:rsidRDefault="00FC79C1" w:rsidP="00ED3B66">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4697F86F"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LICENCIAS URBANÍSTICAS CON POSTERIORIDAD A LA DECLARATORIA DE SITUACIÓN DE DESASTRE O CALAMIDAD PÚBLICA</w:t>
      </w:r>
    </w:p>
    <w:p w14:paraId="4F228F5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63" w:name="ver_30074114"/>
      <w:bookmarkEnd w:id="1363"/>
    </w:p>
    <w:p w14:paraId="7BE2E9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2.2.6.3.1 Objeto. Este capítulo constituye un régimen especial que se aplica para la expedición de licencias de urbanismo y construcción por parte de los curadores urbanos o las autoridades municipales o distritales competentes; únicamente para aquellos proyectos inmobiliarios que se pretendan desarrollar con posterioridad a la declaración de situación de desastre o calamidad pública y mientras tal declaratoria subsista. Por tanto, sustituye lo referente a los requisitos y procedimientos generales de las normas existentes para las licencias de construcción y urbanismo. </w:t>
      </w:r>
    </w:p>
    <w:p w14:paraId="4B196A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24E3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establecido en el presente artículo, en lo no contemplado por este capítulo y que sea compatible, se aplicará lo dispuesto en el Capítulo 1 del Título 6 de la Parte 2 del Libro 2 del presente decreto y las normas que lo adicionasen, modifiquen o sustituyan. </w:t>
      </w:r>
    </w:p>
    <w:p w14:paraId="2E83E6AB" w14:textId="2DB0F73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4" w:name="ver_30074117"/>
      <w:bookmarkEnd w:id="1364"/>
    </w:p>
    <w:p w14:paraId="1534E7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2.2.6.3.2 Declaratoria de situación de desastre o calamidad pública previa. Siempre que medie la declaratoria de situación de desastre o calamidad pública, podrán otorgarse licencias de construcción para la adecuación, reparación y/o reconstrucción de edificaciones a su estado original, en todo, de conformidad con lo previsto en el presente Capítulo. </w:t>
      </w:r>
    </w:p>
    <w:p w14:paraId="219F5A98" w14:textId="29C470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5" w:name="ver_30074120"/>
      <w:bookmarkEnd w:id="1365"/>
    </w:p>
    <w:p w14:paraId="79634C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2.2.6.3.3 Excepciones. No procederá el otorgamiento de licencias de construcción para la adecuación, reparación y/o reconstrucción de edificaciones a su estado original, cuando estas o parte de ellas encuentren localizadas en: </w:t>
      </w:r>
    </w:p>
    <w:p w14:paraId="718A82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C5EB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Áreas o zonas de protección ambiental y en suelo clasificado como de protección por el plan de ordenamiento territorial o en los instrumentos que lo desarrollen y complementen. </w:t>
      </w:r>
    </w:p>
    <w:p w14:paraId="68ECE2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B40A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Zonas declaradas como de alto riesgo no mitigable identificadas en el plan de ordenamiento territorial y en los instrumentos que lo desarrollen y complementen. </w:t>
      </w:r>
    </w:p>
    <w:p w14:paraId="3005D9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7418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Inmuebles afectados en los términos del artículo 37 de la Ley 9 de 1989 o la norma que lo adicione, modifique o sustituya. </w:t>
      </w:r>
    </w:p>
    <w:p w14:paraId="1F83EC0B" w14:textId="6AAD33C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6" w:name="ver_30074124"/>
      <w:bookmarkEnd w:id="1366"/>
    </w:p>
    <w:p w14:paraId="23032D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2.2.6.3.4 Indemnización de las obras. En todos los casos en que no se haya registrado la afectación en los términos artículo 37 de la Ley 9a de 1989 o la norma que lo adicione, modifique o sustituya, procederá la indemnización de las obras de adecuación, reparación o reconstrucción que se hayan autorizado por medio de la respectiva licencia de construcción, dando cumplimiento al artículo precedente. </w:t>
      </w:r>
    </w:p>
    <w:p w14:paraId="6589CF71" w14:textId="5F093B3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7" w:name="ver_30074125"/>
      <w:bookmarkEnd w:id="1367"/>
    </w:p>
    <w:p w14:paraId="72E80C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2.2.6.3.5 Evaluación de edificaciones. Con posterioridad a la declaratoria de situación de desastre o calamidad pública, la autoridad municipal, distrital, departamental o nacional competente, adelantará un inventario y diagnóstico de los inmuebles afectados. Con base en el resultado obtenido, se podrá evaluar con el apoyo de gremios, asociaciones profesionales o comisiones técnicas, el grado de afectación de cada uno de los inmuebles y con la debida sustentación se establecerán: </w:t>
      </w:r>
    </w:p>
    <w:p w14:paraId="4B468E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C2F6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edificaciones que hubieren sufrido daños leves, moderados o severos, y que puedan ser adecuadas a su estado original, conforme a las normas de diseño y construcción sismos resistentes vigentes. </w:t>
      </w:r>
    </w:p>
    <w:p w14:paraId="0E6875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5E53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edificaciones colapsadas o las que hubieren sufrido daños severos que hagan necesaria su demolición, podrán ser construidas nuevamente, así: </w:t>
      </w:r>
    </w:p>
    <w:p w14:paraId="35C58D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E187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Para construir la edificación a su estado original, cuando las normas de diseño y construcción sismo resistentes vigentes lo permitan. </w:t>
      </w:r>
    </w:p>
    <w:p w14:paraId="450E5B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E467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Para construir una edificación diferente a la original con sujeción a las normas urbanísticas, de diseño y construcción sismo resistentes y al plan de ordenamiento territorial vigentes. </w:t>
      </w:r>
    </w:p>
    <w:p w14:paraId="1F6DAF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E198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Edificaciones que se encuentran en zonas de alto riesgo y cuyos habitantes deben ser reubicados en las áreas establecidas para este uso, según el plan de ordenamiento territorial vigente. </w:t>
      </w:r>
    </w:p>
    <w:p w14:paraId="62AA46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5D15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Se entiende por “estado original” de una edificación, la construcción que mantiene las características de diseño arquitectónico, distributivo, funcional y volumétrico igual a los registrados en los planos originales o catastrales, sin embargo, ésta debe cumplir desde el punto de vista estructural con la Ley 400 de 1997, sus decretos reglamentarios y las normas que para el efecto expida el Ministerio de Vivienda, Ciudad y Territorio. </w:t>
      </w:r>
    </w:p>
    <w:p w14:paraId="7D725406" w14:textId="2E42CC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8" w:name="ver_30074127"/>
      <w:bookmarkEnd w:id="1368"/>
    </w:p>
    <w:p w14:paraId="260E53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2.2.6.3.6 Licencias. Las edificaciones clasificadas dentro del inventario a que se refiere el artículo </w:t>
      </w:r>
      <w:proofErr w:type="gramStart"/>
      <w:r w:rsidRPr="009342F9">
        <w:rPr>
          <w:rFonts w:ascii="Arial" w:eastAsia="Times New Roman" w:hAnsi="Arial" w:cs="Arial"/>
          <w:color w:val="000000"/>
          <w:lang w:eastAsia="es-CO"/>
        </w:rPr>
        <w:t>anterior,</w:t>
      </w:r>
      <w:proofErr w:type="gramEnd"/>
      <w:r w:rsidRPr="009342F9">
        <w:rPr>
          <w:rFonts w:ascii="Arial" w:eastAsia="Times New Roman" w:hAnsi="Arial" w:cs="Arial"/>
          <w:color w:val="000000"/>
          <w:lang w:eastAsia="es-CO"/>
        </w:rPr>
        <w:t xml:space="preserve"> podrán ser adecuadas o construidas, previa licencia de construcción o urbanismo en cualquiera de sus modalidades, con sujeción a las normas de diseño y construcción sismo resistentes y al plan de ordenamiento territorial vigente. </w:t>
      </w:r>
    </w:p>
    <w:p w14:paraId="079C8A25" w14:textId="13D0811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69" w:name="ver_30074130"/>
      <w:bookmarkEnd w:id="1369"/>
    </w:p>
    <w:p w14:paraId="1B6C6B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2.2.6.3.7 Requisitos de la licencia. Para adelantar el proceso de adecuación o construcción al estado original de las edificaciones o para la construcción de nuevas edificaciones a que se refiere el presente decreto, sólo deberán presentar al momento de la solicitud de la licencia construcción o urbanismo los siguientes documentos: </w:t>
      </w:r>
    </w:p>
    <w:p w14:paraId="296FB6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B11E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Copia del certificado de libertad y tradición del inmueble o inmuebles objeto de la solicitud, cuya fecha de expedición no sea anterior en más de tres (3) meses a la fecha de la solicitud. </w:t>
      </w:r>
    </w:p>
    <w:p w14:paraId="4EED25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C7F8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Si el solicitante de la licencia fuera una persona jurídica, deberá acreditarse la existencia y representación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mediante el documento legal idóneo. </w:t>
      </w:r>
    </w:p>
    <w:p w14:paraId="648427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FF45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Plano de localización e identificación del predio o predios objeto de la solicitud. </w:t>
      </w:r>
    </w:p>
    <w:p w14:paraId="282077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9192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manifestación escrita de si la destinación del inmueble es para vivienda de interés social, de lo cual se dejará constancia en el acto que resuelva la licencia. </w:t>
      </w:r>
    </w:p>
    <w:p w14:paraId="6BB95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545D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se trate de la solicitud de licencias de construcción para inmuebles sometidos al régimen de propiedad horizontal, el solicitante deberá acompañar además de los documentos señalados en este artículo, copia del acta de la asamblea general de copropietarios, donde conste la autorización para ejecutar las obras solicitadas, expedida conforme a la ley y reglamento de propiedad horizontal. </w:t>
      </w:r>
    </w:p>
    <w:p w14:paraId="0A30AF03" w14:textId="22A55E2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0" w:name="ver_30074132"/>
      <w:bookmarkEnd w:id="1370"/>
    </w:p>
    <w:p w14:paraId="08B6C0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2.2.6.3.8 Documentos para la licencia de construcción. Para las solicitudes de licencia de construcción, además de los documentos señalados en el artículo anterior, deberá acreditarse el cumplimiento de los siguientes requisitos: </w:t>
      </w:r>
    </w:p>
    <w:p w14:paraId="65F3D6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6949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adecuar el inmueble. </w:t>
      </w:r>
    </w:p>
    <w:p w14:paraId="202A65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7456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Sobre los daños estructurales. Debe presentarse una memoria acerca de la estructura de la edificación, la cual debe contener como mínimo: </w:t>
      </w:r>
    </w:p>
    <w:p w14:paraId="2B1AF9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D344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 Una descripción técnica de los daños estructurales causados, para cuyo efecto, pueden emplearse fotografías y otros elementos gráficos. </w:t>
      </w:r>
    </w:p>
    <w:p w14:paraId="7804E9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82E9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 Un concepto técnico que declare la causa del mal comportamiento estructural. </w:t>
      </w:r>
    </w:p>
    <w:p w14:paraId="0C3285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4B09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Sobre los daños en los elementos no estructurales. Debe presentarse una memoria de los elementos no estructurales, previstos en la Ley 400 de 1997 y sus reglamentos, la cual debe contener como mínimo: </w:t>
      </w:r>
    </w:p>
    <w:p w14:paraId="1EBE6E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A45F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1.2.1 Una descripción técnica de los daños que se presentaron en los elementos no estructurales de la edificación, para cuyo efecto, pueden emplearse fotografías y otros elementos gráficos. </w:t>
      </w:r>
    </w:p>
    <w:p w14:paraId="5EFC45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FCFC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1.2.2 Un concepto técnico que declare la causa del mal comportamiento de estos elementos. </w:t>
      </w:r>
    </w:p>
    <w:p w14:paraId="1A7C7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C4F8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Proyecto de adecuación Debe presentarse una propuesta general del enfoque y alcance de la adecuación, la cual debe ajustarse a la reglamentación urbana, de diseño y construcción sismo resistente vigente, y ser consecuente con lo indicado en los numerales anteriores, respecto a la estructura y a los elementos no estructurales, e incluir la respectiva programación de obra. </w:t>
      </w:r>
    </w:p>
    <w:p w14:paraId="037028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CFF7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Constancia de adecuación. Una vez realizada la adecuación, los responsables de los diseños y de las obras, deberán presentar ante la entidad municipal o distrital encargada del control posterior de obra, un informe detallado y gráfico donde consten las obras efectivamente ejecutadas y su concordancia con las normas de diseño y construcción sismo resistentes y urbanas vigentes. </w:t>
      </w:r>
    </w:p>
    <w:p w14:paraId="454740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7198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la construcción de inmuebles nuevos en el mismo predio de los que colapsaron o fueron demolidos. </w:t>
      </w:r>
    </w:p>
    <w:p w14:paraId="75FB1B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5F05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Tres (3) juegos de la memoria de los cálculos estructurales, de los diseños estructurales, de las memorias de otros diseños no estructurales y de los estudios geotécnicos y de suelos que sirvan para determinar la estabilidad de la obra, elaborados de conformidad con las normas de diseño y construcción sismo resistentes vigentes al momento de la solicitud, debidamente firmados o rotulados con un sello seco por los profesionales facultados para ese fin, quienes se harán responsables legalmente de los diseños y de la información contenidos en ellos. </w:t>
      </w:r>
    </w:p>
    <w:p w14:paraId="016A1E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2EA3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Tres (3) copias del proyecto arquitectónico que bien puede corresponder al proyecto arquitectónico en estado original o un nuevo proyecto, ambos debidamente firmados por un arquitecto. </w:t>
      </w:r>
    </w:p>
    <w:p w14:paraId="1B3BC8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93EB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Para las edificaciones nuevas en predios diferentes, cuyo propósito es la reubicación. Para el caso del literal 3 del artículo 2.2.6.3. de este Capítulo, se exigirán los mismos requisitos de las disposiciones generales para licencias de construcción y urbanismo y estarán sujetas a las normas de diseño y construcción sismo resistentes y a los lineamientos del respectivo plan de ordenamiento territorial vigente. </w:t>
      </w:r>
    </w:p>
    <w:p w14:paraId="77A7DE18" w14:textId="10B2957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1" w:name="ver_30074135"/>
      <w:bookmarkEnd w:id="1371"/>
    </w:p>
    <w:p w14:paraId="7E0037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2.2.6.3.9 Solicitud de licencias. La solicitud de licencia de construcción para los casos contemplados en el presente decreto, podrán hacerse de manera individual o colectiva ante el curador urbano o autoridad distrital o municipal competente, a través de organizaciones civiles sin ánimo de lucro o asociaciones profesionales. Estas deben contar con un diseñador estructural y un diseñador de elementos no estructurales cuando el alcance de la reparación cubra estos elementos, y quienes deben cumplir los requisitos de idoneidad y experiencia que exige la Ley 400 de 1997. </w:t>
      </w:r>
    </w:p>
    <w:p w14:paraId="696102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9C86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las situaciones especiales contempladas en el presente Título, las sociedades o asociaciones profesionales o civiles sin ánimo de lucro de reconocida prestancia, o las universidades que tengan programas académicos de pregrado o posgrado en ingeniería civil y arquitectura, podrán recibir por encargo la elaboración de los diseños y proyectos. Para este fin actuarán los profesionales que cumplan los requisitos de idoneidad y experiencia que exige la Ley 400 de 1997. </w:t>
      </w:r>
    </w:p>
    <w:p w14:paraId="34FB103B" w14:textId="40BB21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2" w:name="ver_30074138"/>
      <w:bookmarkEnd w:id="1372"/>
    </w:p>
    <w:p w14:paraId="1EAA78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2.2.6.3.10 Remuneración de los curadores urbanos. Para los procesos de adecuación y construcción de edificaciones al estado original, y la construcción de edificaciones nuevas en programas de reubicación, según lo establece el Título, se dispone que el valor de las expensas causadas ante los curadores </w:t>
      </w:r>
      <w:proofErr w:type="gramStart"/>
      <w:r w:rsidRPr="009342F9">
        <w:rPr>
          <w:rFonts w:ascii="Arial" w:eastAsia="Times New Roman" w:hAnsi="Arial" w:cs="Arial"/>
          <w:color w:val="000000"/>
          <w:lang w:eastAsia="es-CO"/>
        </w:rPr>
        <w:t>urbanos,</w:t>
      </w:r>
      <w:proofErr w:type="gramEnd"/>
      <w:r w:rsidRPr="009342F9">
        <w:rPr>
          <w:rFonts w:ascii="Arial" w:eastAsia="Times New Roman" w:hAnsi="Arial" w:cs="Arial"/>
          <w:color w:val="000000"/>
          <w:lang w:eastAsia="es-CO"/>
        </w:rPr>
        <w:t xml:space="preserve"> sea de un cincuenta por ciento (50%) del valor de las tarifas vigentes, al momento de la solicitud de la licencia y de tal situación debe informarse al Ministerio de Vivienda, Ciudad y Territorio. </w:t>
      </w:r>
    </w:p>
    <w:p w14:paraId="594F41AF" w14:textId="473179B7"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3" w:name="ver_30074140"/>
      <w:bookmarkEnd w:id="1373"/>
    </w:p>
    <w:p w14:paraId="7A9E1A71" w14:textId="4990F68C"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4</w:t>
      </w:r>
    </w:p>
    <w:p w14:paraId="1E696C0C" w14:textId="77777777"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RECONOCIMIENTO DE EXISTENCIA DE EDIFICACIONES</w:t>
      </w:r>
    </w:p>
    <w:p w14:paraId="7939B99A" w14:textId="77777777" w:rsidR="005C5EEB" w:rsidRPr="009342F9" w:rsidRDefault="005C5EEB" w:rsidP="00D4095E">
      <w:pPr>
        <w:spacing w:after="0" w:line="240" w:lineRule="auto"/>
        <w:jc w:val="center"/>
        <w:rPr>
          <w:rFonts w:ascii="Arial" w:eastAsia="Times New Roman" w:hAnsi="Arial" w:cs="Arial"/>
          <w:b/>
          <w:bCs/>
          <w:color w:val="000000"/>
          <w:lang w:eastAsia="es-CO"/>
        </w:rPr>
      </w:pPr>
    </w:p>
    <w:p w14:paraId="4D62B9BD" w14:textId="3692543D"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5F7C560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3FFD70F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74" w:name="ver_30074141"/>
      <w:bookmarkEnd w:id="1374"/>
    </w:p>
    <w:p w14:paraId="78E351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2.2.6.4.1.1 Reconocimiento de la existencia de edificaciones. El reconocimiento de edificaciones es la actuación por medio de la cual el curador urbano o la autoridad municipal o distrital competente para expedir licencias de construcción, declara la existencia de los desarrollos arquitectónicos que se ejecutaron sin obtener tales licencias siempre y cuando cumplan con el uso previsto por las normas urbanísticas vigentes y que la edificación se haya concluido como mínimo cinco (5) años antes de la solicitud de reconocimiento. Este término no aplicará en aquellos casos en que el solicitante deba obtener el reconocimiento por orden judicial o administrativa. </w:t>
      </w:r>
    </w:p>
    <w:p w14:paraId="43AB34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F9B0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planes de ordenamiento territorial o los instrumentos que lo desarrollen y complementen podrán definir las zonas del municipio o distrito en las cuales los actos de reconocimiento deban cumplir, además de las condiciones señaladas en el inciso anterior, con las normas urbanísticas que para cada caso se determine en el respectivo plan. </w:t>
      </w:r>
    </w:p>
    <w:p w14:paraId="1B011B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9020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los actos de reconocimiento se establecerán, si es del caso, las obligaciones para la adecuación o reforzamiento estructural de la edificación a las normas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xml:space="preserve"> que les sean aplicables en los términos de la Ley 400 de 1997, sus decretos reglamentarios, o las normas que los adicionen, modifiquen o sustituyan y el Reglamento Colombiano de Construcción Sismorresistente –NSR– 10, y la norma que lo adicione, modifique o sustituya. </w:t>
      </w:r>
    </w:p>
    <w:p w14:paraId="7828A3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2396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se podrán expedir actos de reconocimiento a los predios que construyeron en contravención de la licencia y están en la obligación de adecuarse al cumplimiento de las normas urbanísticas, según lo determine el acto que imponga la sanción. </w:t>
      </w:r>
    </w:p>
    <w:p w14:paraId="5246FE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9B36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reconocimiento se otorgará sin perjuicio de las acciones penales, civiles y administrativas a que haya lugar. </w:t>
      </w:r>
    </w:p>
    <w:p w14:paraId="4583A8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D593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curadores urbanos deberán informar a las autoridades que ejerzan el control urbanístico de las solicitudes de reconocimiento de construcciones que les sean presentadas, a fin de que ellas adelanten los procedimientos e impongan las sanciones del caso. </w:t>
      </w:r>
    </w:p>
    <w:p w14:paraId="2A928C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1BB9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construcciones declaradas Monumentos Nacionales y los bienes de interés cultural del ámbito municipal, distrital, departamental o nacional, se entenderán reconocidos con la expedición del acto administrativo que haga su declaratoria. En estos casos, el trámite de las solicitudes de licencias urbanísticas se sujetará a lo dispuesto en el presente decreto. </w:t>
      </w:r>
    </w:p>
    <w:p w14:paraId="69B42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713E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municipios, distritos y el Departamento Archipiélago de San Andrés, Providencia y Santa Catalina establecerán las condiciones para el reconocimiento de las edificaciones públicas con uso dotacional ubicadas en zonas de cesión pública obligatoria, que se destinen a salud, educación, bienestar social, seguridad ciudadana y defensa y justicia de las entidades del nivel central o descentralizado de la Rama Ejecutiva del orden nacional, departamental, municipal y distrital. Estas normas también se aplicarán para el reconocimiento de equipamientos destinados a la práctica de los diferentes cultos y a los equipamientos de congregaciones religiosas. </w:t>
      </w:r>
    </w:p>
    <w:p w14:paraId="196F4B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A733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En los municipios y distritos que cuenten con la figura del curador urbano, las solicitudes de reconocimiento también podrán ser tramitadas ante la oficina de planeación o la dependencia que haga sus veces, cuando así lo determine el alcalde mediante acto administrativo. </w:t>
      </w:r>
    </w:p>
    <w:p w14:paraId="4450B8B7" w14:textId="0CFCDAF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5" w:name="ver_30074143"/>
      <w:bookmarkEnd w:id="1375"/>
    </w:p>
    <w:p w14:paraId="67CB24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2.2.6.4.1.2 Situaciones en las que no procede el reconocimiento de edificaciones. No procederá el reconocimiento de edificaciones o la parte de ellas que se encuentren localizados en: </w:t>
      </w:r>
    </w:p>
    <w:p w14:paraId="774876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FAA4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áreas o zonas de protección ambiental y el suelo clasificado como de protección en el Plan de Ordenamiento Territorial o en los instrumentos que lo desarrollen y complementen, salvo que se trate de zonas sometidas a medidas de manejo especial ambiental para la armonización y/o normalización de las edificaciones preexistentes a su interior. </w:t>
      </w:r>
    </w:p>
    <w:p w14:paraId="777534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6498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zonas declaradas como de alto riesgo no mitigable identificadas en el Plan de Ordenamiento Territorial o los instrumentos que lo desarrollen y complementen. </w:t>
      </w:r>
    </w:p>
    <w:p w14:paraId="3C3B9C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00FB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inmuebles de propiedad privada afectados en los términos del Artículo 37 de la Ley 9ª de 1989 o la norma que lo adicione, modifique o sustituya, o que ocupen total o parcialmente el espacio público. </w:t>
      </w:r>
    </w:p>
    <w:p w14:paraId="67013C8C" w14:textId="4B2680D8"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6" w:name="ver_30074144"/>
      <w:bookmarkEnd w:id="1376"/>
    </w:p>
    <w:p w14:paraId="0286AACF" w14:textId="26B6756A"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035371EA"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 PARA EL RECONOCIMIENTO</w:t>
      </w:r>
    </w:p>
    <w:p w14:paraId="3345BFA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77" w:name="ver_30074146"/>
      <w:bookmarkEnd w:id="1377"/>
    </w:p>
    <w:p w14:paraId="15D649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2.2.6.4.2.1 Titulares del acto de reconocimiento. Podrán ser titulares del acto de reconocimiento las mismas personas que pueden ser titulares de las licencias de construcción, según lo dispuesto en el artículo 2.2.6.1.2.1.5 del presente Decreto. </w:t>
      </w:r>
    </w:p>
    <w:p w14:paraId="6F37347E" w14:textId="26FF542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8" w:name="ver_30074148"/>
      <w:bookmarkEnd w:id="1378"/>
    </w:p>
    <w:p w14:paraId="33E5AA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2.2.6.4.2.2 Requisitos para el reconocimiento. Además de los documentos señalados en el artículo 2.2.6.1.2.1.7 del presente Decreto, la solicitud de reconocimiento se acompañará de los siguientes documentos: </w:t>
      </w:r>
    </w:p>
    <w:p w14:paraId="0CD85F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CD4C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formulario único nacional para la solicitud de licencias adoptado mediante la Resolución 0931 de 2012 del Ministerio de Vivienda, Ciudad y Territorio o la norma que la adicione, modifique o sustituya, debidamente diligenciado por el solicitante. </w:t>
      </w:r>
    </w:p>
    <w:p w14:paraId="55EAFC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E628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Levantamiento arquitectónico de la construcción, debidamente firmado por un arquitecto quien se hará responsable legalmente de la veracidad de la información contenida en este. </w:t>
      </w:r>
    </w:p>
    <w:p w14:paraId="42AB7F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4B02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Copia de un peritaje técnico que sirva para determinar la estabilidad de la construcción y las intervenciones y obras a realizar que lleven progresiva o definitivamente a disminuir la vulnerabilidad sísmica de la edificación, cuando a ello hubiere lugar. El peritaje técnico estará debidamente firmado por un profesional matriculado y facultado para este fin, quien se hará responsable legalmente de los resultados del estudio técnico. </w:t>
      </w:r>
    </w:p>
    <w:p w14:paraId="00997A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F0A3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declaración de la antigüedad de la construcción. Esta declaración se hará bajo la gravedad de juramento que se entenderá prestada por la presentación de la solicitud. </w:t>
      </w:r>
    </w:p>
    <w:p w14:paraId="27D3DAAB" w14:textId="18AC22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79" w:name="ver_30125200"/>
      <w:bookmarkStart w:id="1380" w:name="ver_30125199"/>
      <w:bookmarkEnd w:id="1379"/>
    </w:p>
    <w:p w14:paraId="05789BAB" w14:textId="1C486AD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2.2.6.4.2.3.</w:t>
      </w:r>
      <w:r w:rsidR="00DE4105">
        <w:rPr>
          <w:rFonts w:ascii="Arial" w:eastAsia="Times New Roman" w:hAnsi="Arial" w:cs="Arial"/>
          <w:color w:val="000000"/>
          <w:lang w:eastAsia="es-CO"/>
        </w:rPr>
        <w:t xml:space="preserve"> </w:t>
      </w:r>
      <w:r w:rsidRPr="009342F9">
        <w:rPr>
          <w:rFonts w:ascii="Arial" w:eastAsia="Times New Roman" w:hAnsi="Arial" w:cs="Arial"/>
          <w:color w:val="000000"/>
          <w:lang w:eastAsia="es-CO"/>
        </w:rPr>
        <w:t>Alcance del peritaje técnico. El peritaje técnico de que trata el numeral 3 del artículo anterior deberá realizarse siguiendo los lineamientos previstos en el Reglamento Colombiano de Construcción Sismorresistente NSR-10 o la norma que lo adicione, modifique o sustituya.  </w:t>
      </w:r>
    </w:p>
    <w:p w14:paraId="17D12C8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81" w:name="ver_30125208"/>
      <w:bookmarkStart w:id="1382" w:name="ver_30125207"/>
      <w:bookmarkEnd w:id="1380"/>
      <w:bookmarkEnd w:id="1381"/>
    </w:p>
    <w:p w14:paraId="4EA699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2.2.6.4.2.4. Peritaje técnico para el reconocimiento de la existencia de la edificación en proyectos de mejoramiento de vivienda de interés social. En los proyectos de vivienda de interés social en la modalidad de mejoramiento, el peritaje técnico de que trata numeral 3 del artículo 2.2.6.4.2.2 del presente decreto, cuando se trate de viviendas unifamiliares de un solo piso con deficiencias en la estructura principal, cimientos, muros o cubiertas de conformidad con lo establecido en el presente decreto en materia de subsidio familiar de vivienda se sujetará a la verificación del Capítulo A-10 del Reglamento Colombiano de Construcción Sismorresistente NSR-10 o la norma que lo adicione, modifique o sustituya. </w:t>
      </w:r>
    </w:p>
    <w:p w14:paraId="686633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D25E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profesional calificado que realice el peritaje técnico deberá reunir las calidades que se indican en el Título VI de la Ley 400 de 1997 y sus decretos reglamentarios, o las normas que los adicionen, modifiquen o sustituyan. Dicho profesional dejará constancia en el formulario, del cumplimiento de los requisitos que permitan determinar que la edificación es segura o habitable dentro del alcance definido en el presente artículo, así como sobre los elementos existentes de resistencia sísmica y su ponderación relativa correspondiente, para compararla con el mínimo requerido según la zona sísmica aplicable, de conformidad con la normatividad vigente sobre la materia. </w:t>
      </w:r>
    </w:p>
    <w:p w14:paraId="288282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D40C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dicho formulario se señalarán las obras de mejoramiento que se deben realizar en el inmueble para llevar la edificación al nivel mínimo de seguridad y estabilidad indicada. </w:t>
      </w:r>
    </w:p>
    <w:p w14:paraId="2EEB0C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43A8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El peritaje técnico para el reconocimiento de la existencia de edificaciones de proyectos de mejoramiento para viviendas de dos pisos o más y de un solo piso que no cumplan con las condiciones de que trata este artículo, no se sujetará a lo dispuesto en el mismo. </w:t>
      </w:r>
    </w:p>
    <w:p w14:paraId="4E150B9A" w14:textId="79FF2C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F2BB1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83" w:name="ver_30074155"/>
      <w:bookmarkEnd w:id="1382"/>
      <w:bookmarkEnd w:id="1383"/>
      <w:r w:rsidRPr="009342F9">
        <w:rPr>
          <w:rFonts w:ascii="Arial" w:eastAsia="Times New Roman" w:hAnsi="Arial" w:cs="Arial"/>
          <w:color w:val="000000"/>
          <w:lang w:eastAsia="es-CO"/>
        </w:rPr>
        <w:t xml:space="preserve">Artículo 2.2.6.4.2.5 Términos para resolver las solicitudes de reconocimiento. El término para resolver las solicitudes de </w:t>
      </w:r>
      <w:proofErr w:type="gramStart"/>
      <w:r w:rsidRPr="009342F9">
        <w:rPr>
          <w:rFonts w:ascii="Arial" w:eastAsia="Times New Roman" w:hAnsi="Arial" w:cs="Arial"/>
          <w:color w:val="000000"/>
          <w:lang w:eastAsia="es-CO"/>
        </w:rPr>
        <w:t>reconocimiento,</w:t>
      </w:r>
      <w:proofErr w:type="gramEnd"/>
      <w:r w:rsidRPr="009342F9">
        <w:rPr>
          <w:rFonts w:ascii="Arial" w:eastAsia="Times New Roman" w:hAnsi="Arial" w:cs="Arial"/>
          <w:color w:val="000000"/>
          <w:lang w:eastAsia="es-CO"/>
        </w:rPr>
        <w:t xml:space="preserve"> será el previsto en este decreto para la expedición de las licencias urbanísticas. </w:t>
      </w:r>
    </w:p>
    <w:p w14:paraId="450115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9E4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procedimiento para resolver las solicitudes de reconocimiento, en lo que fuere aplicable, será el previsto en este decreto para la expedición de las licencias urbanísticas. </w:t>
      </w:r>
    </w:p>
    <w:p w14:paraId="22279309" w14:textId="594B95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84" w:name="ver_30074157"/>
      <w:bookmarkEnd w:id="1384"/>
    </w:p>
    <w:p w14:paraId="634089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2.2.6.4.2.6. Acto de reconocimiento de la edificación. La expedición del acto de reconocimiento de la existencia de la edificación causará los mismos gravámenes existentes para la licencia de construcción y tendrá los mismos efectos legales de una licencia de construcción. </w:t>
      </w:r>
    </w:p>
    <w:p w14:paraId="3DF531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8876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efectos de la declaratoria de elegibilidad de los planes de vivienda de interés social en la modalidad de mejoramiento, de que trata el presente decreto en materia de subsidio familiar de vivienda, el acto de reconocimiento hará las veces de licencia de construcción. </w:t>
      </w:r>
    </w:p>
    <w:p w14:paraId="483A22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3CD4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Cuando fuere necesario adecuar la edificación al cumplimiento de las normas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el acto de reconocimiento otorgará un plazo máximo de veinticuatro (24) meses improrrogables, contados a partir de la fecha de su ejecutoria, para que el interesado ejecute las obras de reforzamiento. Este mismo término se aplicará al acto que resuelva conjuntamente las solicitudes de reconocimiento y de licencia de construcción. </w:t>
      </w:r>
    </w:p>
    <w:p w14:paraId="2DB091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C06B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Tratándose de programas de legalización y regularización urbanística de asentamientos de vivienda de interés social debidamente aprobados, o de programas de vivienda, los municipios y distritos podrán ampliar el plazo de que trata el inciso anterior hasta un máximo de seis (6) años, siempre y cuando se asista técnicamente al interesado en el proceso de adecuación de la edificación al cumplimiento de las normas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xml:space="preserve"> que les sean aplicables. </w:t>
      </w:r>
    </w:p>
    <w:p w14:paraId="7DF02776" w14:textId="012C7BD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85" w:name="ver_30074164"/>
      <w:bookmarkEnd w:id="1385"/>
    </w:p>
    <w:p w14:paraId="0126DE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2.2.6.4.2.7. Compensaciones. En el evento en que las normas municipales o distritales exigieran compensaciones por concepto de espacio público y estacionamientos debido al incumplimiento de las cargas urbanísticas asociadas al proceso de edificación, corresponderá a los municipios, distritos y al Departamento Archipiélago de San Andrés, Providencia y Santa Catalina establecer las condiciones para hacer efectiva la compensación, que deberá asumir el titular del acto de reconocimiento. </w:t>
      </w:r>
    </w:p>
    <w:p w14:paraId="0CEAF9A3" w14:textId="7F62617A"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386" w:name="ver_30074169"/>
      <w:bookmarkEnd w:id="1386"/>
    </w:p>
    <w:p w14:paraId="721B8EA9" w14:textId="357CB9A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5</w:t>
      </w:r>
    </w:p>
    <w:p w14:paraId="263CCE7A"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LEGALIZACIÓN URBANÍSTICA DE ASENTAMIENTOS HUMANOS</w:t>
      </w:r>
    </w:p>
    <w:p w14:paraId="2AB60E7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87" w:name="ver_30210392"/>
      <w:bookmarkStart w:id="1388" w:name="ver_30125263"/>
      <w:bookmarkStart w:id="1389" w:name="ver_30125270"/>
      <w:bookmarkEnd w:id="1387"/>
    </w:p>
    <w:p w14:paraId="255554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2.2.6.5.1. Legalización urbanística. La legalización urbanística es el proceso mediante el cual la administración municipal, distrital o del Departamento Archipiélago de San Andrés, Providencia y Santa Catalina reconoce, si a ello hubiere lugar, la existencia de un asentamiento humano con condiciones de precariedad y de origen informal, conformado por viviendas de interés social y usos complementarios que la soportan, que se ha constituido sin licencia de urbanización previo a su desarrollo o que aun cuando la obtuvo, esta no se ejecutó.  </w:t>
      </w:r>
    </w:p>
    <w:p w14:paraId="558758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50CE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Mediante la legalización urbanística y de acuerdo con ¡as condiciones que establezca cada entidad territorial, se aprueban los planos urbanísticos y se expide la reglamentación urbanística, sin perjuicio de la responsabilidad penal, civil y administrativa de los comprometidos.  </w:t>
      </w:r>
    </w:p>
    <w:p w14:paraId="6B1DB3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6FC7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legalización urbanística implica la incorporación al perímetro urbano cuando a ello hubiere lugar, sujeta a la disponibilidad técnica de servicios o a la implementación de un esquema diferencial en áreas de difícil gestión; y la regularización urbanística del asentamiento humano, entendida como la norma urbanística aplicable y las acciones de mejoramiento definidas por el municipio o distrito en la resolución de legalización.  </w:t>
      </w:r>
    </w:p>
    <w:p w14:paraId="74567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72DE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legalización urbanística no contempla el reconocimiento de los derechos de propiedad en favor de eventuales poseedores, ni la titulación de los predios ocupados por el asentamiento humano.  </w:t>
      </w:r>
    </w:p>
    <w:p w14:paraId="12BC8F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E0D7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mediante el cual se aprueba la legalización hará las veces de licencia de urbanización, con base en el cual se tramitarán las licencias de construcción de los predios incluidos en la legalización o el reconocimiento de las edificaciones existentes. </w:t>
      </w:r>
    </w:p>
    <w:p w14:paraId="60C7649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90" w:name="ver_30210393"/>
      <w:bookmarkStart w:id="1391" w:name="ver_30074172"/>
      <w:bookmarkEnd w:id="1388"/>
      <w:bookmarkEnd w:id="1389"/>
      <w:bookmarkEnd w:id="1390"/>
    </w:p>
    <w:p w14:paraId="5C6BA8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2.2.6.5.2. Independencia de la legalización urbanística frente a los procesos de titulación. Los procesos de titulación previstos en el artículo 277 de la Ley 1955 de 2019 y el presente decreto, podrán adelantarse de manera independiente del proceso de legalización urbanística de asentamientos humanos de que trata este capítulo.  </w:t>
      </w:r>
    </w:p>
    <w:p w14:paraId="291E1D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4C9F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todo caso, para adelantar el proceso de titulación, los municipios y distritos, deberán respetar los espacios públicos, vías públicas, obras de infraestructura de servicios públicos domiciliarios y equipamientos existentes en el asentamiento humano, de acuerdo con lo previsto en el numeral 1 del artículo 2.1.2.2.2.2 del presente decreto. </w:t>
      </w:r>
    </w:p>
    <w:p w14:paraId="619F4B4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92" w:name="ver_30210394"/>
      <w:bookmarkStart w:id="1393" w:name="ver_30074174"/>
      <w:bookmarkEnd w:id="1391"/>
      <w:bookmarkEnd w:id="1392"/>
    </w:p>
    <w:p w14:paraId="371819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2.2.6.5.3. Improcedencia de la legalización urbanística. No procederá la legalización de asentamientos que se encuentren ubicados en suelo de protección en los términos del artículo 35 de la Ley 388 de 1997 o la norma que lo adicione, modifique o sustituya, de conformidad con el Plan de Ordenamiento Territorial o de los instrumentos que lo complementen y desarrollen. </w:t>
      </w:r>
    </w:p>
    <w:p w14:paraId="60F58A9E"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394" w:name="ver_30074175"/>
      <w:bookmarkEnd w:id="1393"/>
      <w:bookmarkEnd w:id="1394"/>
    </w:p>
    <w:p w14:paraId="06B23469" w14:textId="10151AB6" w:rsidR="00FC79C1" w:rsidRPr="00ED3B66" w:rsidRDefault="00FC79C1" w:rsidP="00ED3B66">
      <w:pPr>
        <w:spacing w:after="0" w:line="240" w:lineRule="auto"/>
        <w:jc w:val="center"/>
        <w:rPr>
          <w:rFonts w:ascii="Arial" w:eastAsia="Times New Roman" w:hAnsi="Arial" w:cs="Arial"/>
          <w:b/>
          <w:bCs/>
          <w:color w:val="000000"/>
          <w:lang w:eastAsia="es-CO"/>
        </w:rPr>
      </w:pPr>
      <w:r w:rsidRPr="00ED3B66">
        <w:rPr>
          <w:rFonts w:ascii="Arial" w:eastAsia="Times New Roman" w:hAnsi="Arial" w:cs="Arial"/>
          <w:b/>
          <w:bCs/>
          <w:color w:val="000000"/>
          <w:lang w:eastAsia="es-CO"/>
        </w:rPr>
        <w:t>SECCIÓN 1</w:t>
      </w:r>
    </w:p>
    <w:p w14:paraId="7D915484" w14:textId="77777777" w:rsidR="00FC79C1" w:rsidRPr="00ED3B66" w:rsidRDefault="00FC79C1" w:rsidP="00ED3B66">
      <w:pPr>
        <w:spacing w:after="0" w:line="240" w:lineRule="auto"/>
        <w:jc w:val="center"/>
        <w:rPr>
          <w:rFonts w:ascii="Arial" w:eastAsia="Times New Roman" w:hAnsi="Arial" w:cs="Arial"/>
          <w:b/>
          <w:bCs/>
          <w:color w:val="000000"/>
          <w:lang w:eastAsia="es-CO"/>
        </w:rPr>
      </w:pPr>
      <w:r w:rsidRPr="00ED3B66">
        <w:rPr>
          <w:rFonts w:ascii="Arial" w:eastAsia="Times New Roman" w:hAnsi="Arial" w:cs="Arial"/>
          <w:b/>
          <w:bCs/>
          <w:color w:val="000000"/>
          <w:lang w:eastAsia="es-CO"/>
        </w:rPr>
        <w:t>PROCESO DE LEGALIZACIÓN</w:t>
      </w:r>
    </w:p>
    <w:p w14:paraId="7E9D1EB9" w14:textId="47D2EE27" w:rsidR="00ED3B66" w:rsidRPr="009342F9" w:rsidRDefault="00ED3B66" w:rsidP="00FC79C1">
      <w:pPr>
        <w:spacing w:after="0" w:line="240" w:lineRule="auto"/>
        <w:jc w:val="both"/>
        <w:rPr>
          <w:rFonts w:ascii="Arial" w:eastAsia="Times New Roman" w:hAnsi="Arial" w:cs="Arial"/>
          <w:color w:val="000000"/>
          <w:lang w:eastAsia="es-CO"/>
        </w:rPr>
      </w:pPr>
      <w:bookmarkStart w:id="1395" w:name="ver_30210395"/>
      <w:bookmarkStart w:id="1396" w:name="ver_30074177"/>
      <w:bookmarkEnd w:id="1395"/>
    </w:p>
    <w:p w14:paraId="5AFE97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2.2.6.5.1.1. Iniciativa del proceso de legalización urbanística. Sin perjuicio de lo establecido en el artículo 48 de la Ley 9ª de 1989 o la norma que lo adicione, modifique o sustituya, el proceso de legalización se podrá iniciar de oficio por la autoridad municipal o distrital facultada para el efecto o por solicitud de la parte interesada.  </w:t>
      </w:r>
    </w:p>
    <w:p w14:paraId="741578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C4E6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Corresponderá a la parte interesada asumir las obligaciones del proceso de legalización urbanística.  </w:t>
      </w:r>
    </w:p>
    <w:p w14:paraId="7ACB13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B2BB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Entiéndase por parte interesada, al urbanizador, el enajenante, la comunidad interesada o los propietarios de los terrenos.  </w:t>
      </w:r>
    </w:p>
    <w:p w14:paraId="72CCA9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85CA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Cuando la Iniciativa de la solicitud sea de oficio, la autoridad competente solicitará a los interesados en el proceso el aporte de la información y documentación de que tratan los artículos del presente capítulo.  </w:t>
      </w:r>
    </w:p>
    <w:p w14:paraId="17BB35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1216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las partes interesadas no tengan la capacidad para asumir los costos del proceso de legalización urbanística, el municipio o distrito, conforme a las metas de sus planes de desarrollo, podrán proveer los recursos requeridos para dicho trámite teniendo en cuenta su disponibilidad presupuestal. </w:t>
      </w:r>
    </w:p>
    <w:p w14:paraId="7646FD5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97" w:name="ver_30210396"/>
      <w:bookmarkStart w:id="1398" w:name="ver_30074181"/>
      <w:bookmarkEnd w:id="1396"/>
      <w:bookmarkEnd w:id="1397"/>
    </w:p>
    <w:p w14:paraId="1C72D3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2.2.6.5.1.2. De la solicitud de legalización urbanística. Los interesados en que se adelante el proceso de legalización </w:t>
      </w:r>
      <w:proofErr w:type="gramStart"/>
      <w:r w:rsidRPr="009342F9">
        <w:rPr>
          <w:rFonts w:ascii="Arial" w:eastAsia="Times New Roman" w:hAnsi="Arial" w:cs="Arial"/>
          <w:color w:val="000000"/>
          <w:lang w:eastAsia="es-CO"/>
        </w:rPr>
        <w:t>urbanística,</w:t>
      </w:r>
      <w:proofErr w:type="gramEnd"/>
      <w:r w:rsidRPr="009342F9">
        <w:rPr>
          <w:rFonts w:ascii="Arial" w:eastAsia="Times New Roman" w:hAnsi="Arial" w:cs="Arial"/>
          <w:color w:val="000000"/>
          <w:lang w:eastAsia="es-CO"/>
        </w:rPr>
        <w:t xml:space="preserve"> presentarán ante la autoridad competente del municipio o distrito, una solicitud que contendrá como mínimo lo siguiente:  </w:t>
      </w:r>
    </w:p>
    <w:p w14:paraId="7C2F1C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6F56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Nombre completo e identificación del peticionario y dirección donde recibirá noti</w:t>
      </w:r>
      <w:r w:rsidRPr="009342F9">
        <w:rPr>
          <w:rFonts w:ascii="Arial" w:eastAsia="Times New Roman" w:hAnsi="Arial" w:cs="Arial"/>
          <w:color w:val="000000"/>
          <w:lang w:eastAsia="es-CO"/>
        </w:rPr>
        <w:softHyphen/>
        <w:t>ficaciones.  </w:t>
      </w:r>
    </w:p>
    <w:p w14:paraId="684DE2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EF44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Nombre completo, identificación y dirección, si se conoce, del urbanizador, propie</w:t>
      </w:r>
      <w:r w:rsidRPr="009342F9">
        <w:rPr>
          <w:rFonts w:ascii="Arial" w:eastAsia="Times New Roman" w:hAnsi="Arial" w:cs="Arial"/>
          <w:color w:val="000000"/>
          <w:lang w:eastAsia="es-CO"/>
        </w:rPr>
        <w:softHyphen/>
        <w:t>tario y poseedores de los predios que conforman el asentamiento humano. </w:t>
      </w:r>
    </w:p>
    <w:p w14:paraId="2CDE2AA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399" w:name="ver_30210397"/>
      <w:bookmarkStart w:id="1400" w:name="ver_30074185"/>
      <w:bookmarkEnd w:id="1398"/>
      <w:bookmarkEnd w:id="1399"/>
    </w:p>
    <w:p w14:paraId="621685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2.2.6.5.1.3. Anexos a la solicitud de legalización urbanística. A la solicitud de legalización se deberán adjuntar aquellos documentos que permitan identificar jurídica y físicamente el asentamiento, así como las condiciones de ocupación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Los planos que se anexen deben estar rotulados y contener la firma, nombre, identificación y matrícula profesional vigente del arquitecto o ingeniero responsable y la parte interesada o responsable del trámite.  </w:t>
      </w:r>
    </w:p>
    <w:p w14:paraId="151BF5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9A1F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a la solicitud se deberán anexar como mínimo los siguientes documentos:  </w:t>
      </w:r>
    </w:p>
    <w:p w14:paraId="6FB5B0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3B7F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Certificado de tradición y libertad del predio o predios objeto de legalización, expe</w:t>
      </w:r>
      <w:r w:rsidRPr="009342F9">
        <w:rPr>
          <w:rFonts w:ascii="Arial" w:eastAsia="Times New Roman" w:hAnsi="Arial" w:cs="Arial"/>
          <w:color w:val="000000"/>
          <w:lang w:eastAsia="es-CO"/>
        </w:rPr>
        <w:softHyphen/>
        <w:t>dido por la Oficina de Registro de Instrumentos Públicos correspondiente.  </w:t>
      </w:r>
    </w:p>
    <w:p w14:paraId="0DA1E4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CFF7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Copias simples de las escrituras, fotocopias de pagos de recibos del impuesto pre</w:t>
      </w:r>
      <w:r w:rsidRPr="009342F9">
        <w:rPr>
          <w:rFonts w:ascii="Arial" w:eastAsia="Times New Roman" w:hAnsi="Arial" w:cs="Arial"/>
          <w:color w:val="000000"/>
          <w:lang w:eastAsia="es-CO"/>
        </w:rPr>
        <w:softHyphen/>
        <w:t>dial y/o de recibos de servicios públicos domiciliarios, promesas de compraventa u otro medio probatorio que acredite la ocupación de los predios que hacen parte del proceso de legalización.  </w:t>
      </w:r>
    </w:p>
    <w:p w14:paraId="436169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0911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Acta de conocimiento y aceptación del plano de loteo y del proceso de legaliza</w:t>
      </w:r>
      <w:r w:rsidRPr="009342F9">
        <w:rPr>
          <w:rFonts w:ascii="Arial" w:eastAsia="Times New Roman" w:hAnsi="Arial" w:cs="Arial"/>
          <w:color w:val="000000"/>
          <w:lang w:eastAsia="es-CO"/>
        </w:rPr>
        <w:softHyphen/>
        <w:t xml:space="preserve">ción firmada al menos por el cincuenta y uno por ciento (51%) de los propietarios, poseedores u ocupantes de los predios o inmuebles incluidos en la legalización, así como la indicación de los propietarios de los predios que conforman el </w:t>
      </w:r>
      <w:proofErr w:type="spellStart"/>
      <w:r w:rsidRPr="009342F9">
        <w:rPr>
          <w:rFonts w:ascii="Arial" w:eastAsia="Times New Roman" w:hAnsi="Arial" w:cs="Arial"/>
          <w:color w:val="000000"/>
          <w:lang w:eastAsia="es-CO"/>
        </w:rPr>
        <w:t>asenta</w:t>
      </w:r>
      <w:proofErr w:type="spellEnd"/>
      <w:r w:rsidRPr="009342F9">
        <w:rPr>
          <w:rFonts w:ascii="Arial" w:eastAsia="Times New Roman" w:hAnsi="Arial" w:cs="Arial"/>
          <w:color w:val="000000"/>
          <w:lang w:eastAsia="es-CO"/>
        </w:rPr>
        <w:softHyphen/>
        <w:t xml:space="preserve"> miento humano objeto de legalización y, de ser posible, la matrícula inmobiliaria de los mismos.  </w:t>
      </w:r>
    </w:p>
    <w:p w14:paraId="75F761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6CF48A" w14:textId="607B488E"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4. Plano de levantamiento del loteo actual, junto con las carteras de campo y hojas de cálculo, en la escala que determine la Oficina de Planeación Municipal o Distrital. Estos planos deberán incluir, entre otros aspectos, la delimitación de los espacios públicos, vías públicas, obras de infraestructura de servicios públicos domiciliarios y equipamientos que se constituirán a favor del respectivo municipio o distrito y la regularización urbanística propuesta, que establezca las obligaciones y compromisos de las partes. </w:t>
      </w:r>
    </w:p>
    <w:p w14:paraId="4D342E34" w14:textId="77777777" w:rsidR="005C5EEB" w:rsidRPr="009342F9" w:rsidRDefault="005C5EEB" w:rsidP="00FC79C1">
      <w:pPr>
        <w:spacing w:after="0" w:line="240" w:lineRule="auto"/>
        <w:jc w:val="both"/>
        <w:rPr>
          <w:rFonts w:ascii="Arial" w:eastAsia="Times New Roman" w:hAnsi="Arial" w:cs="Arial"/>
          <w:color w:val="000000"/>
          <w:lang w:eastAsia="es-CO"/>
        </w:rPr>
      </w:pPr>
    </w:p>
    <w:p w14:paraId="7CD45649" w14:textId="002DAA50" w:rsidR="00FC79C1" w:rsidRPr="009342F9" w:rsidRDefault="00FC79C1" w:rsidP="00D4095E">
      <w:pPr>
        <w:spacing w:after="0" w:line="240" w:lineRule="auto"/>
        <w:jc w:val="center"/>
        <w:rPr>
          <w:rFonts w:ascii="Arial" w:eastAsia="Times New Roman" w:hAnsi="Arial" w:cs="Arial"/>
          <w:b/>
          <w:bCs/>
          <w:color w:val="000000"/>
          <w:lang w:eastAsia="es-CO"/>
        </w:rPr>
      </w:pPr>
      <w:bookmarkStart w:id="1401" w:name="ver_30074186"/>
      <w:bookmarkEnd w:id="1400"/>
      <w:bookmarkEnd w:id="1401"/>
      <w:r w:rsidRPr="009342F9">
        <w:rPr>
          <w:rFonts w:ascii="Arial" w:eastAsia="Times New Roman" w:hAnsi="Arial" w:cs="Arial"/>
          <w:b/>
          <w:bCs/>
          <w:color w:val="000000"/>
          <w:lang w:eastAsia="es-CO"/>
        </w:rPr>
        <w:t>SECCIÓN 2</w:t>
      </w:r>
    </w:p>
    <w:p w14:paraId="78FF2A73"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TRÁMITE DE LA SOLICITUD DE LEGALIZACIÓN</w:t>
      </w:r>
    </w:p>
    <w:p w14:paraId="270DFD2E"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402" w:name="ver_30210398"/>
      <w:bookmarkStart w:id="1403" w:name="ver_30074187"/>
      <w:bookmarkEnd w:id="1402"/>
    </w:p>
    <w:p w14:paraId="5EB685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2.2.6.5.2.1. Evaluación de la documentación. La Oficina de Planeación Municipal o Distrital, o la entidad que haga sus veces, evaluará la procedencia de la legalización del asentamiento humano y hará el estudio técnico y jurídico de la documentación a que se refiere el artículo anterior, para lo cual dispondrá de un término de cuarenta y cinco (45) días hábiles.  </w:t>
      </w:r>
    </w:p>
    <w:p w14:paraId="1B27D8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B795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Dicha entidad realizará una visita ocular al asentamiento humano y levantará un acta en que se consigne el resultado de la visita, al menos con los siguientes datos:  </w:t>
      </w:r>
    </w:p>
    <w:p w14:paraId="37ECCC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D33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Existencia del asentamiento humano y de los espacios públicos y privados, vías pú</w:t>
      </w:r>
      <w:r w:rsidRPr="009342F9">
        <w:rPr>
          <w:rFonts w:ascii="Arial" w:eastAsia="Times New Roman" w:hAnsi="Arial" w:cs="Arial"/>
          <w:color w:val="000000"/>
          <w:lang w:eastAsia="es-CO"/>
        </w:rPr>
        <w:softHyphen/>
        <w:t>blicas, obras de infraestructura de servicios públicos domiciliarios y equipamientos presentados en el plano de loteo aportado con la solicitud de legalización urbanística.  </w:t>
      </w:r>
    </w:p>
    <w:p w14:paraId="682F71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16AE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Grado de consolidación del asentamiento humano, el cual será señalado en una copia del plano de levantamiento de loteo actual.  </w:t>
      </w:r>
    </w:p>
    <w:p w14:paraId="24346A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D4C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no coincidieren los documentos aportados con lo verificado en la visita a la zona, la solicitud junto con sus anexos se devolverá a los interesados a través de comunicación escrita en la que se señalen las inconsistencias, con el fin de que se realicen las correcciones a que haya lugar, para lo cual dispondrán de dos (2) meses contados a partir de la recepción de la comunicación.  </w:t>
      </w:r>
    </w:p>
    <w:p w14:paraId="4314A3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DA4F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no efectuarse las correcciones solicitadas en el término fijado se entenderá desistida la petición y se ordenará el archivo de la solicitud.  </w:t>
      </w:r>
    </w:p>
    <w:p w14:paraId="1736D9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31C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entregados los planos y los documentos corregidos en debida forma, la Oficina de Planeación Municipal o Distrital, o la entidad que haga sus veces, dará inicio al proceso de legalización mediante la expedición del acto administrativo que defina la procedencia del trámite de legalización.  </w:t>
      </w:r>
    </w:p>
    <w:p w14:paraId="479317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0B9F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casos en que no sea procedente el proceso de legalización se comunicará a los interesados mediante acto administrativo motivado, contra el cual procederán los recursos previstos en el Código de Procedimiento Administrativo y de lo Contencioso Administrativo. </w:t>
      </w:r>
    </w:p>
    <w:p w14:paraId="5C61A5B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04" w:name="ver_30210399"/>
      <w:bookmarkStart w:id="1405" w:name="ver_30074188"/>
      <w:bookmarkEnd w:id="1403"/>
      <w:bookmarkEnd w:id="1404"/>
    </w:p>
    <w:p w14:paraId="291E62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2.2.6.5.2.2. Vinculación del urbanizador, el propietario y terceros interesados. Cuando el trámite de legalización sea Iniciado por personas diferentes al urbanizador o el propietario del predio o predios de mayor extensión, una vez se expida el acto administrativo que define la procedencia del trámite de legalización previsto en el artículo anterior, la autoridad competente, mediante correo certificado, comunicará al urbanizador o propietario inscrito de acuerdo con lo indicado por el interesado, sobre la iniciación del proceso y lo citará para que comparezca y se haga parte dentro del trámite administrativo para hacer valer sus derechos y determinar la forma en que se hará la entrega de las áreas que conforman el espacio público, vías públicas, obras de infraestructura de servicios públicos domiciliarios y equipamientos.  </w:t>
      </w:r>
    </w:p>
    <w:p w14:paraId="0DB965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7C36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conforme a lo previsto en el Capítulo V del Título III de la Parte Primera del Código de Procedimiento Administrativo y de lo Contencioso Administrativo, la autoridad competente hará una publicación en un diario de amplia circulación, en la que comunique a todos los terceros que puedan estar interesados o puedan resultar afectados con las decisiones que se tomen en el proceso de legalización, sobre la iniciación del mismo, indicando el número de radicación, los horarios y dependencias en que pueden consultar el expediente. Copia de esta comunicación y de la publicación se anexarán al expediente, al igual que el acta de la visita al terreno de que trata el artículo anterior.  </w:t>
      </w:r>
    </w:p>
    <w:p w14:paraId="6449F0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9E0E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eventos en que el urbanizador o propietario de los terrenos no concurra o no preste su consentimiento para el cumplimiento de las obligaciones, el proceso de legalización podrá continuar siempre y cuando el responsable del trámite o la comunidad afectada se comprometan de manera independiente a entregar las áreas que conforman el espacio público, vías públicas, obras de infraestructura de servicios públicos domiciliarios y equipamientos. Para tal efecto, se suscribirá un acta de compromiso entre el responsable del trámite o la comunidad afectada y la Oficina de Planeación Municipal o Distrital, o la entidad que haga sus veces, en la cual se detallará la ubicación de dichas áreas y el término para su entrega al respectivo municipio o distrito. </w:t>
      </w:r>
    </w:p>
    <w:p w14:paraId="40B26E0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06" w:name="ver_30210400"/>
      <w:bookmarkStart w:id="1407" w:name="ver_30074189"/>
      <w:bookmarkEnd w:id="1405"/>
      <w:bookmarkEnd w:id="1406"/>
    </w:p>
    <w:p w14:paraId="1833C1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2.2.6.5.2.3. Definición de las </w:t>
      </w:r>
      <w:proofErr w:type="gramStart"/>
      <w:r w:rsidRPr="009342F9">
        <w:rPr>
          <w:rFonts w:ascii="Arial" w:eastAsia="Times New Roman" w:hAnsi="Arial" w:cs="Arial"/>
          <w:color w:val="000000"/>
          <w:lang w:eastAsia="es-CO"/>
        </w:rPr>
        <w:t>condiciones urbanísticas y estudio urbanístico</w:t>
      </w:r>
      <w:proofErr w:type="gramEnd"/>
      <w:r w:rsidRPr="009342F9">
        <w:rPr>
          <w:rFonts w:ascii="Arial" w:eastAsia="Times New Roman" w:hAnsi="Arial" w:cs="Arial"/>
          <w:color w:val="000000"/>
          <w:lang w:eastAsia="es-CO"/>
        </w:rPr>
        <w:t xml:space="preserve"> final. De conformidad con las directrices establecidas en el Plan de Ordenamiento Territorial y la estructura urbana existente en el asentamiento humano, la autoridad municipal o distrital competente para adelantar el proceso de legalización, en coordinación con las demás entidades Involucradas en el trámite, en el término de sesenta (60) días contados a partir de la expedición del acto administrativo que determina la procedencia del trámite de legalización previsto en el artículo 2.2.6.5.2.1, definirá las condiciones urbanísticas a las que se sujetará el asentamiento objeto de legalización.  </w:t>
      </w:r>
    </w:p>
    <w:p w14:paraId="14813C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F9F5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Al efecto, se elaborará un estudio urbanístico que contenga:  </w:t>
      </w:r>
    </w:p>
    <w:p w14:paraId="5C54BF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4397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delimitación del área objeto del trámite de legalización.  </w:t>
      </w:r>
    </w:p>
    <w:p w14:paraId="4E058E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4735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Certificado o concepto de disponibilidad para la prestación de servicios públicos domiciliarios emitido por la respectiva empresa prestadora o acceso a un esquema diferencial en áreas de difícil gestión.  </w:t>
      </w:r>
    </w:p>
    <w:p w14:paraId="34D9F2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3969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Las zonas de reserva para el desarrollo de los sistemas generales de infraestructura vial y servicios públicos domiciliarios, entre otros, que inciden en el área.  </w:t>
      </w:r>
    </w:p>
    <w:p w14:paraId="3D9E97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13CD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Las determinantes de la zona en relación con lo establecido en el Plan de Ordena</w:t>
      </w:r>
      <w:r w:rsidRPr="009342F9">
        <w:rPr>
          <w:rFonts w:ascii="Arial" w:eastAsia="Times New Roman" w:hAnsi="Arial" w:cs="Arial"/>
          <w:color w:val="000000"/>
          <w:lang w:eastAsia="es-CO"/>
        </w:rPr>
        <w:softHyphen/>
        <w:t>miento Territorial con respecto a:  </w:t>
      </w:r>
    </w:p>
    <w:p w14:paraId="7ACAA2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D102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4.1. Elementos de las zonas de </w:t>
      </w:r>
      <w:proofErr w:type="gramStart"/>
      <w:r w:rsidRPr="009342F9">
        <w:rPr>
          <w:rFonts w:ascii="Arial" w:eastAsia="Times New Roman" w:hAnsi="Arial" w:cs="Arial"/>
          <w:color w:val="000000"/>
          <w:lang w:eastAsia="es-CO"/>
        </w:rPr>
        <w:t>protección ambiental y lineamientos ambientales</w:t>
      </w:r>
      <w:proofErr w:type="gramEnd"/>
      <w:r w:rsidRPr="009342F9">
        <w:rPr>
          <w:rFonts w:ascii="Arial" w:eastAsia="Times New Roman" w:hAnsi="Arial" w:cs="Arial"/>
          <w:color w:val="000000"/>
          <w:lang w:eastAsia="es-CO"/>
        </w:rPr>
        <w:t>.  </w:t>
      </w:r>
    </w:p>
    <w:p w14:paraId="4F510F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CB58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Zonas de amenaza y riesgo. El estudio de amenaza, riesgo y/o vulnerabilidad por inundación y remoción en masa del asentamiento, Incluidos los riesgos tecnológi</w:t>
      </w:r>
      <w:r w:rsidRPr="009342F9">
        <w:rPr>
          <w:rFonts w:ascii="Arial" w:eastAsia="Times New Roman" w:hAnsi="Arial" w:cs="Arial"/>
          <w:color w:val="000000"/>
          <w:lang w:eastAsia="es-CO"/>
        </w:rPr>
        <w:softHyphen/>
        <w:t>cos, adelantado de manera puntual sobre el asentamiento a intervenir, esto es, con el nivel de detalle requerido para categorizar el riesgo y determinar las medidas de mitigación.  </w:t>
      </w:r>
    </w:p>
    <w:p w14:paraId="5B1C1F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F7F5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4.3. Clasificación del suelo.  </w:t>
      </w:r>
    </w:p>
    <w:p w14:paraId="2384DA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ADC2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4.4. Definición de usos del suelo.  </w:t>
      </w:r>
    </w:p>
    <w:p w14:paraId="36F914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9384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4.5. Programas, operaciones y proyectos estructurantes.  </w:t>
      </w:r>
    </w:p>
    <w:p w14:paraId="124690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2550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4.6. Acciones de mejoramiento previstas.  </w:t>
      </w:r>
    </w:p>
    <w:p w14:paraId="0A7F33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F767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4.7. Obligaciones resultantes del proceso de legalización.  </w:t>
      </w:r>
    </w:p>
    <w:p w14:paraId="4A4AB5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1C10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Plano definitivo de loteo en el que se identifiquen los espacios públicos a entregar, vías públicas, obras de infraestructura de servicios públicos domiciliarios y equipa</w:t>
      </w:r>
      <w:r w:rsidRPr="009342F9">
        <w:rPr>
          <w:rFonts w:ascii="Arial" w:eastAsia="Times New Roman" w:hAnsi="Arial" w:cs="Arial"/>
          <w:color w:val="000000"/>
          <w:lang w:eastAsia="es-CO"/>
        </w:rPr>
        <w:softHyphen/>
        <w:t>mientos y la regularización urbanística, así como las obligaciones y compromisos de las partes. El plano debe contener la firma, nombre, identificación y/o matrícula profesional del arquitecto o ingeniero responsable y la parte interesada o responsa</w:t>
      </w:r>
      <w:r w:rsidRPr="009342F9">
        <w:rPr>
          <w:rFonts w:ascii="Arial" w:eastAsia="Times New Roman" w:hAnsi="Arial" w:cs="Arial"/>
          <w:color w:val="000000"/>
          <w:lang w:eastAsia="es-CO"/>
        </w:rPr>
        <w:softHyphen/>
        <w:t>ble del trámite. </w:t>
      </w:r>
    </w:p>
    <w:p w14:paraId="416F3691"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408" w:name="ver_30210401"/>
      <w:bookmarkStart w:id="1409" w:name="ver_30074190"/>
      <w:bookmarkEnd w:id="1407"/>
      <w:bookmarkEnd w:id="1408"/>
    </w:p>
    <w:p w14:paraId="571595F2" w14:textId="46D3ABB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2.2.6.5.2.4. Publicidad del estudio urbanístico final. La Oficina de Planeación Municipal o Distrital, o la entidad que haga sus veces, someterá a consideración de la comunidad y del propietario del terreno o urbanizador, cuando se haga parte dentro del proceso, por el término de diez (10) días, el estudio urbanístico final, con el fin de dar a conocer los derechos y obligaciones derivados del mismo. Para el efecto, se fijará en la cartelera de dicha dependencia y en su página Web, si cuenta con esta, un aviso informando el lugar, fechas y horarios de consulta del estudio, advirtiendo que las objeciones o recomendaciones que se hagan frente al mismo se deberán presentar por escrito a más tardar el último día de consulta del estudio. En el aviso se dejará constancia de la fecha y hora de fijación y de </w:t>
      </w:r>
      <w:proofErr w:type="spellStart"/>
      <w:r w:rsidRPr="009342F9">
        <w:rPr>
          <w:rFonts w:ascii="Arial" w:eastAsia="Times New Roman" w:hAnsi="Arial" w:cs="Arial"/>
          <w:color w:val="000000"/>
          <w:lang w:eastAsia="es-CO"/>
        </w:rPr>
        <w:t>desfijación</w:t>
      </w:r>
      <w:proofErr w:type="spellEnd"/>
      <w:r w:rsidRPr="009342F9">
        <w:rPr>
          <w:rFonts w:ascii="Arial" w:eastAsia="Times New Roman" w:hAnsi="Arial" w:cs="Arial"/>
          <w:color w:val="000000"/>
          <w:lang w:eastAsia="es-CO"/>
        </w:rPr>
        <w:t xml:space="preserve"> del mismo.  </w:t>
      </w:r>
    </w:p>
    <w:p w14:paraId="722649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E8D0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entidades territoriales adelantarán talleres informativos y de socialización sobre el proceso de legalización y los resultados del estudio urbanístico final, como mecanismo complementario de publicidad. </w:t>
      </w:r>
    </w:p>
    <w:p w14:paraId="7E5C272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10" w:name="ver_30210402"/>
      <w:bookmarkStart w:id="1411" w:name="ver_30074191"/>
      <w:bookmarkEnd w:id="1409"/>
      <w:bookmarkEnd w:id="1410"/>
    </w:p>
    <w:p w14:paraId="305770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2.2.6.5.2.5. Resolución de la legalización urbanística. El proceso de legalización culminará con la expedición de la resolución por parte de la autoridad competente, en la cual se determine si se legaliza o no el asentamiento humano. En este acto se resolverán las objeciones o recomendaciones que hagan los interesados y terceros que se hicieron parte en el procedimiento administrativo y estará sujeto a los recursos en el Código de Procedimiento Administrativo y de lo Contencioso Administrativo.  </w:t>
      </w:r>
    </w:p>
    <w:p w14:paraId="2590C8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5EA7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resolución de legalización contendrá, como mínimo, el reconocimiento oficial del asentamiento, la aprobación de los planos de loteo correspondientes, la reglamentación urbanística, las acciones de mejoramiento barrial, la identificación de áreas potenciales para la reubicación de viviendas y la información sobre el trámite posterior para el reconocimiento de la existencia de edificaciones, así como el estudio urbanístico final que hará parte integral de la resolución.  </w:t>
      </w:r>
    </w:p>
    <w:p w14:paraId="50553C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0666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en la resolución de legalización se contemplarán de manera expresa las obligaciones de la parte interesada o el responsable del trámite.  </w:t>
      </w:r>
    </w:p>
    <w:p w14:paraId="1D91AE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D72E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de legalización urbanística del asentamiento deberá incorporar las directrices y modalidades de intervención previstas en los tratamientos urbanísticos definidos por el plan de ordenamiento territorial del respectivo municipio o distrito.  </w:t>
      </w:r>
    </w:p>
    <w:p w14:paraId="721685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14EB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ningún caso la legalización urbanística constituirá título o modo de tradición de la propiedad.  </w:t>
      </w:r>
    </w:p>
    <w:p w14:paraId="6EA864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2A5A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autoridad competente publicará en el medio oficial establecido para el efecto la resolución por la cual se resuelve la solicitud de legalización.  </w:t>
      </w:r>
    </w:p>
    <w:p w14:paraId="6CEA0E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4CDE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Para todos los efectos legales, las áreas definidas como espacios públicos, vías públicas, obras de infraestructura de servicios públicos domiciliarios y equipamientos en la resolución de legalización y aprobados en el plano de loteo que se adopte, quedarán afectas a esta destinación y uso específico, aun cuando permanezcan dentro de predios privados.  </w:t>
      </w:r>
    </w:p>
    <w:p w14:paraId="220CBD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D5C0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plano de loteo aprobado mediante la resolución de legalización deberá remitirse al gestor catastral, según corresponda, para su incorporación o actualización. </w:t>
      </w:r>
    </w:p>
    <w:p w14:paraId="3A9D9AF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12" w:name="ver_30210403"/>
      <w:bookmarkEnd w:id="1411"/>
      <w:bookmarkEnd w:id="1412"/>
    </w:p>
    <w:p w14:paraId="4B4FD7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2.2.6.5.2.6. Régimen de transición. Las solicitudes de legalización urbanística de asentamientos humanos presentadas antes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presente modificación al Capítulo 5 del Título 6 de la Parte 2 del Libro 2 del Decreto número 1077 de 2015, continuarán rigiéndose por las disposiciones vigentes al momento de su radicación. </w:t>
      </w:r>
    </w:p>
    <w:p w14:paraId="5AA4887B"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413" w:name="ver_30074192"/>
      <w:bookmarkEnd w:id="1413"/>
    </w:p>
    <w:p w14:paraId="50FB7EDF" w14:textId="628D1D29"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6</w:t>
      </w:r>
    </w:p>
    <w:p w14:paraId="5B3F11F8" w14:textId="77777777" w:rsidR="00FC79C1" w:rsidRDefault="00FC79C1" w:rsidP="00D4095E">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CURADORES URBANOS</w:t>
      </w:r>
    </w:p>
    <w:p w14:paraId="117CC945" w14:textId="77777777" w:rsidR="005C5EEB" w:rsidRPr="009342F9" w:rsidRDefault="005C5EEB" w:rsidP="00D4095E">
      <w:pPr>
        <w:spacing w:after="0" w:line="240" w:lineRule="auto"/>
        <w:jc w:val="center"/>
        <w:rPr>
          <w:rFonts w:ascii="Arial" w:eastAsia="Times New Roman" w:hAnsi="Arial" w:cs="Arial"/>
          <w:b/>
          <w:bCs/>
          <w:color w:val="000000"/>
          <w:lang w:eastAsia="es-CO"/>
        </w:rPr>
      </w:pPr>
    </w:p>
    <w:p w14:paraId="1DA13295" w14:textId="68E59AF3"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4C1E4FA7"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41E2851F"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414" w:name="ver_30074193"/>
      <w:bookmarkEnd w:id="1414"/>
    </w:p>
    <w:p w14:paraId="2A19CC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2.2.6.6.1.1 Curador urbano. El curador urbano es un particular encargado de estudiar, tramitar y expedir licencias de parcelación, urbanización, construcción y subdivisión de predios, a petición del interesado en adelantar proyectos de esta índole. </w:t>
      </w:r>
    </w:p>
    <w:p w14:paraId="3ACFEC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1BCE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2.2.6.6.1.2 Naturaleza de la función del curador urbano. El curador urbano ejerce una función pública para la verificación del cumplimiento de las normas urbanísticas y de edificación vigentes, a través del otorgamiento de licencias de parcelación, urbanización, subdivisión y de construcción. </w:t>
      </w:r>
    </w:p>
    <w:p w14:paraId="2711B3C8" w14:textId="11420B0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15" w:name="ver_30074195"/>
      <w:bookmarkEnd w:id="1415"/>
    </w:p>
    <w:p w14:paraId="6D2AD0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2.2.6.6.1.3 Autonomía y responsabilidad del curador urbano. El curador urbano es autónomo en el ejercicio de sus funciones y responsable disciplinaria, fiscal, civil y penalmente por los daños y perjuicios que causen a los usuarios, a terceros o a la administración pública en el ejercicio de su función pública. </w:t>
      </w:r>
    </w:p>
    <w:p w14:paraId="173D7A59" w14:textId="782014E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16" w:name="ver_30074196"/>
      <w:bookmarkEnd w:id="1416"/>
    </w:p>
    <w:p w14:paraId="2C8B55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2.2.6.6.1.4 Interpretación de las normas. En el ejercicio de sus funciones, los curadores urbanos verificarán la concordancia de los proyectos de subdivisión, parcelación, urbanización, construcción y demás sometidos al trámite de licencias con las normas urbanísticas vigentes. Solamente en los casos de ausencia de normas exactamente aplicables a una situación o de contradicciones en la normativa urbanística, la facultad de interpretación corresponderá a las autoridades de planeación del municipio o distrito, las cuales emitirán sus conceptos mediante circulares que tendrán el carácter de doctrina para la interpretación de casos similares, de conformidad con el artículo 102 de la Ley 388 de 1997. </w:t>
      </w:r>
    </w:p>
    <w:p w14:paraId="7856B0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D0E2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Existe vacío normativo cuando no hay una disposición exactamente aplicable y contradicción cuando hay dos o más disposiciones que regulan un mismo tema que son incompatibles entre sí. En todo caso mediante estas circulares no se pueden ajustar o modificar las normas urbanísticas del Plan de Ordenamiento Territorial ni de los instrumentos que lo desarrollen y complementen. </w:t>
      </w:r>
    </w:p>
    <w:p w14:paraId="5899CD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6511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interpretación que realice la autoridad de planeación, en tanto se utilice para la expedición de licencias urbanísticas, tiene carácter vinculante y será de obligatorio cumplimiento, con el fin de darle seguridad a dicho trámite. </w:t>
      </w:r>
    </w:p>
    <w:p w14:paraId="6090565E" w14:textId="7BEFF7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17" w:name="ver_30074197"/>
      <w:bookmarkEnd w:id="1417"/>
    </w:p>
    <w:p w14:paraId="1C4E39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2.2.6.6.1.5. Jurisdicción. Para efectos del presente capítulo se entiende por jurisdicción el ámbito espacial sobre el cual puede actuar el curador urbano. La jurisdicción comprende la totalidad del territorio del municipio o distrito, salvo aquellas áreas que se señalen en las normas urbanísticas y en el Plan de Ordenamiento Territorial como no aptas para la ejecución de actuaciones urbanísticas o que tengan expresamente restricciones especiales. </w:t>
      </w:r>
    </w:p>
    <w:p w14:paraId="05A93623" w14:textId="3CB4CF61" w:rsidR="00FC79C1" w:rsidRPr="009342F9"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8E99C8" w14:textId="7B4225F1" w:rsidR="00FC79C1" w:rsidRPr="009342F9" w:rsidRDefault="00FC79C1" w:rsidP="00D4095E">
      <w:pPr>
        <w:spacing w:after="0" w:line="240" w:lineRule="auto"/>
        <w:jc w:val="center"/>
        <w:rPr>
          <w:rFonts w:ascii="Arial" w:eastAsia="Times New Roman" w:hAnsi="Arial" w:cs="Arial"/>
          <w:b/>
          <w:bCs/>
          <w:color w:val="000000"/>
          <w:lang w:eastAsia="es-CO"/>
        </w:rPr>
      </w:pPr>
      <w:bookmarkStart w:id="1418" w:name="ver_30074198"/>
      <w:bookmarkEnd w:id="1418"/>
      <w:r w:rsidRPr="009342F9">
        <w:rPr>
          <w:rFonts w:ascii="Arial" w:eastAsia="Times New Roman" w:hAnsi="Arial" w:cs="Arial"/>
          <w:b/>
          <w:bCs/>
          <w:color w:val="000000"/>
          <w:lang w:eastAsia="es-CO"/>
        </w:rPr>
        <w:t>SECCIÓN 2</w:t>
      </w:r>
    </w:p>
    <w:p w14:paraId="44AE7693"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DESIGNACIÓN DE CURADORES URBANOS</w:t>
      </w:r>
    </w:p>
    <w:p w14:paraId="7407C2C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19" w:name="ver_30074201"/>
      <w:bookmarkEnd w:id="1419"/>
    </w:p>
    <w:p w14:paraId="68C7991D" w14:textId="0A705295"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2.2.6.6.2.1 Número de curadores urbanos. Los municipios y distritos podrán establecer, previo concepto favorable del Ministerio de Vivienda, Ciudad y Territorio, el número de curadores urbanos en su jurisdicción, teniendo en cuenta la actividad edificadora, el volumen de las solicitudes de licencias urbanísticas, las necesidades del servicio y la sostenibilidad de las curadurías urbanas. </w:t>
      </w:r>
    </w:p>
    <w:p w14:paraId="121CE072" w14:textId="77777777" w:rsidR="00377DAA" w:rsidRPr="009342F9" w:rsidRDefault="00377DAA" w:rsidP="00FC79C1">
      <w:pPr>
        <w:spacing w:after="0" w:line="240" w:lineRule="auto"/>
        <w:jc w:val="both"/>
        <w:rPr>
          <w:rFonts w:ascii="Arial" w:eastAsia="Times New Roman" w:hAnsi="Arial" w:cs="Arial"/>
          <w:color w:val="000000"/>
          <w:lang w:eastAsia="es-CO"/>
        </w:rPr>
      </w:pPr>
    </w:p>
    <w:p w14:paraId="4C49EB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cuando el municipio o distrito opte por la figura del curador urbano, garantizará que este servicio sea prestado, al menos, por dos de ellos. </w:t>
      </w:r>
    </w:p>
    <w:p w14:paraId="01302236" w14:textId="484573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20" w:name="ver_30074202"/>
      <w:bookmarkEnd w:id="1420"/>
    </w:p>
    <w:p w14:paraId="2E9D34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2.2.6.6.2.2 Estudios técnicos. Los municipios o distritos que por primera vez designen curadores urbanos, deberán elaborar de manera previa a la convocatoria del concurso de méritos de que trata la siguiente sección, un estudio técnico que sustente la necesidad del servicio y la capacidad de sostenibilidad económica de las curadurías urbanas con base en la metodología que para tal fin disponga el Ministerio de Vivienda, Ciudad y Territorio. </w:t>
      </w:r>
    </w:p>
    <w:p w14:paraId="5FE3C1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842A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la emisión del concepto previo de que trata el inciso anterior, los municipios y distritos deberán remitir copia del estudio técnico al Ministerio de Vivienda, Ciudad y Territorio. La aprobación del estudio técnico y la asignación del factor municipal para la liquidación de las expensas por parte del Ministerio de Vivienda, Ciudad y Territorio, mediante resolución, será </w:t>
      </w:r>
      <w:proofErr w:type="gramStart"/>
      <w:r w:rsidRPr="009342F9">
        <w:rPr>
          <w:rFonts w:ascii="Arial" w:eastAsia="Times New Roman" w:hAnsi="Arial" w:cs="Arial"/>
          <w:color w:val="000000"/>
          <w:lang w:eastAsia="es-CO"/>
        </w:rPr>
        <w:t>requisito imprescindible</w:t>
      </w:r>
      <w:proofErr w:type="gramEnd"/>
      <w:r w:rsidRPr="009342F9">
        <w:rPr>
          <w:rFonts w:ascii="Arial" w:eastAsia="Times New Roman" w:hAnsi="Arial" w:cs="Arial"/>
          <w:color w:val="000000"/>
          <w:lang w:eastAsia="es-CO"/>
        </w:rPr>
        <w:t xml:space="preserve"> para la convocatoria al concurso. </w:t>
      </w:r>
    </w:p>
    <w:p w14:paraId="4C5999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6E6F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municipios o distritos que decidan designar curadores adicionales a los ya </w:t>
      </w:r>
      <w:proofErr w:type="gramStart"/>
      <w:r w:rsidRPr="009342F9">
        <w:rPr>
          <w:rFonts w:ascii="Arial" w:eastAsia="Times New Roman" w:hAnsi="Arial" w:cs="Arial"/>
          <w:color w:val="000000"/>
          <w:lang w:eastAsia="es-CO"/>
        </w:rPr>
        <w:t>existentes,</w:t>
      </w:r>
      <w:proofErr w:type="gramEnd"/>
      <w:r w:rsidRPr="009342F9">
        <w:rPr>
          <w:rFonts w:ascii="Arial" w:eastAsia="Times New Roman" w:hAnsi="Arial" w:cs="Arial"/>
          <w:color w:val="000000"/>
          <w:lang w:eastAsia="es-CO"/>
        </w:rPr>
        <w:t xml:space="preserve"> también deberán elaborar y remitir al Ministerio de Vivienda, Ciudad y Territorio copia del estudio técnico que justifique la nueva designación. La aprobación de ese estudio por parte del Ministro de Vivienda, Ciudad y Territorio, mediante resolución, será condición para la convocatoria al concurso. </w:t>
      </w:r>
    </w:p>
    <w:p w14:paraId="202742D2" w14:textId="12A57B9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21" w:name="ver_30125274"/>
      <w:bookmarkStart w:id="1422" w:name="ver_30125273"/>
      <w:bookmarkEnd w:id="1421"/>
    </w:p>
    <w:p w14:paraId="1D3B3940" w14:textId="580C779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2.2.6.6.2.3.</w:t>
      </w:r>
      <w:r w:rsidR="00F87F8B">
        <w:rPr>
          <w:rFonts w:ascii="Arial" w:eastAsia="Times New Roman" w:hAnsi="Arial" w:cs="Arial"/>
          <w:color w:val="000000"/>
          <w:lang w:eastAsia="es-CO"/>
        </w:rPr>
        <w:t xml:space="preserve"> </w:t>
      </w:r>
      <w:r w:rsidRPr="009342F9">
        <w:rPr>
          <w:rFonts w:ascii="Arial" w:eastAsia="Times New Roman" w:hAnsi="Arial" w:cs="Arial"/>
          <w:color w:val="000000"/>
          <w:lang w:eastAsia="es-CO"/>
        </w:rPr>
        <w:t>Periodo. Los curadores urbanos serán designados para el desempeño de esta función pública por el alcalde municipal o distrital, previo concurso de méritos adelantado por el Departamento Administrativo de la Función Pública para períodos individuales de cinco (5) años, en los términos previstos en la Ley 1796 de 2016, o la norma que la adicione, modifique o sustituya.  </w:t>
      </w:r>
    </w:p>
    <w:p w14:paraId="7FAABBA6"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3EDCF22" w14:textId="33B69280" w:rsidR="00FC79C1" w:rsidRPr="009342F9" w:rsidRDefault="00FC79C1" w:rsidP="00D4095E">
      <w:pPr>
        <w:spacing w:after="0" w:line="240" w:lineRule="auto"/>
        <w:jc w:val="center"/>
        <w:rPr>
          <w:rFonts w:ascii="Arial" w:eastAsia="Times New Roman" w:hAnsi="Arial" w:cs="Arial"/>
          <w:b/>
          <w:bCs/>
          <w:color w:val="000000"/>
          <w:lang w:eastAsia="es-CO"/>
        </w:rPr>
      </w:pPr>
      <w:bookmarkStart w:id="1423" w:name="ver_30074204"/>
      <w:bookmarkEnd w:id="1422"/>
      <w:bookmarkEnd w:id="1423"/>
      <w:r w:rsidRPr="009342F9">
        <w:rPr>
          <w:rFonts w:ascii="Arial" w:eastAsia="Times New Roman" w:hAnsi="Arial" w:cs="Arial"/>
          <w:b/>
          <w:bCs/>
          <w:color w:val="000000"/>
          <w:lang w:eastAsia="es-CO"/>
        </w:rPr>
        <w:t>SECCIÓN 3</w:t>
      </w:r>
    </w:p>
    <w:p w14:paraId="653020B1"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CONCURSO DE MÉRITOS</w:t>
      </w:r>
    </w:p>
    <w:p w14:paraId="0263223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24" w:name="ver_30125296"/>
      <w:bookmarkStart w:id="1425" w:name="ver_30125295"/>
      <w:bookmarkEnd w:id="1424"/>
    </w:p>
    <w:p w14:paraId="30251B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2.2.6.6.3.1. Concurso de méritos para la designación de curadores urbanos. A partir del 13 de julio de 2017, fecha de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Título IV de la Ley 1796 de 2016, el concurso de méritos para la designación del curador urbano se regirá por las siguientes reglas:  </w:t>
      </w:r>
    </w:p>
    <w:p w14:paraId="1AAC71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86FF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Corresponderá al alcalde municipal o distrital designar a los curadores urbanos de conformidad con el resultado del concurso que se adelante para la designación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dentro de su jurisdicción. Este concurso de méritos será adelantado por el Departamento Administrativo de la Función Pública y en lo que corresponde a la elaboración de las pruebas de conocimiento técnico y específico escritas para ser aplicadas a los aspirantes al concurso de méritos, el Departamento Administrativo de la Función Pública recibirá el apoyo de la Superintendencia de Notariado y Registro.  </w:t>
      </w:r>
    </w:p>
    <w:p w14:paraId="2A0729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C76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concurso para la designación de curadores urbanos se garantizará el análisis y evaluación de experiencia y capacidad demostrada en relación con la función del curador urbano, así como de los estudios de pregrado y posgrado. Los concursos incluirán las siguientes pruebas, de cuyos resultados deberá quedar archivo:  </w:t>
      </w:r>
    </w:p>
    <w:p w14:paraId="50B500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D8EA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Examen sobre normas nacionales, municipales y distritales en materia de desarrollo y planificación urbana y territorial y marco general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w:t>
      </w:r>
    </w:p>
    <w:p w14:paraId="7EB1C5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E80B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Examen sobre normas urbanísticas del Plan de Ordenamiento Territorial o los instrumentos que lo desarrollen y complemente.  </w:t>
      </w:r>
    </w:p>
    <w:p w14:paraId="551C67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AAD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Entrevista colegiada conformada por el alcalde municipal o distrital respectivo, y un (1) representante de la Superintendencia Delegada de Curadores Urbanos de la Superintendencia de Notariado y Registro.  </w:t>
      </w:r>
    </w:p>
    <w:p w14:paraId="5E0A2D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861E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gastos que demande el concurso para la designación de curadores urbanos se harán con cargo al presupuesto de la Superintendencia de Notariado y Registro y al Fondo Cuenta de Curadores.  </w:t>
      </w:r>
    </w:p>
    <w:p w14:paraId="7F3FD1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45B3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Corresponderá a la Superintendencia de Notariado y Registro, fijar las directrices del concurso para la designación de curadores urbanos, en cuanto a, entre otros, la forma de acreditar los requisitos, la fecha y lugar de realización del concurso y el cronograma respectivo.  </w:t>
      </w:r>
    </w:p>
    <w:p w14:paraId="631191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F97E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El concurso será abierto mediante convocatoria pública y quienes aspiren a ser designados como curadores urbanos deberán inscribirse en la oportunidad y lugar que señale la misma.  </w:t>
      </w:r>
    </w:p>
    <w:p w14:paraId="056945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9C4D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alcalde, para la designación del curador, deberá verificar que este cuenta con un grupo interdisciplinario especializado que apoyará su labor, el cual deberá estar conformado como mínimo por profesionales en materia jurídica, arquitectónica, y de ingeniería civil especializados en estructuras o temas relacionados, los cuales deberán acreditar una experiencia mínima de cinco (5) años contados a partir de la expedición de la tarjeta profesional.  </w:t>
      </w:r>
    </w:p>
    <w:p w14:paraId="315876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B8F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curador requiriere realizar modificaciones al grupo interdisciplinario, el nuevo profesional asignado deberá cumplir con las mismas o superiores calidades del profesional que se está reemplazando. En este evento, quien fuere designado curador, informará del reemplazo a la Superintendencia de Notariado y Registro.  </w:t>
      </w:r>
    </w:p>
    <w:p w14:paraId="24C4C53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26" w:name="ver_30125298"/>
      <w:bookmarkStart w:id="1427" w:name="ver_30125297"/>
      <w:bookmarkEnd w:id="1425"/>
      <w:bookmarkEnd w:id="1426"/>
    </w:p>
    <w:p w14:paraId="2BCF13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2.2.6.6.3.2. Convocatoria pública. Corresponderá a la Superintendencia de Notariado y Registro establecer los términos de la convocatoria pública al concurso de méritos antes del vencimiento del período individual de los curadores urbanos.  </w:t>
      </w:r>
    </w:p>
    <w:p w14:paraId="422C99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1528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Los curadores urbanos que se encuentren ejerciendo el cargo a la fecha de la apertura de la convocatoria del concurso de méritos podrán inscribirse y participar en el mismo, así como aspirar a una curaduría diferente de aquella en la que ejercen sus funciones.  </w:t>
      </w:r>
    </w:p>
    <w:p w14:paraId="7AAEB8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E69D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transitorio. En los procesos de selección de los Curadores Urbanos en los que se haya publicado la convocatoria del concurso antes de </w:t>
      </w:r>
      <w:proofErr w:type="gramStart"/>
      <w:r w:rsidRPr="009342F9">
        <w:rPr>
          <w:rFonts w:ascii="Arial" w:eastAsia="Times New Roman" w:hAnsi="Arial" w:cs="Arial"/>
          <w:color w:val="000000"/>
          <w:lang w:eastAsia="es-CO"/>
        </w:rPr>
        <w:t>entrar en vigencia</w:t>
      </w:r>
      <w:proofErr w:type="gramEnd"/>
      <w:r w:rsidRPr="009342F9">
        <w:rPr>
          <w:rFonts w:ascii="Arial" w:eastAsia="Times New Roman" w:hAnsi="Arial" w:cs="Arial"/>
          <w:color w:val="000000"/>
          <w:lang w:eastAsia="es-CO"/>
        </w:rPr>
        <w:t xml:space="preserve"> el Título IV de la Ley 1796 de 2016, se continuará el proceso de selección hasta su culminación aplicando las normas vigentes al momento de su publicación. Los procesos de selección en los cuales no se haya publicado la convocatoria deberán acogerse a lo dispuesto en la Ley 1796 de 2016.  </w:t>
      </w:r>
    </w:p>
    <w:p w14:paraId="35F3DB0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28" w:name="ver_30125300"/>
      <w:bookmarkStart w:id="1429" w:name="ver_30125299"/>
      <w:bookmarkEnd w:id="1427"/>
      <w:bookmarkEnd w:id="1428"/>
    </w:p>
    <w:p w14:paraId="67267D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2.2.6.6.3.3. Requisitos para concursar. Los aspirantes, en el término de inscripción, deberán acreditar el cumplimiento de los siguientes requisitos:  </w:t>
      </w:r>
    </w:p>
    <w:p w14:paraId="4AB6D3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E2CE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Ser ciudadano colombiano en ejercicio, o extranjero residente legalmente en el país, no mayor de 70 años y estar en pleno goce de los derechos civiles de acuerdo con la Constitución Nacional y las leyes civiles;  </w:t>
      </w:r>
    </w:p>
    <w:p w14:paraId="32177D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33A2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Poseer título profesional de arquitecto, ingeniero civil, abogado o en áreas de las ciencias sociales, económicas o de la administración y posgrado en derecho urbano, urbanismo, políticas de suelo, planificación territorial, regional o urbana, y la correspondiente matrícula, tarjeta o licencia profesional, en los casos de las profesiones reglamentadas;  </w:t>
      </w:r>
    </w:p>
    <w:p w14:paraId="39EA21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06F0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Acreditar una experiencia laboral mínima de diez (10) años en el ejercicio de actividades de desarrollo o la planificación urbana;  </w:t>
      </w:r>
    </w:p>
    <w:p w14:paraId="333C60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58B6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No estar incurso en alguna de las causales de inhabilidad determinadas en la ley;  </w:t>
      </w:r>
    </w:p>
    <w:p w14:paraId="1C5317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AFBF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Acreditar la colaboración del grupo interdisciplinario especializado que apoyará la labor del curador urbano;  </w:t>
      </w:r>
    </w:p>
    <w:p w14:paraId="035B15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4F85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Inscribirse y aprobar el concurso de designación de curadores urbanos de que trata la ley.  </w:t>
      </w:r>
    </w:p>
    <w:p w14:paraId="3A850AA7" w14:textId="765DE45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30" w:name="ver_30125302"/>
      <w:bookmarkStart w:id="1431" w:name="ver_30125301"/>
      <w:bookmarkEnd w:id="1429"/>
      <w:bookmarkEnd w:id="1430"/>
    </w:p>
    <w:p w14:paraId="1CF68834" w14:textId="715585F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2.2.6.6.3.4.</w:t>
      </w:r>
      <w:r w:rsidR="00F87F8B">
        <w:rPr>
          <w:rFonts w:ascii="Arial" w:eastAsia="Times New Roman" w:hAnsi="Arial" w:cs="Arial"/>
          <w:color w:val="000000"/>
          <w:lang w:eastAsia="es-CO"/>
        </w:rPr>
        <w:t xml:space="preserve"> </w:t>
      </w:r>
      <w:r w:rsidRPr="009342F9">
        <w:rPr>
          <w:rFonts w:ascii="Arial" w:eastAsia="Times New Roman" w:hAnsi="Arial" w:cs="Arial"/>
          <w:color w:val="000000"/>
          <w:lang w:eastAsia="es-CO"/>
        </w:rPr>
        <w:t>Calificación de los participantes en el concurso de méritos. La calificación de los aspirantes admitidos al concurso de méritos se realizará de acuerdo con los requisitos, factores de evaluación y criterios de calificación que se establezcan conjuntamente entre la Superintendencia de Notariado y Registro, el Departamento Administrativo de la Función Pública y el Ministerio de Vivienda, Ciudad y Territorio.  </w:t>
      </w:r>
    </w:p>
    <w:p w14:paraId="6A221C3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32" w:name="ver_30125304"/>
      <w:bookmarkStart w:id="1433" w:name="ver_30125303"/>
      <w:bookmarkEnd w:id="1431"/>
      <w:bookmarkEnd w:id="1432"/>
    </w:p>
    <w:p w14:paraId="39A272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2.2.6.6.3.5. Conformación de la lista de elegibles. En firme el acto administrativo que contiene los resultados totales del concurso de méritos, el Departamento Administrativo de la Función Pública procederá a elaborar la lista de elegibles, en estricto orden descendente, de conformidad con los puntajes obtenidos por los participantes en el concurso.  </w:t>
      </w:r>
    </w:p>
    <w:p w14:paraId="281656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F6C0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lista será publicada en un lugar visible al público en las alcaldías municipales o distritales, en las Oficinas de la Superintendencia de Notariado y Registro, y en la página web de las entidades mencionadas, por un término de cinco (5) días hábiles. En todo caso, los curadores serán designados en estricto orden descendente de calificación.  </w:t>
      </w:r>
    </w:p>
    <w:p w14:paraId="444FF2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0EA4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lista de elegibles tendrá una vigencia de tres (3) años contados a partir del momento en que quede en firme, y servirá para proveer el reemplazo de los curadores urbanos en el caso de presentarse faltas temporales y absolutas de conformidad con lo dispuesto en el parágrafo 3° del artículo 21 de la Ley 1796 de 2016.  </w:t>
      </w:r>
    </w:p>
    <w:p w14:paraId="2ED419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F60B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Vencido el término de vigencia de la lista de elegibles o agotada la lista de elegibles, si se presenta una falta absoluta o temporal del curador,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seleccionará su reemplazo entre las personas que hacen parte del grupo interdisciplinario, siempre y cuando cumpla con los requisitos legales establecidos para ser designado como curador urbano, caso en el cual la persona se desempeñará hasta agotarse el periodo por el que fue designado el curador y se realice un nuevo concurso.  </w:t>
      </w:r>
    </w:p>
    <w:p w14:paraId="7759831D" w14:textId="5AFA9B1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34" w:name="ver_30125306"/>
      <w:bookmarkStart w:id="1435" w:name="ver_30125305"/>
      <w:bookmarkEnd w:id="1433"/>
      <w:bookmarkEnd w:id="1434"/>
    </w:p>
    <w:p w14:paraId="4007F608" w14:textId="790257C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2.2.6.6.3.6.</w:t>
      </w:r>
      <w:r w:rsidR="00F87F8B">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Designación. El Departamento Administrativo de la Función Pública informará al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del municipio o distrito los resultados del concurso de tal forma que, en el marco de sus competencias, realice la designación de los curadores urbanos. Para estos efectos, se notificará personalmente a quien resulte elegible en el primer puesto, según los resultados del concurso, para que manifieste por escrito la aceptación de la designación como curador urbano, de acuerdo con los términos y condiciones señalados en la normativa relativa a la función pública.  </w:t>
      </w:r>
    </w:p>
    <w:p w14:paraId="79069EF2"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436" w:name="ver_30125308"/>
      <w:bookmarkStart w:id="1437" w:name="ver_30125307"/>
      <w:bookmarkEnd w:id="1435"/>
      <w:bookmarkEnd w:id="1436"/>
    </w:p>
    <w:p w14:paraId="33C95196" w14:textId="69EF87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2.2.6.6.3.7.</w:t>
      </w:r>
      <w:r w:rsidR="00F87F8B">
        <w:rPr>
          <w:rFonts w:ascii="Arial" w:eastAsia="Times New Roman" w:hAnsi="Arial" w:cs="Arial"/>
          <w:color w:val="000000"/>
          <w:lang w:eastAsia="es-CO"/>
        </w:rPr>
        <w:t xml:space="preserve"> </w:t>
      </w:r>
      <w:r w:rsidRPr="009342F9">
        <w:rPr>
          <w:rFonts w:ascii="Arial" w:eastAsia="Times New Roman" w:hAnsi="Arial" w:cs="Arial"/>
          <w:color w:val="000000"/>
          <w:lang w:eastAsia="es-CO"/>
        </w:rPr>
        <w:t>Continuidad. Con el fin de garantizar la continuidad del servicio, los curadores urbanos que fueren designados nuevamente en la misma curaduría, para continuar desempeñando la función pública de estudio, trámite y expedición de licencias, conservarán el número con el cual se identificaron desde la primera o anterior designación y proseguirán con el trámite de las solicitudes de licencias en curso que se adelantaban ante el mismo. En el acto de designación se dejará constancia del número correspondiente a cada curador urbano.  </w:t>
      </w:r>
    </w:p>
    <w:p w14:paraId="77C0B85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38" w:name="ver_30125376"/>
      <w:bookmarkStart w:id="1439" w:name="ver_30125372"/>
      <w:bookmarkEnd w:id="1437"/>
      <w:bookmarkEnd w:id="1438"/>
    </w:p>
    <w:p w14:paraId="376C1D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2.2.6.6.3.8 Suprimido  </w:t>
      </w:r>
    </w:p>
    <w:p w14:paraId="49B74693"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242E70F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40" w:name="ver_30125379"/>
      <w:bookmarkStart w:id="1441" w:name="ver_30125378"/>
      <w:bookmarkEnd w:id="1439"/>
      <w:bookmarkEnd w:id="1440"/>
      <w:r w:rsidRPr="009342F9">
        <w:rPr>
          <w:rFonts w:ascii="Arial" w:eastAsia="Times New Roman" w:hAnsi="Arial" w:cs="Arial"/>
          <w:color w:val="000000"/>
          <w:lang w:eastAsia="es-CO"/>
        </w:rPr>
        <w:t>Artículo 2.2.6.6.3.9 Suprimido </w:t>
      </w:r>
    </w:p>
    <w:p w14:paraId="4351C7F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42" w:name="ver_30125415"/>
      <w:bookmarkStart w:id="1443" w:name="ver_30125413"/>
      <w:bookmarkEnd w:id="1441"/>
      <w:bookmarkEnd w:id="1442"/>
    </w:p>
    <w:p w14:paraId="3370A4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2.2.6.6.3.10 Suprimido  </w:t>
      </w:r>
    </w:p>
    <w:p w14:paraId="03769DD0"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4C5A8F4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44" w:name="ver_30125436"/>
      <w:bookmarkStart w:id="1445" w:name="ver_30125433"/>
      <w:bookmarkEnd w:id="1443"/>
      <w:bookmarkEnd w:id="1444"/>
      <w:r w:rsidRPr="009342F9">
        <w:rPr>
          <w:rFonts w:ascii="Arial" w:eastAsia="Times New Roman" w:hAnsi="Arial" w:cs="Arial"/>
          <w:color w:val="000000"/>
          <w:lang w:eastAsia="es-CO"/>
        </w:rPr>
        <w:t>Artículo 2.2.6.6.3.11 Suprimido  </w:t>
      </w:r>
    </w:p>
    <w:p w14:paraId="167417D2"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446" w:name="ver_30125447"/>
      <w:bookmarkStart w:id="1447" w:name="ver_30125439"/>
      <w:bookmarkEnd w:id="1445"/>
      <w:bookmarkEnd w:id="1446"/>
    </w:p>
    <w:p w14:paraId="6FE755AD" w14:textId="0E0CA7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2.2.6.6.3.12 Suprimido  </w:t>
      </w:r>
    </w:p>
    <w:p w14:paraId="2A58E7D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48" w:name="ver_30125463"/>
      <w:bookmarkStart w:id="1449" w:name="ver_30125456"/>
      <w:bookmarkEnd w:id="1447"/>
      <w:bookmarkEnd w:id="1448"/>
    </w:p>
    <w:p w14:paraId="2FC2D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2.2.6.6.3.13Suprimido  </w:t>
      </w:r>
    </w:p>
    <w:p w14:paraId="208A2B9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50" w:name="ver_30125469"/>
      <w:bookmarkStart w:id="1451" w:name="ver_30125467"/>
      <w:bookmarkEnd w:id="1449"/>
      <w:bookmarkEnd w:id="1450"/>
    </w:p>
    <w:p w14:paraId="6FB71C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2.2.6.6.3.14 Suprimido  </w:t>
      </w:r>
    </w:p>
    <w:p w14:paraId="0A67DFF8"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452" w:name="ver_30187314"/>
      <w:bookmarkEnd w:id="1451"/>
      <w:bookmarkEnd w:id="1452"/>
    </w:p>
    <w:p w14:paraId="074E599E" w14:textId="7E1F0D64"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63D0AFE1"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REDESIGNACIÓN DE CURADORES URBANOS</w:t>
      </w:r>
    </w:p>
    <w:p w14:paraId="6718A27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53" w:name="ver_30187315"/>
      <w:bookmarkStart w:id="1454" w:name="ver_30074737"/>
      <w:bookmarkEnd w:id="1453"/>
    </w:p>
    <w:p w14:paraId="371EB8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2.2.6.6.4.1 Derogado </w:t>
      </w:r>
    </w:p>
    <w:p w14:paraId="3AF43D05" w14:textId="0A676F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55" w:name="ver_30187316"/>
      <w:bookmarkStart w:id="1456" w:name="ver_30074738"/>
      <w:bookmarkEnd w:id="1454"/>
      <w:bookmarkEnd w:id="1455"/>
    </w:p>
    <w:p w14:paraId="46D5B3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2.2.6.6.4.2 Derogado </w:t>
      </w:r>
    </w:p>
    <w:p w14:paraId="201AB3D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57" w:name="ver_30187317"/>
      <w:bookmarkStart w:id="1458" w:name="ver_30074739"/>
      <w:bookmarkEnd w:id="1456"/>
      <w:bookmarkEnd w:id="1457"/>
    </w:p>
    <w:p w14:paraId="3B70EA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2.2.6.6.4.3 Derogado </w:t>
      </w:r>
    </w:p>
    <w:p w14:paraId="3A73682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59" w:name="ver_30187318"/>
      <w:bookmarkStart w:id="1460" w:name="ver_30074748"/>
      <w:bookmarkEnd w:id="1458"/>
      <w:bookmarkEnd w:id="1459"/>
    </w:p>
    <w:p w14:paraId="786FF9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2.2.6.6.4.4 Derogado  </w:t>
      </w:r>
    </w:p>
    <w:p w14:paraId="6578B81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61" w:name="ver_30187319"/>
      <w:bookmarkStart w:id="1462" w:name="ver_30074755"/>
      <w:bookmarkEnd w:id="1460"/>
      <w:bookmarkEnd w:id="1461"/>
    </w:p>
    <w:p w14:paraId="633B97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2.2.6.6.4.5 Derogado  </w:t>
      </w:r>
    </w:p>
    <w:p w14:paraId="00417C08" w14:textId="77777777" w:rsidR="00FC79C1" w:rsidRPr="009342F9" w:rsidRDefault="00FC79C1" w:rsidP="00D4095E">
      <w:pPr>
        <w:spacing w:after="0" w:line="240" w:lineRule="auto"/>
        <w:jc w:val="center"/>
        <w:rPr>
          <w:rFonts w:ascii="Arial" w:eastAsia="Times New Roman" w:hAnsi="Arial" w:cs="Arial"/>
          <w:b/>
          <w:bCs/>
          <w:color w:val="000000"/>
          <w:lang w:eastAsia="es-CO"/>
        </w:rPr>
      </w:pPr>
    </w:p>
    <w:p w14:paraId="6901C0C8" w14:textId="0851ADD1" w:rsidR="00FC79C1" w:rsidRPr="009342F9" w:rsidRDefault="00FC79C1" w:rsidP="00D4095E">
      <w:pPr>
        <w:spacing w:after="0" w:line="240" w:lineRule="auto"/>
        <w:jc w:val="center"/>
        <w:rPr>
          <w:rFonts w:ascii="Arial" w:eastAsia="Times New Roman" w:hAnsi="Arial" w:cs="Arial"/>
          <w:b/>
          <w:bCs/>
          <w:color w:val="000000"/>
          <w:lang w:eastAsia="es-CO"/>
        </w:rPr>
      </w:pPr>
      <w:bookmarkStart w:id="1463" w:name="ver_30074768"/>
      <w:bookmarkEnd w:id="1462"/>
      <w:bookmarkEnd w:id="1463"/>
      <w:r w:rsidRPr="009342F9">
        <w:rPr>
          <w:rFonts w:ascii="Arial" w:eastAsia="Times New Roman" w:hAnsi="Arial" w:cs="Arial"/>
          <w:b/>
          <w:bCs/>
          <w:color w:val="000000"/>
          <w:lang w:eastAsia="es-CO"/>
        </w:rPr>
        <w:t>SECCIÓN 5</w:t>
      </w:r>
    </w:p>
    <w:p w14:paraId="034DB4AB"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SITUACIONES ADMINISTRATIVAS</w:t>
      </w:r>
    </w:p>
    <w:p w14:paraId="5718A8D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64" w:name="ver_30074771"/>
      <w:bookmarkEnd w:id="1464"/>
    </w:p>
    <w:p w14:paraId="6811F3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2.2.6.6.5.1 Faltas temporales. Se consideran faltas temporales de los curadores urbanos, las siguientes: </w:t>
      </w:r>
    </w:p>
    <w:p w14:paraId="13C043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EC19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licencia temporal en los términos previstos en el Estatuto del Notariado. </w:t>
      </w:r>
    </w:p>
    <w:p w14:paraId="69AC02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E2FB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suspensión provisional ordenada por autoridad competente. </w:t>
      </w:r>
    </w:p>
    <w:p w14:paraId="4515ECE5" w14:textId="7F0178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65" w:name="ver_30074774"/>
      <w:bookmarkEnd w:id="1465"/>
    </w:p>
    <w:p w14:paraId="752DD8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2.2.6.6.5.2 Designación provisional. En el caso de que trata el numeral 1 del artículo anterior, corresponderá al alcalde municipal o distrital designar al curador provisional, quien deberá reunir los mismos requisitos para ser curador urbano y podrá pertenecer al grupo interdisciplinario especializado adscrito a la curaduría. </w:t>
      </w:r>
    </w:p>
    <w:p w14:paraId="7ACBC9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F1F3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Tratándose de suspensión provisional ordenada por la autoridad competente, corresponderá al alcalde municipal o distrital designar como curador provisional al siguiente candidato de la lista de elegibles vigente mientras permanezca la medida. Si no hubiere candidatos disponibles en la lista de elegibles o si esta hubiese perdido su vigencia, el alcalde designará como curador provisional durante el término de suspensión, a uno de los demás curadores del municipio o distrito o a alguno de los miembros del grupo interdisciplinario del curador suspendido quien deberá reunir las mismas calidades exigidas para ser curador urbano. </w:t>
      </w:r>
    </w:p>
    <w:p w14:paraId="3B22F6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5E71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curador provisional estará sujeto al mismo régimen de inhabilidades, incompatibilidades, impedimentos y faltas disciplinarias de los curadores urbanos. </w:t>
      </w:r>
    </w:p>
    <w:p w14:paraId="68CD01DB" w14:textId="101D9D8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66" w:name="ver_30074775"/>
      <w:bookmarkEnd w:id="1466"/>
    </w:p>
    <w:p w14:paraId="1BCD2E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2.2.6.6.5.3 Faltas absolutas. Se consideran faltas absolutas de los curadores urbanos, las siguientes: </w:t>
      </w:r>
    </w:p>
    <w:p w14:paraId="2987C0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F13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renuncia aceptada en debida forma por el alcalde municipal o distrital. </w:t>
      </w:r>
    </w:p>
    <w:p w14:paraId="5C707D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87F0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destitución del cargo. </w:t>
      </w:r>
    </w:p>
    <w:p w14:paraId="143173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2A09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incapacidad médica por más de 180 días calendario. </w:t>
      </w:r>
    </w:p>
    <w:p w14:paraId="0FB330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54B5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muerte del curador urbano. </w:t>
      </w:r>
    </w:p>
    <w:p w14:paraId="14B2F1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F691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inhabilidad sobreviniente. </w:t>
      </w:r>
    </w:p>
    <w:p w14:paraId="2144DE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19FE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declaratoria de abandono injustificado del cargo por más de tres (3) días hábiles consecutivos, sin perjuicio de las sanciones que procedan. </w:t>
      </w:r>
    </w:p>
    <w:p w14:paraId="02554C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5EB7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La terminación del período individual para el cual fue designado. </w:t>
      </w:r>
    </w:p>
    <w:p w14:paraId="55A0EA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42C9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La orden o decisión judicial. </w:t>
      </w:r>
    </w:p>
    <w:p w14:paraId="51D5C45F" w14:textId="5CBE4C3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67" w:name="ver_30074776"/>
      <w:bookmarkEnd w:id="1467"/>
    </w:p>
    <w:p w14:paraId="10DB53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2.2.6.6.5.4 Designación del reemplazo en caso de falta absoluta. En caso de falta absoluta del curador urbano, el alcalde municipal o distrital designará en su reemplazo, y por un nuevo período individual, al siguiente candidato de la lista de elegibles vigente. </w:t>
      </w:r>
    </w:p>
    <w:p w14:paraId="491920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0E02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no hubiere candidatos disponibles en la lista de elegibles o cuando dicha lista hubiese perdido vigencia, el alcalde deberá convocar a un nuevo concurso dentro de los treinta (30) días hábiles siguientes a la fecha de presentarse la causal y mientras se surte el concurso, designará provisionalmente hasta que tome posesión el nuevo curador a alguno de los integrantes del grupo interdisciplinario especializado que haya apoyado la labor del curador saliente que reúna las mismas calidades exigidas para ser curador urbano o, en su defecto a uno de los demás curadores del municipio o distrito. </w:t>
      </w:r>
    </w:p>
    <w:p w14:paraId="087F97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EB2C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Mientras se designa el reemplazo provisional del curador urbano, se entenderán suspendidos los términos para resolver sobre las solicitudes de licencia y demás actuaciones que se </w:t>
      </w:r>
      <w:proofErr w:type="gramStart"/>
      <w:r w:rsidRPr="009342F9">
        <w:rPr>
          <w:rFonts w:ascii="Arial" w:eastAsia="Times New Roman" w:hAnsi="Arial" w:cs="Arial"/>
          <w:color w:val="000000"/>
          <w:lang w:eastAsia="es-CO"/>
        </w:rPr>
        <w:t>encontraran</w:t>
      </w:r>
      <w:proofErr w:type="gramEnd"/>
      <w:r w:rsidRPr="009342F9">
        <w:rPr>
          <w:rFonts w:ascii="Arial" w:eastAsia="Times New Roman" w:hAnsi="Arial" w:cs="Arial"/>
          <w:color w:val="000000"/>
          <w:lang w:eastAsia="es-CO"/>
        </w:rPr>
        <w:t xml:space="preserve"> en trámite. </w:t>
      </w:r>
    </w:p>
    <w:p w14:paraId="56153F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27D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anterior, sin perjuicio de la responsabilidad disciplinaria que se derive para los funcionarios que incumplan con la obligación de designar el reemplazo provisional de manera inmediata y convocar el concurso dentro del término establecido para el efecto en el presente decreto. </w:t>
      </w:r>
    </w:p>
    <w:p w14:paraId="2E381B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862E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Ante la falta absoluta de todos los curadores urbanos de un municipio o distrito, y cuando no fuere posible cumplir con lo previsto en este artículo para la designación provisional de los mismos, la administración municipal o distrital asumirá de manera inmediata la prestación del servicio hasta tanto se designen los curadores urbanos en propiedad. En estos casos, la administración municipal o distrital no podrá cobrar expensas por el estudio, trámite y expedición de las licencias y otras actuaciones. </w:t>
      </w:r>
    </w:p>
    <w:p w14:paraId="177BBE82" w14:textId="71D5A92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68" w:name="ver_30074777"/>
      <w:bookmarkEnd w:id="1468"/>
    </w:p>
    <w:p w14:paraId="014845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2.2.6.6.5.5 Entrega de archivos. Sin perjuicio de lo dispuesto en la Ley 594 de 2000 y su reglamento, el curador urbano saliente deberá entregar a quien se haya posesionado en su reemplazo, definitiva o provisionalmente, los expedientes que estuvieran cursando trámite. En caso de faltas absolutas y cuando no se hubiere designado el reemplazo del curador urbano saliente, este último deberá remitir los expedientes que estuvieren en curso, de manera inmediata, a la autoridad municipal o distrital de planeación, o la entidad que haga sus veces, la cual podrá asignar el asunto o distribuirlo por reparto entre los curadores urbanos que continúen prestando esta función. </w:t>
      </w:r>
    </w:p>
    <w:p w14:paraId="4CA171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9DE3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pago de las expensas correspondientes a los expedientes en trámite de que trata este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se realizará de acuerdo con lo previsto en este decreto. </w:t>
      </w:r>
    </w:p>
    <w:p w14:paraId="243706DE" w14:textId="613B98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69" w:name="ver_30074778"/>
      <w:bookmarkEnd w:id="1469"/>
    </w:p>
    <w:p w14:paraId="6E0F3F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2.2.6.6.5.6 Obligación del curador saliente. Tratándose de renuncia, permiso y terminación del período deberá el curador facilitar, permitir y procurar la continuidad de la prestación del servicio hasta tanto asuma la responsabilidad quien habrá de reemplazarlo. </w:t>
      </w:r>
    </w:p>
    <w:p w14:paraId="20023EE9" w14:textId="7A99D3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0" w:name="ver_30074780"/>
      <w:bookmarkEnd w:id="1470"/>
    </w:p>
    <w:p w14:paraId="11342C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2.2.6.6.5.7 Régimen de inhabilidades, incompatibilidades e impedimentos. En ejercicio de sus funciones, a los curadores urbanos se les aplicará, en lo pertinente, el régimen de inhabilidades, incompatibilidades e impedimentos previsto para los particulares que desempeñan funciones públicas en la ley. </w:t>
      </w:r>
    </w:p>
    <w:p w14:paraId="73FC108F" w14:textId="77777777" w:rsidR="00377DAA"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1" w:name="ver_30074781"/>
      <w:bookmarkEnd w:id="1471"/>
    </w:p>
    <w:p w14:paraId="0628FE1C" w14:textId="4085E166" w:rsidR="00FC79C1" w:rsidRPr="009342F9" w:rsidRDefault="00FC79C1" w:rsidP="00377DAA">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6</w:t>
      </w:r>
    </w:p>
    <w:p w14:paraId="6DA920DB"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PRESTACIÓN DEL SERVICIO</w:t>
      </w:r>
    </w:p>
    <w:p w14:paraId="0C5E639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72" w:name="ver_30074782"/>
      <w:bookmarkEnd w:id="1472"/>
    </w:p>
    <w:p w14:paraId="1C1FD0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2.2.6.6.6.1 Reparto de las solicitudes de licencia o de actos de reconocimiento de proyectos de las entidades estatales y de vivienda de interés social individual. Las solicitudes de licencias o de actos de reconocimiento que presenten las entidades estatales o los particulares para proyectos de vivienda de interés social individual, deberán someterse a reparto entre los distintos curadores urbanos del municipio o distrito, en estricto orden de radicación de la solicitud ante el curador urbano responsable del reparto en los términos previstos en este artículo. </w:t>
      </w:r>
    </w:p>
    <w:p w14:paraId="0B7F68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D469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interesada o el particular solamente presentarán el Formulario Único Nacional de Solicitud de Licencia diligenciado ante el curador urbano encargado del reparto, quien de manera inmediata hará el mismo, indicando el curador urbano ante quien debe radicar la solicitud. Al curador al que se asigne el proyecto le corresponde revisar que el mismo cumpla con las condiciones de legal y debida forma previstas en este decreto. </w:t>
      </w:r>
    </w:p>
    <w:p w14:paraId="3CEE43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A2C3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curador urbano responsable del reparto llevará dos consecutivos uno para el reparto de las solicitudes que presenten las entidades estatales y otro para el reparto de los proyectos de vivienda de interés social individual. En cada uno se consignará el número </w:t>
      </w:r>
      <w:proofErr w:type="spellStart"/>
      <w:r w:rsidRPr="009342F9">
        <w:rPr>
          <w:rFonts w:ascii="Arial" w:eastAsia="Times New Roman" w:hAnsi="Arial" w:cs="Arial"/>
          <w:color w:val="000000"/>
          <w:lang w:eastAsia="es-CO"/>
        </w:rPr>
        <w:t>del</w:t>
      </w:r>
      <w:proofErr w:type="spellEnd"/>
      <w:r w:rsidRPr="009342F9">
        <w:rPr>
          <w:rFonts w:ascii="Arial" w:eastAsia="Times New Roman" w:hAnsi="Arial" w:cs="Arial"/>
          <w:color w:val="000000"/>
          <w:lang w:eastAsia="es-CO"/>
        </w:rPr>
        <w:t xml:space="preserve"> folio de matrícula inmobiliaria del predio, la fecha y hora de recibo de la solicitud y la designación del curador urbano en razón al orden numérico que los identifica. Si por cualquier causa se desiste del proyecto, la nueva o nuevas solicitudes sobre el mismo predio no requerirán reparto y se tramitarán ante el mismo curador. Las prórrogas, modificaciones y revalidaciones de licencias correspondientes a esta clase de proyectos se tramitarán ante el Curador Urbano que expidió la licencia o quien haya sido designado provisional o definitivamente mediante acto administrativo. </w:t>
      </w:r>
    </w:p>
    <w:p w14:paraId="4E443C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E185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pago del cargo fijo “CF” de que trata el presente decreto deberá cancelarse ante el curador urbano que adelante el trámite. </w:t>
      </w:r>
    </w:p>
    <w:p w14:paraId="28C18A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DC7E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Corresponderá a los curadores urbanos del municipio o distrito ejercer la función de reparto comenzando con el curador primero de cada municipio o distrito. Esta función se ejercerá por períodos anuales de enero a diciembre. Culminado el primer año se seguirá en orden consecutivo atendiendo a la numeración de los curadores urbanos. </w:t>
      </w:r>
    </w:p>
    <w:p w14:paraId="5CF2EF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DEF6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partir del 3 de mayo de 2010, el curador urbano que actualmente está ejerciendo la función de reparto en cada municipio o distrito continuará con la misma hasta el 31 de diciembre de 2010, fecha a partir de la cual se aplicará el sistema de rotación de que trata este parágrafo. </w:t>
      </w:r>
    </w:p>
    <w:p w14:paraId="7AA693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824D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falta de reparto o la inobservancia de las reglas que lo rigen harán incurrir al curador urbano responsable del mismo o al funcionario público de la entidad solicitante de la licencia responsable del proyecto en causal de mala conducta, de conformidad con las disposiciones del Código Único Disciplinario. </w:t>
      </w:r>
    </w:p>
    <w:p w14:paraId="18D7F9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7F7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solicitudes de reconocimiento de cada una de las viviendas que hagan parte de los proyectos de mejoramiento de que trata el presente decreto, o que hagan parte de proyectos que sean objeto del subsidio de mejoramiento otorgado por los municipios y distritos, podrán ser radicadas de manera colectiva por parte del oferente, sin sujeción a las normas que regulan el reparto de que trata el presente artículo ante cualquier curador urbano. </w:t>
      </w:r>
    </w:p>
    <w:p w14:paraId="25DC1B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36A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acto de reconocimiento se otorgará para cada una de las viviendas que hacen parte del proyecto en los términos de este decreto y demás normas que los modifiquen, adicionen o sustituyan. </w:t>
      </w:r>
    </w:p>
    <w:p w14:paraId="41490C52" w14:textId="4DD745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3" w:name="ver_30074783"/>
      <w:bookmarkEnd w:id="1473"/>
    </w:p>
    <w:p w14:paraId="2A6A77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2.2.6.6.6.2 Despacho al público del curador urbano. Sin perjuicio de lo dispuesto en el artículo 9º de la Ley 962 de 2005, los curadores urbanos tendrán las horas de despacho público que sean necesarias para un buen servicio, sin que su jornada pueda ser inferior a ocho (8) horas diarias en jornada laboral diurna. </w:t>
      </w:r>
    </w:p>
    <w:p w14:paraId="517B82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5D5C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Salvo lo dispuesto en el parágrafo siguiente, las diferentes dependencias del despacho del curador funcionarán conservando una unidad locativa única y no podrán establecer sedes alternas o puntos descentralizados de la curaduría. </w:t>
      </w:r>
    </w:p>
    <w:p w14:paraId="3AC4FC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0643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alcaldes de los municipios y distritos cuya población en la cabecera urbana supere el millón de habitantes, podrán autorizar a cada curador urbano para que establezca un punto alterno de servicio, con el fin de ampliar la cobertura del servicio y, en especial, apoyar la ejecución de las políticas habitacionales locales en materia de vivienda de interés social, mejoramiento integral de barrios y reconocimiento de edificaciones. En cualquier caso, los puntos alternos sólo tendrán por objeto facilitar a los ciudadanos la consulta ágil de información relacionada con los diferentes trámites ante los curadores urbanos y la radicación de las solicitudes de licencias. </w:t>
      </w:r>
    </w:p>
    <w:p w14:paraId="6C020DD7" w14:textId="5409679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4" w:name="ver_30074784"/>
      <w:bookmarkEnd w:id="1474"/>
    </w:p>
    <w:p w14:paraId="25D9D4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2.2.6.6.6.3 Recurso humano del curador urbano. Los curadores urbanos deberán contar con el grupo interdisciplinario especializado que apoyará su labor, como mínimo en materia jurídica, arquitectónica y de la ingeniería civil especializada en estructuras. Al menos uno de los miembros del grupo interdisciplinario deberá reunir las mismas calidades del curador para suplirlo en los casos de faltas temporales, en los términos de que trata la Sección 5 del presente Capítulo. </w:t>
      </w:r>
    </w:p>
    <w:p w14:paraId="4A101ED6" w14:textId="3267077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5" w:name="ver_30074785"/>
      <w:bookmarkEnd w:id="1475"/>
    </w:p>
    <w:p w14:paraId="677BC4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2.2.6.6.6.4 Conexión electrónica con las oficinas de planeación. Los municipios y distritos, al momento de convocar el concurso de que trata la Sección 3 del presente Capítulo, establecerán las exigencias mínimas que deben cumplir los curadores urbanos durante su período individual en cuanto a tecnología de transmisión electrónica de datos y equipos de cómputo para garantizar la conexión electrónica con las oficinas de planeación municipales o distritales, o las que hagan sus veces, de manera que puedan acceder a la información que requieran para la expedición de las licencias. En todo caso, los municipios y distritos deberán garantizar la disponibilidad de medios tecnológicos o electrónicos para hacer efectiva dicha conexión. </w:t>
      </w:r>
    </w:p>
    <w:p w14:paraId="1691886F" w14:textId="3635444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6" w:name="ver_30074786"/>
      <w:bookmarkEnd w:id="1476"/>
    </w:p>
    <w:p w14:paraId="682BD1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2.2.6.6.6.5 Utilización de sistemas electrónicos de archivos y transmisión de datos. De conformidad con lo previsto en el artículo 6º de la Ley 962 de 2005, los curadores urbanos deberán habilitar sistemas de transmisión electrónica de datos para que los usuarios envíen o reciban la información requerida en sus actuaciones frente a las materias objeto de la curaduría. </w:t>
      </w:r>
    </w:p>
    <w:p w14:paraId="7AAD7DEE" w14:textId="3143248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77" w:name="ver_30074788"/>
      <w:bookmarkEnd w:id="1477"/>
    </w:p>
    <w:p w14:paraId="6CC500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2.2.6.6.6.6 Actuación coordinada. Los curadores urbanos deberán actuar en completa coordinación entre ellos mismos y con las entidades que intervienen en el desarrollo municipal o distrital. </w:t>
      </w:r>
    </w:p>
    <w:p w14:paraId="5CA1F4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2749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perjuicio de lo dispuesto en el presente decreto y en la Resolución 0984 de 2005 del Ministerio de Ambiente, Vivienda y Desarrollo Territorial o la norma que la adicione, modifique o sustituya, los curadores urbanos que ejerzan su función en un determinado municipio o distrito unificarán criterios para la aplicación de la normatividad urbanística y homologarán los mecanismos y demás formularios y procedimientos que sean necesarios para asegurar el acceso al servicio, en las mismas condiciones en cada una de las curadurías del respectivo municipio o distrito. </w:t>
      </w:r>
    </w:p>
    <w:p w14:paraId="1A435C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4639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perjuicio de lo dispuesto en el presente decreto, los curadores urbanos deberán verificar, en todos los casos, si los proyectos objeto de una solicitud de licencia han cursado trámite con anterioridad ante los demás curadores del municipio o distrito, con el fin de considerar tales antecedentes en la decisión que se pretenda adoptar. </w:t>
      </w:r>
    </w:p>
    <w:p w14:paraId="35A388B7" w14:textId="148184E4" w:rsidR="00FC79C1" w:rsidRPr="009342F9"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C0B6A3" w14:textId="6B24E1EA" w:rsidR="00FC79C1" w:rsidRPr="009342F9" w:rsidRDefault="00FC79C1" w:rsidP="00D4095E">
      <w:pPr>
        <w:spacing w:after="0" w:line="240" w:lineRule="auto"/>
        <w:jc w:val="center"/>
        <w:rPr>
          <w:rFonts w:ascii="Arial" w:eastAsia="Times New Roman" w:hAnsi="Arial" w:cs="Arial"/>
          <w:b/>
          <w:bCs/>
          <w:color w:val="000000"/>
          <w:lang w:eastAsia="es-CO"/>
        </w:rPr>
      </w:pPr>
      <w:bookmarkStart w:id="1478" w:name="ver_30074789"/>
      <w:bookmarkEnd w:id="1478"/>
      <w:r w:rsidRPr="009342F9">
        <w:rPr>
          <w:rFonts w:ascii="Arial" w:eastAsia="Times New Roman" w:hAnsi="Arial" w:cs="Arial"/>
          <w:b/>
          <w:bCs/>
          <w:color w:val="000000"/>
          <w:lang w:eastAsia="es-CO"/>
        </w:rPr>
        <w:t>SECCIÓN 7</w:t>
      </w:r>
    </w:p>
    <w:p w14:paraId="452B631B"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VIGILANCIA Y CONTROL</w:t>
      </w:r>
    </w:p>
    <w:p w14:paraId="2C85DF1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79" w:name="ver_30125276"/>
      <w:bookmarkStart w:id="1480" w:name="ver_30125275"/>
      <w:bookmarkEnd w:id="1479"/>
    </w:p>
    <w:p w14:paraId="26CD79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2.2.6.6.7.1 Vigilancia y control. El alcalde municipal o distrital, o su delegado permanente, será el encargado de vigilar y controlar el cumplimiento de las normas urbanísticas por parte de los curadores urbanos. </w:t>
      </w:r>
    </w:p>
    <w:p w14:paraId="33C2FF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74FD6B" w14:textId="5A907CFE" w:rsidR="00FC79C1" w:rsidRPr="009342F9" w:rsidRDefault="00FC79C1" w:rsidP="00FC79C1">
      <w:pPr>
        <w:spacing w:after="0" w:line="240" w:lineRule="auto"/>
        <w:jc w:val="both"/>
        <w:rPr>
          <w:rFonts w:ascii="Arial" w:eastAsia="Times New Roman" w:hAnsi="Arial" w:cs="Arial"/>
          <w:color w:val="000000"/>
          <w:lang w:eastAsia="es-CO"/>
        </w:rPr>
      </w:pPr>
      <w:bookmarkStart w:id="1481" w:name="ver_30074793"/>
      <w:bookmarkEnd w:id="1480"/>
      <w:bookmarkEnd w:id="1481"/>
      <w:r w:rsidRPr="009342F9">
        <w:rPr>
          <w:rFonts w:ascii="Arial" w:eastAsia="Times New Roman" w:hAnsi="Arial" w:cs="Arial"/>
          <w:color w:val="000000"/>
          <w:lang w:eastAsia="es-CO"/>
        </w:rPr>
        <w:t>Artículo 2.2.6.6.7.2.</w:t>
      </w:r>
      <w:r w:rsidR="00F87F8B">
        <w:rPr>
          <w:rFonts w:ascii="Arial" w:eastAsia="Times New Roman" w:hAnsi="Arial" w:cs="Arial"/>
          <w:color w:val="000000"/>
          <w:lang w:eastAsia="es-CO"/>
        </w:rPr>
        <w:t xml:space="preserve"> </w:t>
      </w:r>
      <w:r w:rsidRPr="009342F9">
        <w:rPr>
          <w:rFonts w:ascii="Arial" w:eastAsia="Times New Roman" w:hAnsi="Arial" w:cs="Arial"/>
          <w:color w:val="000000"/>
          <w:lang w:eastAsia="es-CO"/>
        </w:rPr>
        <w:t>Régimen disciplinario de los curadores urbanos. A los curadores urbanos se les aplica en el ejercicio de sus funciones públicas y en lo pertinente, el régimen disciplinario de la Ley 734 de 2002 o la norma que la adicione, modifique o sustituya. </w:t>
      </w:r>
    </w:p>
    <w:p w14:paraId="4581B579" w14:textId="77777777" w:rsidR="00377DAA" w:rsidRDefault="00377DAA" w:rsidP="00FC79C1">
      <w:pPr>
        <w:spacing w:after="0" w:line="240" w:lineRule="auto"/>
        <w:jc w:val="both"/>
        <w:rPr>
          <w:rFonts w:ascii="Arial" w:eastAsia="Times New Roman" w:hAnsi="Arial" w:cs="Arial"/>
          <w:color w:val="000000"/>
          <w:lang w:eastAsia="es-CO"/>
        </w:rPr>
      </w:pPr>
      <w:bookmarkStart w:id="1482" w:name="ver_30074795"/>
      <w:bookmarkEnd w:id="1482"/>
    </w:p>
    <w:p w14:paraId="6E27C61E" w14:textId="04D048B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2.2.6.6.7.3 Coordinación y seguimiento del curador urbano. Al Ministerio Vivienda, Ciudad y Territorio le corresponde coordinar y hacer seguimiento de los curadores urbanos, con el objetivo de orientar y apoyar su adecuado funcionamiento al interior de las administraciones locales. </w:t>
      </w:r>
    </w:p>
    <w:p w14:paraId="06E868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1037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desarrollo de las funciones de coordinación y seguimiento, el Ministerio Vivienda, Ciudad y Territorio podrá recomendar a los alcaldes municipales o distritales la creación y designación de nuevas curadurías urbanas y deberá informar a los alcaldes y demás entidades competentes de control sobre la ocurrencia de hechos que ameriten investigaciones a los curadores por las presuntas faltas cometidas en el desempeño de sus funciones. </w:t>
      </w:r>
    </w:p>
    <w:p w14:paraId="69846B03" w14:textId="6D1B1B19" w:rsidR="00D4095E" w:rsidRPr="009342F9" w:rsidRDefault="00FC79C1" w:rsidP="00377DAA">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483" w:name="ver_30074797"/>
      <w:bookmarkEnd w:id="1483"/>
    </w:p>
    <w:p w14:paraId="7BAC91A0" w14:textId="00FBC260"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8</w:t>
      </w:r>
    </w:p>
    <w:p w14:paraId="265BAE3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EXPENSAS POR TRÁMITES ANTE LOS CURADORES URBANOS</w:t>
      </w:r>
    </w:p>
    <w:p w14:paraId="2637875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84" w:name="ver_30125284"/>
      <w:bookmarkStart w:id="1485" w:name="ver_30125283"/>
      <w:bookmarkEnd w:id="1484"/>
    </w:p>
    <w:p w14:paraId="3B50DFA4" w14:textId="741812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w:t>
      </w:r>
      <w:r w:rsidR="00F87F8B">
        <w:rPr>
          <w:rFonts w:ascii="Arial" w:eastAsia="Times New Roman" w:hAnsi="Arial" w:cs="Arial"/>
          <w:color w:val="000000"/>
          <w:lang w:eastAsia="es-CO"/>
        </w:rPr>
        <w:t xml:space="preserve"> </w:t>
      </w:r>
      <w:r w:rsidRPr="009342F9">
        <w:rPr>
          <w:rFonts w:ascii="Arial" w:eastAsia="Times New Roman" w:hAnsi="Arial" w:cs="Arial"/>
          <w:color w:val="000000"/>
          <w:lang w:eastAsia="es-CO"/>
        </w:rPr>
        <w:t>Expensas por los trámites ante los curadores urbanos. Las expensas percibidas por los curadores urbanos se destinarán a cubrir los gastos que demande la prestación del servicio, incluyendo el pago de su grupo interdisciplinario de apoyo y la remuneración del curador urbano.  </w:t>
      </w:r>
    </w:p>
    <w:p w14:paraId="28A05C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146C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a partir del 3 de mayo de 2010, el curador urbano deberá reflejar en su contabilidad qué porcentaje de los ingresos provenientes de la liquidación del Cargo Variable “CV” de que trata el numeral 2 del artículo 2.2.6.6.8.3 del presente decreto, corresponde a:  </w:t>
      </w:r>
    </w:p>
    <w:p w14:paraId="499070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39F0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gastos que demanda la prestación del servicio, y  </w:t>
      </w:r>
    </w:p>
    <w:p w14:paraId="5ACEB8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8422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remuneración del curador.  </w:t>
      </w:r>
    </w:p>
    <w:p w14:paraId="332F4A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3F71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igual manera se procederá tratándose de la liquidación de expensas por la expedición de licencias de subdivisión, licencias de construcción individual de vivienda de interés social, el reconocimiento de edificaciones, prórroga y la autorización de las actuaciones de que tratan los artículos 2.2.6.6.8.11 a 2.2.6.6.8.15 de este decreto.  </w:t>
      </w:r>
    </w:p>
    <w:p w14:paraId="74EB90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1A7C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pago al curador urbano del cargo fijo “Cf establecido en el numeral 1 del artículo 2.2.6.6.8.3 del presente decreto, siempre se destinará a cubrir los gastos que demande la prestación del servicio.  </w:t>
      </w:r>
    </w:p>
    <w:p w14:paraId="6F21E0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9F9A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expensas reguladas en el presente decreto son únicas y serán liquidadas por el curador urbano y pagadas a este por el solicitante del trámite o la licencia, de conformidad con los términos que se establecen en los artículos siguientes.  </w:t>
      </w:r>
    </w:p>
    <w:p w14:paraId="62FE50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5D03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ningún caso los curadores urbanos podrán incluir dentro de los gastos para la prestación del servicio, el pago de honorarios a su favor distintos de lo que les corresponde a título de remuneración según lo señalado en el presente artículo; salvo cuando el curador urbano actué como revisor independiente de diseños estructurales, caso en el cual pactará con el solicitante la remuneración correspondiente a dicha labor de acuerdo con lo reglamentado por la Comisión Asesora Permanente para el Régimen de Construcción Sismorresistente.  </w:t>
      </w:r>
    </w:p>
    <w:p w14:paraId="7869BD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8D3D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En ningún caso las autoridades municipales o distritales encargadas del estudio, trámite y expedición de las licencias están autorizadas para hacer cobros de expensas.  </w:t>
      </w:r>
    </w:p>
    <w:p w14:paraId="59CE14ED"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486" w:name="ver_30109508"/>
      <w:bookmarkStart w:id="1487" w:name="ver_30109507"/>
      <w:bookmarkEnd w:id="1485"/>
      <w:bookmarkEnd w:id="1486"/>
    </w:p>
    <w:p w14:paraId="416136F4" w14:textId="180A2F8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2.2.6.6.8.2. Pago de los impuestos, gravámenes, tasas, participaciones y contribuciones asociadas a la expedición de licencias. El pago de los impuestos, gravámenes, tasas, participaciones y contribuciones asociados a la expedición de </w:t>
      </w:r>
      <w:proofErr w:type="gramStart"/>
      <w:r w:rsidRPr="009342F9">
        <w:rPr>
          <w:rFonts w:ascii="Arial" w:eastAsia="Times New Roman" w:hAnsi="Arial" w:cs="Arial"/>
          <w:color w:val="000000"/>
          <w:lang w:eastAsia="es-CO"/>
        </w:rPr>
        <w:t>licencias,</w:t>
      </w:r>
      <w:proofErr w:type="gramEnd"/>
      <w:r w:rsidRPr="009342F9">
        <w:rPr>
          <w:rFonts w:ascii="Arial" w:eastAsia="Times New Roman" w:hAnsi="Arial" w:cs="Arial"/>
          <w:color w:val="000000"/>
          <w:lang w:eastAsia="es-CO"/>
        </w:rPr>
        <w:t xml:space="preserve"> será independiente del pago de las expensas por los trámites ante el curador urbano.  </w:t>
      </w:r>
    </w:p>
    <w:p w14:paraId="498617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4D6D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los trámites ante los curadores urbanos causen impuestos, gravámenes, tasas, participaciones o contribuciones, los curadores sólo podrán expedir la licencia cuando el interesado demuestre la cancelación de las correspondientes obligaciones, para lo cual contará con un término de treinta (30) días hábiles, contados a partir del requerimiento de aportar los comprobantes de pago por tales conceptos. Dentro de este mismo término se deberán cancelar al curador urbano las expensas correspondientes al cargo variable.  </w:t>
      </w:r>
    </w:p>
    <w:p w14:paraId="0D7BD0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E8B7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Sin perjuicio de la responsabilidad disciplinaria a que haya lugar por el incumplimiento de lo dispuesto en el presente artículo, el curador urbano solamente debe verificar que el contribuyente acredite el pago de las obligaciones tributarias que se causen con ocasión de la expedición de la licencia.  </w:t>
      </w:r>
    </w:p>
    <w:p w14:paraId="37D72E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29B6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Sin perjuicio de lo dispuesto en normas especiales, los ++murnc1p1os y distritos establecerán los procedimientos para que los curadores urbanos suministren a la autoridad municipal o distrital competente, la información necesaria para facilitar el control oportuno de la declaración, liquidación y pago de las obligaciones tributarias asociadas a la expedición de licencias urbanísticas , sin que lo anterior comporte la presentación de nuevos requisitos, trámites o documentos por parte de quienes soliciten la respectiva licencia.  </w:t>
      </w:r>
    </w:p>
    <w:p w14:paraId="3C52AB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9A4D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El pago de la participación en plusvalía sólo será exigible cuando la liquidación esté inscrita en el folio de matrícula inmobiliaria del predio objeto de licencia teniendo en cuenta lo siguiente:  </w:t>
      </w:r>
    </w:p>
    <w:p w14:paraId="1CA4E6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253E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trámites de licencia urbanísticas, el pago del tributo solo es exigible cuando la respectiva licencia se expida aplicando las normas urbanísticas generadoras de la participación en plusvalía. En consecuencia, cuando se trate de licencias de construcción en las modalidades de modificación, restauración, reforzamiento estructural, reconstrucción, cerramiento y demolición no es exigible el tributo, toda vez que se conserva el uso y edificabilidad del inmueble en las condiciones con que fue aprobado.  </w:t>
      </w:r>
    </w:p>
    <w:p w14:paraId="18CFCC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E6DC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trámites de modificación de licencia vigente no es exigible el pago del tributo, toda vez que no se trata de una nueva licencia y que las modificaciones deben resolverse aplicando las normas urbanísticas y demás reglamentaciones que sirvieron de base para su expedición.  </w:t>
      </w:r>
    </w:p>
    <w:p w14:paraId="119EF7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982E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En tratándose de edificaciones sometidas al régimen de propiedad horizontal, cuando se presente el hecho generador contenido en el numeral 3 del artículo 74 de la Ley 388 de 1997, la liquidación se debe efectuar teniendo en cuenta el área del predio de mayor extensión sobre el cual se levanta la propiedad horizontal e inscribirse únicamente en el certificado de tradición y libertad del predio matriz que lo identifica, ya que las unidades privadas resultantes de la propiedad horizontal no pueden de manera individual hacer uso del mayor potencial de construcción. </w:t>
      </w:r>
    </w:p>
    <w:p w14:paraId="3C2B10FB" w14:textId="77777777" w:rsidR="00D4095E" w:rsidRPr="009342F9" w:rsidRDefault="00D4095E" w:rsidP="00FC79C1">
      <w:pPr>
        <w:spacing w:after="0" w:line="240" w:lineRule="auto"/>
        <w:jc w:val="both"/>
        <w:rPr>
          <w:rFonts w:ascii="Arial" w:eastAsia="Times New Roman" w:hAnsi="Arial" w:cs="Arial"/>
          <w:color w:val="000000"/>
          <w:lang w:eastAsia="es-CO"/>
        </w:rPr>
      </w:pPr>
      <w:bookmarkStart w:id="1488" w:name="ver_30074807"/>
      <w:bookmarkEnd w:id="1487"/>
      <w:bookmarkEnd w:id="1488"/>
    </w:p>
    <w:p w14:paraId="7F0F844B" w14:textId="52059B7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2.2.6.6.8.3 Fórmula para el cobro de las expensas por licencias y modalidades de las licencias. Los curadores urbanos cobrarán el valor de las expensas por las licencias y modalidades de las licencias urbanísticas de acuerdo con la siguiente ecuación: </w:t>
      </w:r>
    </w:p>
    <w:p w14:paraId="2E70E8E1" w14:textId="570CB9E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A2B9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Donde E expresa el valor total de la expensa; Cf corresponde al cargo fijo; </w:t>
      </w:r>
      <w:proofErr w:type="spellStart"/>
      <w:r w:rsidRPr="009342F9">
        <w:rPr>
          <w:rFonts w:ascii="Arial" w:eastAsia="Times New Roman" w:hAnsi="Arial" w:cs="Arial"/>
          <w:color w:val="000000"/>
          <w:lang w:eastAsia="es-CO"/>
        </w:rPr>
        <w:t>Cv</w:t>
      </w:r>
      <w:proofErr w:type="spellEnd"/>
      <w:r w:rsidRPr="009342F9">
        <w:rPr>
          <w:rFonts w:ascii="Arial" w:eastAsia="Times New Roman" w:hAnsi="Arial" w:cs="Arial"/>
          <w:color w:val="000000"/>
          <w:lang w:eastAsia="es-CO"/>
        </w:rPr>
        <w:t xml:space="preserve"> corresponde al cargo variable; i expresa el uso y estrato o categoría en cualquier clase de suelo, m expresa el factor de municipio en función del tamaño del mercado y la categorización presupuestal de los municipios y distritos, y j es el factor que regula la relación entre el valor de las expensas y la cantidad de metros cuadrados objeto de la solicitud, de acuerdo con los índices que a continuación se expresan: </w:t>
      </w:r>
    </w:p>
    <w:p w14:paraId="49A24C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6021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tarifa única nacional para licencias de parcelación, urbanización y construcción y sus modalidades, correspondiente al cargo fijo (Cf) será igual al cuarenta por ciento (40%) de un salario mínimo legal mensual vigente. </w:t>
      </w:r>
    </w:p>
    <w:p w14:paraId="6CF323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A55E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tarifa única nacional para licencias de parcelación, urbanización y construcción y sus modalidades, correspondiente al cargo variable (</w:t>
      </w:r>
      <w:proofErr w:type="spellStart"/>
      <w:r w:rsidRPr="009342F9">
        <w:rPr>
          <w:rFonts w:ascii="Arial" w:eastAsia="Times New Roman" w:hAnsi="Arial" w:cs="Arial"/>
          <w:color w:val="000000"/>
          <w:lang w:eastAsia="es-CO"/>
        </w:rPr>
        <w:t>Cv</w:t>
      </w:r>
      <w:proofErr w:type="spellEnd"/>
      <w:r w:rsidRPr="009342F9">
        <w:rPr>
          <w:rFonts w:ascii="Arial" w:eastAsia="Times New Roman" w:hAnsi="Arial" w:cs="Arial"/>
          <w:color w:val="000000"/>
          <w:lang w:eastAsia="es-CO"/>
        </w:rPr>
        <w:t>) será igual al ochenta por ciento (80%) de un salario mínimo legal mensual vigente. </w:t>
      </w:r>
    </w:p>
    <w:p w14:paraId="512865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C878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Factor i por estrato de vivienda y categoría de usos: </w:t>
      </w:r>
    </w:p>
    <w:p w14:paraId="46BC9437" w14:textId="27FB0186"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4ABADE25" wp14:editId="32066F0A">
            <wp:extent cx="5400040" cy="2406650"/>
            <wp:effectExtent l="0" t="0" r="0" b="0"/>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pic:cNvPicPr/>
                  </pic:nvPicPr>
                  <pic:blipFill>
                    <a:blip r:embed="rId20">
                      <a:extLst>
                        <a:ext uri="{28A0092B-C50C-407E-A947-70E740481C1C}">
                          <a14:useLocalDpi xmlns:a14="http://schemas.microsoft.com/office/drawing/2010/main" val="0"/>
                        </a:ext>
                      </a:extLst>
                    </a:blip>
                    <a:stretch>
                      <a:fillRect/>
                    </a:stretch>
                  </pic:blipFill>
                  <pic:spPr>
                    <a:xfrm>
                      <a:off x="0" y="0"/>
                      <a:ext cx="5400040" cy="240665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4B8EE5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FB28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Factor j para licencias de parcelación, urbanización y construcción y sus modalidades: </w:t>
      </w:r>
    </w:p>
    <w:p w14:paraId="1558E3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0CC0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j de construcción para proyectos iguales o menores a 100 m2: j= 0,45 </w:t>
      </w:r>
    </w:p>
    <w:p w14:paraId="1A306C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B659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j de construcción para proyectos superiores a 100 m2 e inferiores a 11.000 m2: </w:t>
      </w:r>
    </w:p>
    <w:p w14:paraId="449CF3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257305" w14:textId="5D606D5A"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7DE91EB9" wp14:editId="367C1B30">
            <wp:extent cx="5400040" cy="2777490"/>
            <wp:effectExtent l="0" t="0" r="0" b="3810"/>
            <wp:docPr id="21" name="Imagen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1"/>
                    <pic:cNvPicPr/>
                  </pic:nvPicPr>
                  <pic:blipFill>
                    <a:blip r:embed="rId21">
                      <a:extLst>
                        <a:ext uri="{28A0092B-C50C-407E-A947-70E740481C1C}">
                          <a14:useLocalDpi xmlns:a14="http://schemas.microsoft.com/office/drawing/2010/main" val="0"/>
                        </a:ext>
                      </a:extLst>
                    </a:blip>
                    <a:stretch>
                      <a:fillRect/>
                    </a:stretch>
                  </pic:blipFill>
                  <pic:spPr>
                    <a:xfrm>
                      <a:off x="0" y="0"/>
                      <a:ext cx="5400040" cy="277749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3BBA68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3D31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De conformidad con el artículo 11 de la Ley 810 de 2003, las expensas de que trata este artículo serán liquidadas al cincuenta por ciento (50%) cuando se trate de solicitudes de licencia de vivienda de interés social. </w:t>
      </w:r>
    </w:p>
    <w:p w14:paraId="3BA63F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E803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todas las modalidades de licencia de construcción y actos de reconocimiento de dotacionales públicos destinados a salud, educación y bienestar social en el caso de proyectos cuya titularidad sea de las entidades del nivel central o descentralizado de la rama ejecutiva del orden nacional, departamental, municipal y distrital, las expensas de que trata este artículo serán liquidadas al cincuenta por ciento (50%) de los valores aprobados en el presente decreto. </w:t>
      </w:r>
    </w:p>
    <w:p w14:paraId="26DB87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F80A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curadores deberán tener en lugar visible a disposición de los interesados, sin que ello implique el pago de expensas o remuneraciones, el cargo fijo “Cf” y el cargo variable “</w:t>
      </w:r>
      <w:proofErr w:type="spellStart"/>
      <w:r w:rsidRPr="009342F9">
        <w:rPr>
          <w:rFonts w:ascii="Arial" w:eastAsia="Times New Roman" w:hAnsi="Arial" w:cs="Arial"/>
          <w:color w:val="000000"/>
          <w:lang w:eastAsia="es-CO"/>
        </w:rPr>
        <w:t>Cv</w:t>
      </w:r>
      <w:proofErr w:type="spellEnd"/>
      <w:r w:rsidRPr="009342F9">
        <w:rPr>
          <w:rFonts w:ascii="Arial" w:eastAsia="Times New Roman" w:hAnsi="Arial" w:cs="Arial"/>
          <w:color w:val="000000"/>
          <w:lang w:eastAsia="es-CO"/>
        </w:rPr>
        <w:t>” y las expensas por otras actuaciones, así como la ecuación y las tablas de los factores i y j que se establecen en el presente decreto, para efectos de la liquidación de expensas. </w:t>
      </w:r>
    </w:p>
    <w:p w14:paraId="1CA528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0BAE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Las solicitudes de licencias radicadas en legal y debida forma antes del 3 de mayo de 2010, se liquidarán con arreglo a las tarifas que se encontraren vigentes al momento de la solicitud. </w:t>
      </w:r>
    </w:p>
    <w:p w14:paraId="5FC26505" w14:textId="1838FD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89" w:name="ver_30074897"/>
      <w:bookmarkEnd w:id="1489"/>
    </w:p>
    <w:p w14:paraId="06E173F6" w14:textId="7061D89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2.2.6.6.8.4 Asignación del factor municipal. Adóptense los siguientes valores para el factor m en aquellos municipios y distritos donde actualmente la competencia para expedir licencias es de los curadores urbanos: </w:t>
      </w:r>
    </w:p>
    <w:p w14:paraId="122A50F4" w14:textId="562318D0"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734C894D" wp14:editId="6FB6DC32">
            <wp:extent cx="3735070" cy="4865248"/>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0"/>
                    <pic:cNvPicPr/>
                  </pic:nvPicPr>
                  <pic:blipFill>
                    <a:blip r:embed="rId22">
                      <a:extLst>
                        <a:ext uri="{28A0092B-C50C-407E-A947-70E740481C1C}">
                          <a14:useLocalDpi xmlns:a14="http://schemas.microsoft.com/office/drawing/2010/main" val="0"/>
                        </a:ext>
                      </a:extLst>
                    </a:blip>
                    <a:stretch>
                      <a:fillRect/>
                    </a:stretch>
                  </pic:blipFill>
                  <pic:spPr>
                    <a:xfrm>
                      <a:off x="0" y="0"/>
                      <a:ext cx="3735070" cy="4865248"/>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7C7057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C7EF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conformidad con lo establecido en el presente decreto, el Ministerio de Vivienda, Ciudad y Territorio determinará mediante resolución el factor municipal para la liquidación de las expensas de los municipios que decidan designar curadores urbanos por primera vez. </w:t>
      </w:r>
    </w:p>
    <w:p w14:paraId="3D6B2658" w14:textId="21703B9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90" w:name="ver_30074920"/>
      <w:bookmarkEnd w:id="1490"/>
    </w:p>
    <w:p w14:paraId="52AAC8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2.2.6.6.8.5 Radicación de las solicitudes de licencias. Además de los requisitos contemplados en la Subsección 1 de la Sección 2 del Capítulo 1 del presente Título, será condición para la radicación ante las curadurías urbanas de toda solicitud de licencia de urbanización y construcción o sus modalidades, el pago al curador del cargo fijo “Cf” establecido en el presente decreto. </w:t>
      </w:r>
    </w:p>
    <w:p w14:paraId="7CD00C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86C8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 cargo no se reintegrará al interesado en caso de que la solicitud de licencia sea negada o desistida por el solicitante según lo previsto en el artículo del 2.2.6.1.2.3.4 presente decreto. </w:t>
      </w:r>
    </w:p>
    <w:p w14:paraId="34E3D0FE" w14:textId="386074A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91" w:name="ver_30074925"/>
      <w:bookmarkEnd w:id="1491"/>
    </w:p>
    <w:p w14:paraId="22D57B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2.2.6.6.8.6 Liquidación de las expensas para las licencias de urbanización y parcelación. Para la liquidación de las expensas por las licencias de urbanización y parcelación, el factor j de que trata el presente decreto, se aplicará sobre el área bruta del predio o predios objeto de la solicitud. </w:t>
      </w:r>
    </w:p>
    <w:p w14:paraId="0C503A06" w14:textId="5BCC14C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92" w:name="ver_30125292"/>
      <w:bookmarkStart w:id="1493" w:name="ver_30125291"/>
      <w:bookmarkEnd w:id="1492"/>
    </w:p>
    <w:p w14:paraId="7CCEA7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2.2.6.6.8.7. Liquidación de las expensas para las licencias de construcción. Para la liquidación de las expensas por las licencias de construcción, el factor j) de que trata el presente decreto, se aplicará sobre el número de metros cuadrados “factor Q” del área cubierta a construir, ampliar o adecuar de cada unidad estructuralmente independiente, siempre y cuando estas unidades conformen edificaciones arquitectónicamente separadas. Se define como unidad estructuralmente independiente el conjunto de elementos estructurales que ensamblados están en capacidad de soportar las cargas gravitacionales y fuerzas horizontales que se generan en una edificación individual o arquitectónicamente independiente, transmitiéndolas al suelo de fundación.  </w:t>
      </w:r>
    </w:p>
    <w:p w14:paraId="1EF845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7EC8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área intervenida debe coincidir con el cuadro de áreas de los planos del respectivo proyecto.  </w:t>
      </w:r>
    </w:p>
    <w:p w14:paraId="5BCEDA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9580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y en caso de solicitar el cerramiento junto con otra modalidad de licencia, a los metros cuadrados “Factor Q” de esta última se sumarán los metros lineales del mismo.  </w:t>
      </w:r>
    </w:p>
    <w:p w14:paraId="6777AA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C45A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en una licencia se autorice la ejecución de obras para el desarrollo de varios usos, la liquidación del Cargo Fijo “CF” corresponderá al del uso predominante y la liquidación del Cargo Variable “CV” se hará de manera independiente con base en el área destinada a cada uso.  </w:t>
      </w:r>
    </w:p>
    <w:p w14:paraId="2BC5DC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A80E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en un solo acto administrativo se autorice la ejecución de obras en varias de las modalidades de la licencia de construcción, no habrá lugar a la liquidación de expensas en favor de los curadores urbanos de manera independiente para cada una de las modalidades contempladas en la respectiva licencia.  </w:t>
      </w:r>
    </w:p>
    <w:p w14:paraId="2A4B0B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063F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trate de licencia de construcción en la modalidad de adecuación y ella no incluya la autorización para la ejecución de obras, solamente deberá cancelarse el Cargo Fijo “CF” de la fórmula para la liquidación de expensas de que trata el presente decreto, el cual se liquidará al 50%.  </w:t>
      </w:r>
    </w:p>
    <w:p w14:paraId="36B30C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E118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Sin perjuicio de lo establecido en el artículo 7° de la Ley 675 de 2001, la liquidación de las expensas por la expedición de licencias para desarrollos integrados por etapas de inmuebles sometidos al régimen de propiedad horizontal, corresponderán a la etapa para la cual se solicita la respectiva licencia.  </w:t>
      </w:r>
    </w:p>
    <w:p w14:paraId="0F6744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B0BB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liquidación de expensas por la expedición de licencias de construcción en las modalidades de restauración, reconstrucción, modificación y reforzamiento estructural corresponderán al treinta por ciento (30%) del área a intervenir del inmueble objeto de la solicitud.  </w:t>
      </w:r>
    </w:p>
    <w:p w14:paraId="7E1FEE14" w14:textId="28CE4A8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94" w:name="ver_30074927"/>
      <w:bookmarkEnd w:id="1493"/>
      <w:bookmarkEnd w:id="1494"/>
    </w:p>
    <w:p w14:paraId="29FD72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2.2.6.6.8.8 Liquidación de las expensas para licencias simultáneas de urbanización, parcelación y construcción. La expensa se aplicará individualmente por cada licencia. </w:t>
      </w:r>
    </w:p>
    <w:p w14:paraId="7322428F" w14:textId="152714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95" w:name="ver_30074928"/>
      <w:bookmarkEnd w:id="1495"/>
    </w:p>
    <w:p w14:paraId="04605F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2.2.6.6.8.9 Liquidación de las expensas para licencias de urbanización y construcción por etapas. Las expensas que se generen a favor del curador urbano corresponderán a la etapa para la cual se solicita la respectiva licencia. </w:t>
      </w:r>
    </w:p>
    <w:p w14:paraId="5170293B" w14:textId="427487A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96" w:name="ver_30074929"/>
      <w:bookmarkEnd w:id="1496"/>
    </w:p>
    <w:p w14:paraId="56EAA5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2.2.6.6.8.10. Liquidación de las expensas para las modificaciones de licencias vigentes. Para la liquidación de las expensas de las modificaciones de licencias vigentes de urbanización, parcelación y construcción que no impliquen incremento del área aprobada, se aplicará el factor j de que trata el artículo 2.2.6.6.8.3 presente decreto sobre el treinta por ciento (30%) del área a intervenir del inmueble objeto de la solicitud. </w:t>
      </w:r>
    </w:p>
    <w:p w14:paraId="35E072A0" w14:textId="77777777" w:rsidR="00F87F8B" w:rsidRDefault="00F87F8B" w:rsidP="00FC79C1">
      <w:pPr>
        <w:spacing w:after="0" w:line="240" w:lineRule="auto"/>
        <w:jc w:val="both"/>
        <w:rPr>
          <w:rFonts w:ascii="Arial" w:eastAsia="Times New Roman" w:hAnsi="Arial" w:cs="Arial"/>
          <w:color w:val="000000"/>
          <w:lang w:eastAsia="es-CO"/>
        </w:rPr>
      </w:pPr>
      <w:bookmarkStart w:id="1497" w:name="ver_30074930"/>
      <w:bookmarkEnd w:id="1497"/>
    </w:p>
    <w:p w14:paraId="42DBB57E" w14:textId="5A9C36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2.2.6.6.8.11. Expensas por licencias de subdivisión. Las solicitudes de licencias de subdivisión en las modalidades de subdivisión rural y subdivisión urbana generarán en favor del curador urbano una expensa única equivalente a un (1) salario mínimo mensual legal vigente al momento de la radicación. </w:t>
      </w:r>
    </w:p>
    <w:p w14:paraId="01CE87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4171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expensas por la expedición de licencias de subdivisión en la modalidad de </w:t>
      </w:r>
      <w:proofErr w:type="spellStart"/>
      <w:r w:rsidRPr="009342F9">
        <w:rPr>
          <w:rFonts w:ascii="Arial" w:eastAsia="Times New Roman" w:hAnsi="Arial" w:cs="Arial"/>
          <w:color w:val="000000"/>
          <w:lang w:eastAsia="es-CO"/>
        </w:rPr>
        <w:t>reloteo</w:t>
      </w:r>
      <w:proofErr w:type="spellEnd"/>
      <w:r w:rsidRPr="009342F9">
        <w:rPr>
          <w:rFonts w:ascii="Arial" w:eastAsia="Times New Roman" w:hAnsi="Arial" w:cs="Arial"/>
          <w:color w:val="000000"/>
          <w:lang w:eastAsia="es-CO"/>
        </w:rPr>
        <w:t>, se liquidarán sobre el área útil urbanizable de la siguiente manera: </w:t>
      </w:r>
    </w:p>
    <w:p w14:paraId="489FC2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FAB85D" w14:textId="274C6ECF"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5A3C56F7" wp14:editId="74025A7B">
            <wp:extent cx="5452110" cy="1311275"/>
            <wp:effectExtent l="0" t="0" r="0" b="3175"/>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9"/>
                    <pic:cNvPicPr/>
                  </pic:nvPicPr>
                  <pic:blipFill>
                    <a:blip r:embed="rId23">
                      <a:extLst>
                        <a:ext uri="{28A0092B-C50C-407E-A947-70E740481C1C}">
                          <a14:useLocalDpi xmlns:a14="http://schemas.microsoft.com/office/drawing/2010/main" val="0"/>
                        </a:ext>
                      </a:extLst>
                    </a:blip>
                    <a:stretch>
                      <a:fillRect/>
                    </a:stretch>
                  </pic:blipFill>
                  <pic:spPr>
                    <a:xfrm>
                      <a:off x="0" y="0"/>
                      <a:ext cx="5452110" cy="131127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347F96C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498" w:name="ver_30074931"/>
      <w:bookmarkEnd w:id="1498"/>
    </w:p>
    <w:p w14:paraId="1DC77B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2.2.6.6.8.12 Expensas en los casos de expedición de licencias de construcción individual de vivienda de interés social. Las solicitudes de licencia de construcción individual de vivienda de interés social unifamiliar o </w:t>
      </w:r>
      <w:proofErr w:type="spellStart"/>
      <w:r w:rsidRPr="009342F9">
        <w:rPr>
          <w:rFonts w:ascii="Arial" w:eastAsia="Times New Roman" w:hAnsi="Arial" w:cs="Arial"/>
          <w:color w:val="000000"/>
          <w:lang w:eastAsia="es-CO"/>
        </w:rPr>
        <w:t>bifamiliar</w:t>
      </w:r>
      <w:proofErr w:type="spellEnd"/>
      <w:r w:rsidRPr="009342F9">
        <w:rPr>
          <w:rFonts w:ascii="Arial" w:eastAsia="Times New Roman" w:hAnsi="Arial" w:cs="Arial"/>
          <w:color w:val="000000"/>
          <w:lang w:eastAsia="es-CO"/>
        </w:rPr>
        <w:t xml:space="preserve"> en los estratos 1, 2 y 3, generarán en favor del curador una expensa única equivalente a diez (10) salarios mínimos diarios legales vigentes al momento de la radicación por cada unidad de vivienda. En estos casos, las expensas se liquidarán al 50%, según lo dispuesto en el artículo 11 de la Ley 810 de 2003. </w:t>
      </w:r>
    </w:p>
    <w:p w14:paraId="1974A5D2" w14:textId="468CFA9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499" w:name="ver_30074932"/>
      <w:bookmarkEnd w:id="1499"/>
    </w:p>
    <w:p w14:paraId="2B0A30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2.2.6.6.8.13 Expensas por prórrogas de licencias y revalidaciones. Las expensas por prórroga de licencias y revalidaciones serán iguales a un (1) salario mínimo legal mensual vigente. Tratándose de solicitudes individuales de vivienda de interés social será igual a dos (2) salarios mínimos legales diarios vigentes. </w:t>
      </w:r>
    </w:p>
    <w:p w14:paraId="6D48E1C4" w14:textId="33DFCC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00" w:name="ver_30074933"/>
      <w:bookmarkEnd w:id="1500"/>
    </w:p>
    <w:p w14:paraId="200A1D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2.2.6.6.8.14 Expensas por reconocimiento de edificaciones. Las expensas a favor de los curadores urbanos por la expedición del acto de reconocimiento se liquidarán con base en la tarifa vigente para la liquidación de las licencias de construcción. </w:t>
      </w:r>
    </w:p>
    <w:p w14:paraId="3F1E91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BF20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en el mismo acto administrativo se haga el reconocimiento de la edificación y se expida licencia de construcción en cualquiera de sus modalidades salvo las modalidades de ampliación y reconstrucción, solo habrá lugar a la liquidación de expensas por el reconocimiento de la construcción. </w:t>
      </w:r>
    </w:p>
    <w:p w14:paraId="495476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5D1D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liquidar estas expensas, se aplicará lo dispuesto en el parágrafo 1 del artículo 2.2.6.6.8.3 del presente decreto. </w:t>
      </w:r>
    </w:p>
    <w:p w14:paraId="3749A7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9E93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Tratándose de solicitudes individuales de reconocimiento de vivienda de interés social unifamiliar o </w:t>
      </w:r>
      <w:proofErr w:type="spellStart"/>
      <w:r w:rsidRPr="009342F9">
        <w:rPr>
          <w:rFonts w:ascii="Arial" w:eastAsia="Times New Roman" w:hAnsi="Arial" w:cs="Arial"/>
          <w:color w:val="000000"/>
          <w:lang w:eastAsia="es-CO"/>
        </w:rPr>
        <w:t>bifamiliar</w:t>
      </w:r>
      <w:proofErr w:type="spellEnd"/>
      <w:r w:rsidRPr="009342F9">
        <w:rPr>
          <w:rFonts w:ascii="Arial" w:eastAsia="Times New Roman" w:hAnsi="Arial" w:cs="Arial"/>
          <w:color w:val="000000"/>
          <w:lang w:eastAsia="es-CO"/>
        </w:rPr>
        <w:t xml:space="preserve"> en estratos 1, 2 y 3, se aplicará lo dispuesto en el artículo 2.2.6.6.8.12 del presente decreto y esta expensa también cubrirá la autorización para la ejecución de obras en una o varias de las modalidades de la licencia de construcción que sobre el predio se contemplen en el mismo acto administrativo que declare el reconocimiento. En todo caso, la autorización de las obras de construcción sobre el predio en que se localiza el inmueble objeto del </w:t>
      </w:r>
      <w:proofErr w:type="gramStart"/>
      <w:r w:rsidRPr="009342F9">
        <w:rPr>
          <w:rFonts w:ascii="Arial" w:eastAsia="Times New Roman" w:hAnsi="Arial" w:cs="Arial"/>
          <w:color w:val="000000"/>
          <w:lang w:eastAsia="es-CO"/>
        </w:rPr>
        <w:t>reconocimiento,</w:t>
      </w:r>
      <w:proofErr w:type="gramEnd"/>
      <w:r w:rsidRPr="009342F9">
        <w:rPr>
          <w:rFonts w:ascii="Arial" w:eastAsia="Times New Roman" w:hAnsi="Arial" w:cs="Arial"/>
          <w:color w:val="000000"/>
          <w:lang w:eastAsia="es-CO"/>
        </w:rPr>
        <w:t xml:space="preserve"> se sujetará a las normas urbanísticas que las autoridades municipales y distritales adopten para el efecto. </w:t>
      </w:r>
    </w:p>
    <w:p w14:paraId="587DA0DC" w14:textId="01BDE97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01" w:name="ver_30074934"/>
      <w:bookmarkEnd w:id="1501"/>
    </w:p>
    <w:p w14:paraId="669106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2.2.6.6.8.15 Expensas por otras actuaciones. Los curadores urbanos podrán cobrar las siguientes expensas por las otras actuaciones de que trata el artículo 2.2.6.1.3.1 del presente decreto, siempre y cuando estas se ejecuten de manera independiente a la expedición de la licencia: </w:t>
      </w:r>
    </w:p>
    <w:p w14:paraId="64A294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266E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ajuste de cotas de áreas por proyecto: </w:t>
      </w:r>
    </w:p>
    <w:p w14:paraId="796433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1320E6" w14:textId="42D017BB"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57E135A5" wp14:editId="4260683C">
            <wp:extent cx="5555616" cy="741680"/>
            <wp:effectExtent l="0" t="0" r="6985" b="1270"/>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pic:cNvPicPr/>
                  </pic:nvPicPr>
                  <pic:blipFill>
                    <a:blip r:embed="rId24">
                      <a:extLst>
                        <a:ext uri="{28A0092B-C50C-407E-A947-70E740481C1C}">
                          <a14:useLocalDpi xmlns:a14="http://schemas.microsoft.com/office/drawing/2010/main" val="0"/>
                        </a:ext>
                      </a:extLst>
                    </a:blip>
                    <a:stretch>
                      <a:fillRect/>
                    </a:stretch>
                  </pic:blipFill>
                  <pic:spPr>
                    <a:xfrm>
                      <a:off x="0" y="0"/>
                      <a:ext cx="5555616" cy="74168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3CE1CE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B53D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copia certificada de planos causará una expensa de un (1) salario mínimo diario legal vigente por cada plano. </w:t>
      </w:r>
    </w:p>
    <w:p w14:paraId="6D1411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EA3B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aprobación de los Planos de Propiedad Horizontal (m2 construidos): </w:t>
      </w:r>
    </w:p>
    <w:p w14:paraId="76004C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824B4C" w14:textId="0E83C2B2"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75D3D4B4" wp14:editId="40894758">
            <wp:extent cx="5572760" cy="1569720"/>
            <wp:effectExtent l="0" t="0" r="8890"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pic:cNvPicPr/>
                  </pic:nvPicPr>
                  <pic:blipFill>
                    <a:blip r:embed="rId25">
                      <a:extLst>
                        <a:ext uri="{28A0092B-C50C-407E-A947-70E740481C1C}">
                          <a14:useLocalDpi xmlns:a14="http://schemas.microsoft.com/office/drawing/2010/main" val="0"/>
                        </a:ext>
                      </a:extLst>
                    </a:blip>
                    <a:stretch>
                      <a:fillRect/>
                    </a:stretch>
                  </pic:blipFill>
                  <pic:spPr>
                    <a:xfrm>
                      <a:off x="0" y="0"/>
                      <a:ext cx="5572760" cy="156972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158F62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D4C5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autorización para el movimiento de tierras y construcción de piscinas (3m de excavación): </w:t>
      </w:r>
    </w:p>
    <w:p w14:paraId="55A687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A2FCE7" w14:textId="780D6A6B"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5A93EE75" wp14:editId="149D5228">
            <wp:extent cx="5460367" cy="1561465"/>
            <wp:effectExtent l="0" t="0" r="6985" b="63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pic:cNvPicPr/>
                  </pic:nvPicPr>
                  <pic:blipFill>
                    <a:blip r:embed="rId26">
                      <a:extLst>
                        <a:ext uri="{28A0092B-C50C-407E-A947-70E740481C1C}">
                          <a14:useLocalDpi xmlns:a14="http://schemas.microsoft.com/office/drawing/2010/main" val="0"/>
                        </a:ext>
                      </a:extLst>
                    </a:blip>
                    <a:stretch>
                      <a:fillRect/>
                    </a:stretch>
                  </pic:blipFill>
                  <pic:spPr>
                    <a:xfrm>
                      <a:off x="0" y="0"/>
                      <a:ext cx="5460367" cy="156146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37CD24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EFC3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aprobación del proyecto urbanístico general de que trata el artículo 2.2.6.1.2.4.2 del presente decreto, generará una expensa en favor del curador urbano equivalente a diez (10) salarios mínimos diarios legales vigentes por cada cinco mil metros cuadrados (5.000 m2) de área útil urbanizable, descontada el área correspondiente a la primera etapa de la ejecución de la obra, sin que en ningún caso supere el valor de cinco (5) salarios mínimos legales mensuales. </w:t>
      </w:r>
    </w:p>
    <w:p w14:paraId="30264A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119F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modificación de plano urbanístico causará una expensa de un (1) salario mínimo legal mensual vigente. </w:t>
      </w:r>
    </w:p>
    <w:p w14:paraId="672F2D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F8A6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Los conceptos de norma urbanística generarán una expensa única equivalente a diez (10) salarios mínimos legales diarios vigentes al momento de la solicitud. </w:t>
      </w:r>
    </w:p>
    <w:p w14:paraId="391A8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72E9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Los conceptos de uso del suelo generarán en favor del curador urbano una expensa única equivalente a dos (2) salarios mínimos legales diarios vigentes al momento de la solicitud. </w:t>
      </w:r>
    </w:p>
    <w:p w14:paraId="356B47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904D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consultas verbales sobre información general de las normas urbanísticas vigentes en el municipio o distrito no generarán expensas a favor del curador urbano. </w:t>
      </w:r>
    </w:p>
    <w:p w14:paraId="0DFCFA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2436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Tratándose de predios destinados a vivienda de interés social, la liquidación de expensas se hará teniendo en cuenta lo dispuesto en el artículo 2.2.6.6.8.12 del presente decreto. </w:t>
      </w:r>
    </w:p>
    <w:p w14:paraId="314FB4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BFC9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municipios y distritos podrán plantear al Ministerio de Vivienda, Ciudad y Territorio la definición de otras actuaciones adicionales a las contempladas en el artículo 2.2.6.1.3.1 del presente decreto con su propuesta de expensas, las cuales deberán ser aprobadas mediante resolución del Ministerio de Vivienda, Ciudad y Territorio. </w:t>
      </w:r>
    </w:p>
    <w:p w14:paraId="2DB4A5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47DB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Hasta tanto no se aprueben expensas para nuevas actuaciones, los curadores urbanos no podrán hacer cobros por conceptos diferentes a los establecidos en el presente decreto, so pena de la responsabilidad a que haya lugar por tal actuación. </w:t>
      </w:r>
    </w:p>
    <w:p w14:paraId="0E489221" w14:textId="01DDB86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02" w:name="ver_30074935"/>
      <w:bookmarkEnd w:id="1502"/>
    </w:p>
    <w:p w14:paraId="111AC1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2.2.6.6.8.16 Pago de expensas en caso de faltas absolutas del curador urbano. El pago de las expensas correspondientes a los expedientes en trámite de que trata el artículo 2.2.6.6.5.5 del presente decreto, en caso de falta absoluta del curador urbano, se realizará de la siguiente manera: </w:t>
      </w:r>
    </w:p>
    <w:p w14:paraId="4A7C1A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1F72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cargos fijos que se generen por la radicación ante las curadurías urbanas de toda solicitud de licencia de urbanización, parcelación, subdivisión y construcción o sus modalidades, corresponderán al curador urbano ante el cual se radicó el proyecto. </w:t>
      </w:r>
    </w:p>
    <w:p w14:paraId="4F67D1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E058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cargos variables de las expensas que se causen por la expedición de licencias de urbanización, parcelación, subdivisión y construcción y sus modalidades, deberán ser canceladas por el solicitante al curador urbano que expida la licencia. </w:t>
      </w:r>
    </w:p>
    <w:p w14:paraId="267868B7" w14:textId="4D8DA3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03" w:name="ver_30074936"/>
      <w:bookmarkEnd w:id="1503"/>
    </w:p>
    <w:p w14:paraId="7455F5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2.2.6.6.8.17 Facturas por pago de expensas. Los curadores urbanos deben expedir facturas por concepto de pago de las expensas, en los términos que para el efecto determine el Estatuto Tributario y demás normas que lo reglamenten. </w:t>
      </w:r>
    </w:p>
    <w:p w14:paraId="6D09DF28" w14:textId="7498F27C"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04" w:name="ver_30074937"/>
      <w:bookmarkEnd w:id="1504"/>
    </w:p>
    <w:p w14:paraId="42E09070" w14:textId="555C93CC"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9</w:t>
      </w:r>
    </w:p>
    <w:p w14:paraId="3C11E065"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COMISIONES DE VEEDURÍA DE LAS CURADURÍAS URBANAS</w:t>
      </w:r>
    </w:p>
    <w:p w14:paraId="14DA560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05" w:name="ver_30074938"/>
      <w:bookmarkEnd w:id="1505"/>
    </w:p>
    <w:p w14:paraId="17228A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2.2.6.6.9.1 Comisiones de veeduría de las Curadurías Urbanas. En desarrollo de lo dispuesto por el numeral 5 del artículo 101 de la Ley 388 de 1997, el Ministerio de Vivienda, Ciudad y Territorio ejercerá la función de coordinación y seguimiento de los curadores urbanos en cada municipio o distrito a través de las comisiones de veeduría, las cuales serán convocadas ordinariamente por el alcalde municipal o distrital como mínimo trimestralmente, o cuando por lo menos tres de sus miembros lo consideren necesario. </w:t>
      </w:r>
    </w:p>
    <w:p w14:paraId="23219F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E408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comisiones de veeduría estarán integradas así: </w:t>
      </w:r>
    </w:p>
    <w:p w14:paraId="562B60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26C2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alcalde municipal o distrital o su delegado quien la presidirá. </w:t>
      </w:r>
    </w:p>
    <w:p w14:paraId="3EEF44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13F8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 (1) representante de las asociaciones gremiales sin ánimo de lucro o fundaciones cuyas actividades tengan relación directa con el sector de la construcción o el desarrollo urbano. </w:t>
      </w:r>
    </w:p>
    <w:p w14:paraId="25279D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D3C5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personero municipal o distrital o su delegado. </w:t>
      </w:r>
    </w:p>
    <w:p w14:paraId="06551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6368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Un (1) representante de la Sociedad Colombiana de Arquitectos. </w:t>
      </w:r>
    </w:p>
    <w:p w14:paraId="45AEE6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DEF0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Un (1) representante de la Sociedad Colombiana de Ingenieros. </w:t>
      </w:r>
    </w:p>
    <w:p w14:paraId="40BEA6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F59C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representantes de que tratan los numerales 2, 4 y 5 del presente artículo, deberán tener conocimiento y experiencia mínima de un año en materia de desarrollo urbanístico. </w:t>
      </w:r>
    </w:p>
    <w:p w14:paraId="256FF8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9D7B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presidente a solicitud de los miembros de la comisión de veeduría de las curadurías urbanas podrá invitar a las sesiones de la Comisión a las personas naturales o jurídicas que estime conveniente, cuando la naturaleza del tema a tratar requiera la participación de ellas. </w:t>
      </w:r>
    </w:p>
    <w:p w14:paraId="5B8A5E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597F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Para la designación del representante de que trata el numeral 2 del presente artículo, los alcaldes municipales convocarán públicamente a sus representantes legales para que efectúen la correspondiente elección. </w:t>
      </w:r>
    </w:p>
    <w:p w14:paraId="12838B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7A59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representante de las asociaciones gremiales sin ánimo de lucro o fundaciones cuyas actividades tengan relación directa con el sector de la construcción o el desarrollo urbano, será elegido para un periodo de dos años, el cual se empezará a contar a partir del 1° de enero de 2011. En consecuencia, la elección de dicho representante se realizará en el año inmediatamente anterior a la fecha señalada. </w:t>
      </w:r>
    </w:p>
    <w:p w14:paraId="2B855C6C" w14:textId="05B6AC5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06" w:name="ver_30074939"/>
      <w:bookmarkEnd w:id="1506"/>
    </w:p>
    <w:p w14:paraId="363755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2.2.6.6.9.2 Funciones de las comisiones de veeduría. Son funciones de las comisiones de veeduría, entre otras, las siguientes: </w:t>
      </w:r>
    </w:p>
    <w:p w14:paraId="03EA41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D5D7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Proponer lineamientos, directrices y pautas de articulación entre los curadores urbanos y las autoridades competentes municipales y distritales en materia urbanística. </w:t>
      </w:r>
    </w:p>
    <w:p w14:paraId="42AC58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D866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Interponer, a través de uno de sus miembros, recursos y acciones contra las actuaciones de las curadurías que no se ajusten a la normatividad urbanística; y si fuera del caso, formular las correspondientes denuncias. </w:t>
      </w:r>
    </w:p>
    <w:p w14:paraId="50D0D5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9867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Formular a los curadores urbanos sugerencias acerca de la mejor prestación del servicio en su curaduría. </w:t>
      </w:r>
    </w:p>
    <w:p w14:paraId="4FB451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B5E7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Atender las quejas que formulen los ciudadanos </w:t>
      </w:r>
      <w:proofErr w:type="gramStart"/>
      <w:r w:rsidRPr="009342F9">
        <w:rPr>
          <w:rFonts w:ascii="Arial" w:eastAsia="Times New Roman" w:hAnsi="Arial" w:cs="Arial"/>
          <w:color w:val="000000"/>
          <w:lang w:eastAsia="es-CO"/>
        </w:rPr>
        <w:t>en razón de</w:t>
      </w:r>
      <w:proofErr w:type="gramEnd"/>
      <w:r w:rsidRPr="009342F9">
        <w:rPr>
          <w:rFonts w:ascii="Arial" w:eastAsia="Times New Roman" w:hAnsi="Arial" w:cs="Arial"/>
          <w:color w:val="000000"/>
          <w:lang w:eastAsia="es-CO"/>
        </w:rPr>
        <w:t xml:space="preserve"> la expedición de licencias, poniendo en conocimiento de las autoridades respectivas los hechos que resulten violatorios de las normas urbanísticas. </w:t>
      </w:r>
    </w:p>
    <w:p w14:paraId="04792D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D478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Proponer contra los curadores urbanos la apertura de investigaciones por parte de los consejos profesionales, cuando lo consideren necesario. </w:t>
      </w:r>
    </w:p>
    <w:p w14:paraId="6D31B5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11E5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Las demás que resulten necesarias para el cumplimiento de su objeto. </w:t>
      </w:r>
    </w:p>
    <w:p w14:paraId="74904F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3754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Dictarse su propio reglamento. </w:t>
      </w:r>
    </w:p>
    <w:p w14:paraId="09490515" w14:textId="213D5825" w:rsidR="00D4095E"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07" w:name="ver_30188846"/>
      <w:bookmarkEnd w:id="1507"/>
    </w:p>
    <w:p w14:paraId="0AF6BEF0" w14:textId="2EC2FBF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7</w:t>
      </w:r>
    </w:p>
    <w:p w14:paraId="3707AC8B"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PROTECCIÓN AL COMPRADOR DE VIVIENDA NUEVA</w:t>
      </w:r>
    </w:p>
    <w:p w14:paraId="7C343653" w14:textId="77777777" w:rsidR="00F87F8B" w:rsidRDefault="00F87F8B" w:rsidP="00D4095E">
      <w:pPr>
        <w:spacing w:after="0" w:line="240" w:lineRule="auto"/>
        <w:jc w:val="center"/>
        <w:rPr>
          <w:rFonts w:ascii="Arial" w:eastAsia="Times New Roman" w:hAnsi="Arial" w:cs="Arial"/>
          <w:b/>
          <w:bCs/>
          <w:color w:val="000000"/>
          <w:lang w:eastAsia="es-CO"/>
        </w:rPr>
      </w:pPr>
    </w:p>
    <w:p w14:paraId="3C73228B" w14:textId="7E9A3019"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2801045E"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MEDIDAS DE PROTECCIÓN AL COMPRADOR DE VIVIENDA NUEVA</w:t>
      </w:r>
    </w:p>
    <w:p w14:paraId="542CEE98" w14:textId="77777777" w:rsidR="00F87F8B" w:rsidRDefault="00F87F8B" w:rsidP="00D4095E">
      <w:pPr>
        <w:spacing w:after="0" w:line="240" w:lineRule="auto"/>
        <w:jc w:val="center"/>
        <w:rPr>
          <w:rFonts w:ascii="Arial" w:eastAsia="Times New Roman" w:hAnsi="Arial" w:cs="Arial"/>
          <w:b/>
          <w:bCs/>
          <w:color w:val="000000"/>
          <w:lang w:eastAsia="es-CO"/>
        </w:rPr>
      </w:pPr>
    </w:p>
    <w:p w14:paraId="4A1143C5" w14:textId="7435EF5E"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1361AA32" w14:textId="66C37A41" w:rsidR="00FC79C1" w:rsidRPr="009342F9" w:rsidRDefault="00FC79C1" w:rsidP="00F87F8B">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GENERALIDADES DE LAS MEDIDAS DE PROTECCIÓN</w:t>
      </w:r>
    </w:p>
    <w:p w14:paraId="19FA205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08" w:name="ver_30188848"/>
      <w:bookmarkEnd w:id="1508"/>
    </w:p>
    <w:p w14:paraId="2BB7FA95"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2.2.6.7.1.1.1. Objeto. El presente capítulo tiene por objeto reglamentar las medidas de protección al comprador de vivienda nueva incorporadas por la Ley 1796 de 2016, estableciendo los requisitos mínimos que debe acreditar el constructor o enajenador de vivienda nueva para dar cumplimiento a la obligación de amparar los perjuicios patrimoniales ocasionados al propietario o sucesivos propietarios cuando se presente algunas de las situaciones contempladas en el numeral 3 del artículo 2060 del Código Civil, o la norma que lo adicione, modifique o sustituya.  </w:t>
      </w:r>
    </w:p>
    <w:p w14:paraId="3A63FF3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09" w:name="ver_30188849"/>
      <w:bookmarkEnd w:id="1509"/>
    </w:p>
    <w:p w14:paraId="29432179" w14:textId="00F3362E"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2.2.6.7.1.1.2. Definiciones. Para efectos del presente Capítulo se tendrán en cuenta las siguientes definiciones técnicas de acuerdo con lo previsto en la Ley 400 de 1997 y el Reglamento Colombiano de Construcción Sismorresistente NSR-10:  </w:t>
      </w:r>
    </w:p>
    <w:p w14:paraId="0D722EFF"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0F67EA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Edificio en ruina - Es el colapso total o parcial de una edificación, entendida como unidad estructuralmente independiente, como consecuencia de fallas en los mate</w:t>
      </w:r>
      <w:r w:rsidRPr="009342F9">
        <w:rPr>
          <w:rFonts w:ascii="Arial" w:eastAsia="Times New Roman" w:hAnsi="Arial" w:cs="Arial"/>
          <w:color w:val="000000"/>
          <w:lang w:eastAsia="es-CO"/>
        </w:rPr>
        <w:softHyphen/>
        <w:t>riales, el diseño estructural, estudio geotécnico, construcción de la cimentación y/o construcción de la estructura, que impide su habitabilidad u ocupación debido al riesgo de pérdida de vidas humanas.  </w:t>
      </w:r>
    </w:p>
    <w:p w14:paraId="35E3D871"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0A6F3F8" w14:textId="51549B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Amenaza de ruina - Es el deterioro, defecto o deficiencia de la edificación, enten</w:t>
      </w:r>
      <w:r w:rsidRPr="009342F9">
        <w:rPr>
          <w:rFonts w:ascii="Arial" w:eastAsia="Times New Roman" w:hAnsi="Arial" w:cs="Arial"/>
          <w:color w:val="000000"/>
          <w:lang w:eastAsia="es-CO"/>
        </w:rPr>
        <w:softHyphen/>
        <w:t>dida como unidad estructuralmente independiente, como consecuencia de fallas en los materiales, el diseño estructural, estudio geotécnico, construcción de la ci</w:t>
      </w:r>
      <w:r w:rsidRPr="009342F9">
        <w:rPr>
          <w:rFonts w:ascii="Arial" w:eastAsia="Times New Roman" w:hAnsi="Arial" w:cs="Arial"/>
          <w:color w:val="000000"/>
          <w:lang w:eastAsia="es-CO"/>
        </w:rPr>
        <w:softHyphen/>
        <w:t>mentación y/o construcción de la estructura, que impide su habitabilidad u ocupa</w:t>
      </w:r>
      <w:r w:rsidRPr="009342F9">
        <w:rPr>
          <w:rFonts w:ascii="Arial" w:eastAsia="Times New Roman" w:hAnsi="Arial" w:cs="Arial"/>
          <w:color w:val="000000"/>
          <w:lang w:eastAsia="es-CO"/>
        </w:rPr>
        <w:softHyphen/>
        <w:t xml:space="preserve">ción debido al riesgo de pérdida de vidas humanas. En este caso, se adelantará un análisis de vulnerabilidad que contenga un estudio de las fuerzas sísmicas, cargas gravitacionales y eólicas, para determinar si la estructura se ha visto afectada y se encuentra comprometida su seguridad en términos de </w:t>
      </w:r>
      <w:proofErr w:type="spellStart"/>
      <w:r w:rsidRPr="009342F9">
        <w:rPr>
          <w:rFonts w:ascii="Arial" w:eastAsia="Times New Roman" w:hAnsi="Arial" w:cs="Arial"/>
          <w:color w:val="000000"/>
          <w:lang w:eastAsia="es-CO"/>
        </w:rPr>
        <w:t>sismorresistencia</w:t>
      </w:r>
      <w:proofErr w:type="spellEnd"/>
      <w:r w:rsidRPr="009342F9">
        <w:rPr>
          <w:rFonts w:ascii="Arial" w:eastAsia="Times New Roman" w:hAnsi="Arial" w:cs="Arial"/>
          <w:color w:val="000000"/>
          <w:lang w:eastAsia="es-CO"/>
        </w:rPr>
        <w:t>. Este estudio debe elaborarse de acuerdo con los requisitos que el Reglamento NSR-10 establece en su Capítulo A. 10, o la norma que lo adicione, modifique o sustituya, por profesionales con matrícula profesional vigente y facultados para ese fin por la Ley 400 de 1997 y sus reglamentos.  </w:t>
      </w:r>
    </w:p>
    <w:p w14:paraId="3FEA277E" w14:textId="7081AD8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Vicio de la construcción - Son las fallas generadas en los diseños o planos estruc</w:t>
      </w:r>
      <w:r w:rsidRPr="009342F9">
        <w:rPr>
          <w:rFonts w:ascii="Arial" w:eastAsia="Times New Roman" w:hAnsi="Arial" w:cs="Arial"/>
          <w:color w:val="000000"/>
          <w:lang w:eastAsia="es-CO"/>
        </w:rPr>
        <w:softHyphen/>
        <w:t>turales y/o el proceso constructivo de la estructura de la edificación, entendida como unidad estructuralmente independiente, que eventualmente pueden impedir su habitabilidad u ocupación debido al riesgo de pérdida de vidas humanas.  </w:t>
      </w:r>
    </w:p>
    <w:p w14:paraId="39EADE8F"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14F9E1AC" w14:textId="0268F35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Vicio del suelo - Son las fallas generadas en el suelo y/o en la construcción de la cimentación de la edificación, entendida como unidad estructuralmente inde</w:t>
      </w:r>
      <w:r w:rsidRPr="009342F9">
        <w:rPr>
          <w:rFonts w:ascii="Arial" w:eastAsia="Times New Roman" w:hAnsi="Arial" w:cs="Arial"/>
          <w:color w:val="000000"/>
          <w:lang w:eastAsia="es-CO"/>
        </w:rPr>
        <w:softHyphen/>
        <w:t>pendiente, que propiciaron asentamientos diferenciales o totales que exceden los límites permitidos por el Título H del Reglamento NSR-10 y que eventualmente pueden impedir la habitabilidad u ocupación de la edificación debido al riesgo de pérdida de vidas humanas.  </w:t>
      </w:r>
    </w:p>
    <w:p w14:paraId="0F4BE67D"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51532F3E" w14:textId="6DD5FE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Vicio de los materiales - Son las fallas o defectos de los materiales utilizados en el proceso constructivo de la edificación, entendida como unidad estructuralmente independiente, que eventualmente pueden impedir su habitabilidad u ocupación debido al riesgo de pérdida de vidas humanas.  </w:t>
      </w:r>
    </w:p>
    <w:p w14:paraId="458CF68E"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7F483A5B" w14:textId="496B3EDC"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Propietario inicial - Entiéndase por propietario inicial quien asume la calidad de comprador en el primer acto de transferencia de dominio de la vivienda nueva.  </w:t>
      </w:r>
    </w:p>
    <w:p w14:paraId="32575956" w14:textId="77777777" w:rsidR="00377DAA" w:rsidRPr="009342F9" w:rsidRDefault="00377DAA" w:rsidP="00FC79C1">
      <w:pPr>
        <w:spacing w:after="0" w:line="240" w:lineRule="auto"/>
        <w:jc w:val="both"/>
        <w:rPr>
          <w:rFonts w:ascii="Arial" w:eastAsia="Times New Roman" w:hAnsi="Arial" w:cs="Arial"/>
          <w:color w:val="000000"/>
          <w:lang w:eastAsia="es-CO"/>
        </w:rPr>
      </w:pPr>
    </w:p>
    <w:p w14:paraId="10F3B7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reglas sobre la presentación de los estudios que permiten concluir que una edificación se encuentra en estado de ruina o amenaza de ruina deberán especificarse en cada mecanismo de amparo. En todo caso, la entidad otorgante del mecanismo de amparo asumirá el costo de dicho estudio, obligación que no impedirá hacer efectivas las coberturas del mecanismo de amparo.  </w:t>
      </w:r>
    </w:p>
    <w:p w14:paraId="50AE5682" w14:textId="3C6FA46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10" w:name="ver_30188850"/>
      <w:bookmarkEnd w:id="1510"/>
    </w:p>
    <w:p w14:paraId="4B398906" w14:textId="2202848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2.2.6.7.1.1.3. Obligación de amparar los perjuicios patrimoniales. Antes de realizar la primera transferencia de dominio de las nuevas unidades de vivienda que se construyan en proyectos que se sometan al régimen de propiedad horizontal, unidades inmobiliarias cerradas, loteo individual o cualquier otro sistema, incluyendo proyectos de uso mixto, que generen cinco (5) o más unidades habitacionales para transferirlas a terceros, el constructor o enajenador de vivienda nueva, deberá constituir un mecanismo de amparo para cubrir los eventuales perjuicios patrimoniales ocasionados al propietario o sucesivos propietarios de tales viviendas, cuando dentro de los diez (10) años siguientes a la expedición de la certificación técnica de ocupación, la construcción perezca o amenace ruina en todo o en parte por cualquiera de las situaciones contempladas en el numeral 3 del artículo 2060 del Código Civil y detalladas en el artículo 2.2.6.7.1.1.2 del presente decreto.  </w:t>
      </w:r>
    </w:p>
    <w:p w14:paraId="55A397C5"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794A962D" w14:textId="000241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se constituyan patrimonios autónomos o se vinculen personas jurídicas para desarrollar un proyecto de vivienda, se deberá identificar en los correspondientes contratos fiduciarios o estatutos sociales, quién es el constructor o enajenador responsable de amparar los perjuicios patrimoniales. En el caso de los patrimonios autónomos, en los actos constitutivos o en aquellos modificatorios del mismo, se debe indicar claramente que las obligaciones a cargo del enajenador o constructor se encuentran en cabeza de uno o varios fideicomitentes determinados, identificándolos e individualizándolos claramente. En el contrato de fiducia se establecerá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ante la omisión de esta obligación, los fideicomitentes responderán solidariamente frente a los perjuicios patrimoniales que se ocasionen a los propietarios, sin perjuicio de las demás sanciones a que haya lugar. En ningún caso la sociedad fiduciaria será solidariamente responsable de los perjuicios patrimoniales que se causen al propietario inicial o sucesivos propietarios, cuando actúe como vehículo receptor de los activos.  </w:t>
      </w:r>
    </w:p>
    <w:p w14:paraId="718A2DD0"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3D7024E0" w14:textId="5D0C6AB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Sin perjuicio de la obligación directa que tiene el constructor o el enajenador de vivienda nueva de amparar los perjuicios patrimoniales de acuerdo con lo previsto en este artículo, los profesionales que intervienen en el proceso constructivo de las viviendas, deberán responder, con su patrimonio o con cualquier medio idóneo, por los eventuales perjuicios que ocasionare el indebido ejercicio de su labor, de acuerdo con los regímenes de responsabilidad civil y/o penal. En todo caso, ni el constructor o enajenador de vivienda nueva ni la entidad financiera o aseguradora que emita el mecanismo de amparo podrán excusarse de cumplir con su obligación de amparar los perjuicios patrimoniales al propietario o sucesivos propietarios, alegando como eximente la responsabilidad de los profesionales que intervinieron en el proceso constructivo.  </w:t>
      </w:r>
    </w:p>
    <w:p w14:paraId="4065DFBE"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124367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obligación contenida en este artículo se diferencia de la contemplada en la Ley 675 de 2001, referente al deber de constitución de pólizas de seguros que cubran los bienes comunes susceptibles de ser asegurados contra los riesgos de incendio y terremoto.  </w:t>
      </w:r>
    </w:p>
    <w:p w14:paraId="47F7D079" w14:textId="41D672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11" w:name="ver_30188851"/>
      <w:bookmarkEnd w:id="1511"/>
    </w:p>
    <w:p w14:paraId="0905941E" w14:textId="5C0B02CB"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2.2.6.7.1.1.4. Amparo de los perjuicios patrimoniales cuando la vivienda se adquiera con subsidios familiares. Cuando perezcan o amenacen ruina las viviendas nuevas que sean adquiridas total o parcialmente con recursos públicos y/o transferidas por entidades públicas a título de subsidio en especie, la entidad otorgante del subsidio deberá exigir al constructor o enajenador de vivienda nueva la garantía de estabilidad de diez (10) años para bienes inmuebles que establece el artículo 8° de la Ley 1480 de 2011.  </w:t>
      </w:r>
    </w:p>
    <w:p w14:paraId="2D771BAF" w14:textId="77777777" w:rsidR="00377DAA" w:rsidRPr="009342F9" w:rsidRDefault="00377DAA" w:rsidP="00FC79C1">
      <w:pPr>
        <w:spacing w:after="0" w:line="240" w:lineRule="auto"/>
        <w:jc w:val="both"/>
        <w:rPr>
          <w:rFonts w:ascii="Arial" w:eastAsia="Times New Roman" w:hAnsi="Arial" w:cs="Arial"/>
          <w:color w:val="000000"/>
          <w:lang w:eastAsia="es-CO"/>
        </w:rPr>
      </w:pPr>
    </w:p>
    <w:p w14:paraId="360FF4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las viviendas nuevas sean adquiridas parcialmente con recursos públicos otorgados por entidades públicas a título de subsidio, el constructor o el enajenador de vivienda nueva deberá constituir el mecanismo de amparo por la porción del valor de la vivienda que no fue cubierta con el subsidio.  </w:t>
      </w:r>
    </w:p>
    <w:p w14:paraId="7F27337A" w14:textId="13E37E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12" w:name="ver_30188852"/>
      <w:bookmarkEnd w:id="1512"/>
    </w:p>
    <w:p w14:paraId="1DEEC0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2.2.6.7.1.1.5. Mecanismos de amparo. El constructor o el enajenador de vivienda nueva para cumplir con la obligación contenida en el artículo 2.2.6.7.1.1.3 del presente decreto, de acuerdo con lo establecido en los artículos 8° y 9° de la Ley 1796 de 2016, podrá escoger cualquiera de los siguientes mecanismos de amparo:  </w:t>
      </w:r>
    </w:p>
    <w:p w14:paraId="079F58D3"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6B54939A" w14:textId="1970635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Patrimonio propio mediante la constitución de una fiducia en garantía.  </w:t>
      </w:r>
    </w:p>
    <w:p w14:paraId="53D3A389"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6AF7348" w14:textId="071F38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Garantía bancaria.  </w:t>
      </w:r>
    </w:p>
    <w:p w14:paraId="170A1769"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33E66035" w14:textId="793591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Póliza de seguro.  </w:t>
      </w:r>
    </w:p>
    <w:p w14:paraId="3908B814"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8059CEF" w14:textId="77CE1BA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Otros, en los términos del artículo 2.2.6.7.1.5.1 del presente decreto.  </w:t>
      </w:r>
    </w:p>
    <w:p w14:paraId="5EEE5209"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7A6241D4" w14:textId="7930C4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constructor o el enajenador de vivienda nueva podrán implementar uno o varios mecanismos de amparo para cada una de sus obras, edificaciones, etapas y/o unidades estructuralmente independientes. En todo caso, la suma de los valores de los mecanismos de amparo deberá cumplir con el requisito de suficiencia previsto en el artículo 2.2.6.7.1.1.10 del presente decreto.  </w:t>
      </w:r>
    </w:p>
    <w:p w14:paraId="4AAA9F9E"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6846D62" w14:textId="1E8AB76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 conformidad con la Ley 1328 de 2009, las entidades financieras o aseguradoras facultadas para la expedición de los mecanismos de amparo, deberán fundamentar su decisión en causas objetivas para el otorgamiento o negación del respectivo mecanismo.  </w:t>
      </w:r>
    </w:p>
    <w:p w14:paraId="41651C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 expedición del mecanismo de amparo estará respaldada por el cumplimiento de las normas técnicas de construcción sismorresistente, la licencia de construcción aprobada y el Certificado Técnico de Ocupación expedido por el supervisor técnico independiente.  </w:t>
      </w:r>
    </w:p>
    <w:p w14:paraId="5BA0F3E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13" w:name="ver_30188853"/>
      <w:bookmarkEnd w:id="1513"/>
    </w:p>
    <w:p w14:paraId="48BA0D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2.2.6.7.1.1.6. Exclusión. Los mecanismos de amparo regulados en el presente capítulo no cubrirán lo siguiente:  </w:t>
      </w:r>
    </w:p>
    <w:p w14:paraId="1B8B1A2A"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4ADA1D7" w14:textId="0EBA48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Daños extrapatrimoniales y/o corporales.  </w:t>
      </w:r>
    </w:p>
    <w:p w14:paraId="7AB9B323"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342685F4" w14:textId="42776DB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Daños ocasionados a inmuebles contiguos o adyacentes.  </w:t>
      </w:r>
    </w:p>
    <w:p w14:paraId="299CC73D"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44EDBB1B" w14:textId="411A50D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Daños causados a bienes muebles.  </w:t>
      </w:r>
    </w:p>
    <w:p w14:paraId="16CD58B0"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6F2FD000" w14:textId="7E94354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Daños ocasionados por modificaciones u obras realizadas en el edificio después de haber sido expedido el Certificado Técnico de Ocupación por parte del supervisor técnico independiente, salvo aquellas obras efectuadas para subsanar defectos de la edificación por ruina o amenaza de ruina derivada de algunas de las causas pre</w:t>
      </w:r>
      <w:r w:rsidRPr="009342F9">
        <w:rPr>
          <w:rFonts w:ascii="Arial" w:eastAsia="Times New Roman" w:hAnsi="Arial" w:cs="Arial"/>
          <w:color w:val="000000"/>
          <w:lang w:eastAsia="es-CO"/>
        </w:rPr>
        <w:softHyphen/>
        <w:t>vistas en el numeral 3 del artículo 2060 del Código Civil.  </w:t>
      </w:r>
    </w:p>
    <w:p w14:paraId="6FB72324"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184B7DFF" w14:textId="5ED014B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Daños ocasionados por mal uso o falta de mantenimiento o mantenimiento inade</w:t>
      </w:r>
      <w:r w:rsidRPr="009342F9">
        <w:rPr>
          <w:rFonts w:ascii="Arial" w:eastAsia="Times New Roman" w:hAnsi="Arial" w:cs="Arial"/>
          <w:color w:val="000000"/>
          <w:lang w:eastAsia="es-CO"/>
        </w:rPr>
        <w:softHyphen/>
        <w:t>cuado de la edificación.  </w:t>
      </w:r>
    </w:p>
    <w:p w14:paraId="327D1DE4"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32D6BFE" w14:textId="5FCC0F8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Daños originados por incendio, terremoto, inundación, asonada, motín, explosión y en general por agentes externos.  </w:t>
      </w:r>
    </w:p>
    <w:p w14:paraId="1833306E"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094A646" w14:textId="7ED5A8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Daños a los inmuebles por destinación, los inmuebles que no son considerados como construcciones, tales como los árboles, y las construcciones provisionales.  </w:t>
      </w:r>
    </w:p>
    <w:p w14:paraId="65BF6CEF"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01BB8B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incidencias u objeciones técnicas, que realicen las entidades financieras o aseguradoras otorgantes del mecanismo de amparo durante el proceso constructivo, en ningún caso podrán convertirse en exclusiones que limiten la cobertura del amparo ni oponerse a las reclamaciones de los compradores de vivienda.  </w:t>
      </w:r>
    </w:p>
    <w:p w14:paraId="5B3461A7" w14:textId="011782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14" w:name="ver_30188854"/>
      <w:bookmarkEnd w:id="1514"/>
    </w:p>
    <w:p w14:paraId="039330B1" w14:textId="7DF2CAE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2.2.6.7.1.1.7. Características de los mecanismos de amparo. El mecanismo de amparo de perjuicios patrimoniales deberá ser constituido como máximo dentro de los diez (10) días hábiles siguientes a la fecha de expedición del certificado técnico de ocupación. Además, el mecanismo de amparo escogido por el constructor o el enajenador de vivienda nueva deberá cumplir con los requisitos legales y con las condiciones de vigencia, permanencia, liquidez y suficiencia establecidas en este capítulo.  </w:t>
      </w:r>
    </w:p>
    <w:p w14:paraId="665E5103"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40BFB4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Tratándose de las construcciones desarrolladas por etapas o unidades estructurales independientes, al igual que la certificación técnica de ocupación, el mecanismo de amparo podrá ser constituido por cada unidad estructural independiente.  </w:t>
      </w:r>
    </w:p>
    <w:p w14:paraId="2CD8A668" w14:textId="5C9189D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15" w:name="ver_30188855"/>
      <w:bookmarkEnd w:id="1515"/>
    </w:p>
    <w:p w14:paraId="0E74B1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2.2.6.7.1.1.8. Vigencia y permanencia del mecanismo de amparo. El mecanismo de amparo constituido por el constructor o el enajenador de vivienda nueva deberá cubrir eventos ocurridos dentro de los diez (10) años siguientes a la fecha de expedición del respectivo Certificado Técnico de Ocupación. El mecanismo de amparo presentado por el constructor o el enajenador de vivienda nueva se hará efectivo por parte del propietario inicial o los sucesivos propietarios, que se vean afectados por el estado de ruina o amenaza de ruina de la edificación durante el término de cobertura. </w:t>
      </w:r>
    </w:p>
    <w:p w14:paraId="61EA0AE3"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2CC77B78" w14:textId="6AB09C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2.2.6.7.1.1.9. Liquidez del mecanismo de amparo. El mecanismo de amparo debe ofrecer condiciones de liquidez, entendida como la posibilidad de realizar el pago, reconstruir las soluciones habitacionales o realizar la intervención a que haya lugar para garantizar la estabilidad, habitabilidad y seguridad de las viviendas a los beneficiarios, en el término que establece la normativa vigente para cada mecanismo a partir de la reclamación.  </w:t>
      </w:r>
    </w:p>
    <w:p w14:paraId="146451E7"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7BD8742C" w14:textId="67A6BF7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Cuando proceda la reconstrucción o intervención de las viviendas, el término previsto por la normativa vigente para la liquidez de cada </w:t>
      </w:r>
      <w:proofErr w:type="gramStart"/>
      <w:r w:rsidRPr="009342F9">
        <w:rPr>
          <w:rFonts w:ascii="Arial" w:eastAsia="Times New Roman" w:hAnsi="Arial" w:cs="Arial"/>
          <w:color w:val="000000"/>
          <w:lang w:eastAsia="es-CO"/>
        </w:rPr>
        <w:t>mecanismo,</w:t>
      </w:r>
      <w:proofErr w:type="gramEnd"/>
      <w:r w:rsidRPr="009342F9">
        <w:rPr>
          <w:rFonts w:ascii="Arial" w:eastAsia="Times New Roman" w:hAnsi="Arial" w:cs="Arial"/>
          <w:color w:val="000000"/>
          <w:lang w:eastAsia="es-CO"/>
        </w:rPr>
        <w:t xml:space="preserve"> podrá prorrogarse hasta por doce (12) meses más, evento en el cual el constructor o enajenador de vivienda nueva o la entidad otorgante del mecanismo de amparo asumirá, durante este plazo, los gastos relacionados con arrendamientos temporales en que incurran los propietarios de las viviendas afectadas, hasta por un valor mensual de 1.5 </w:t>
      </w: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w:t>
      </w:r>
    </w:p>
    <w:p w14:paraId="030B388F"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39EDAF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dictamen técnico para definir si la edificación puede ser reconstruida deberá ser elaborado por un profesional con matrícula vigente y facultado para ese fin por la Ley 400 de 1997 y las normas que la reglamenten. </w:t>
      </w:r>
    </w:p>
    <w:p w14:paraId="78993E69"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1836F884" w14:textId="29FC405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2.2.6.7.1.1.10. Suficiencia del mecanismo de amparo. El valor de la cobertura del mecanismo de amparo será igual al valor de reconstrucción o reemplazo de la vivienda amparada, según el Índice de Precios del Consumidor (IPC) certificado por el Departamento Nacional de Estadística (DANE), el cual se indexará anualmente durante el término de los diez (10) años de vigencia, teniendo en cuenta el cumplimiento de la norma sismorresistente vigente y las condiciones en que se encontraba la vivienda amparada al momento del siniestro.  </w:t>
      </w:r>
    </w:p>
    <w:p w14:paraId="4D3C857F"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0FE8A6C3" w14:textId="25DA2EB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Cuando sobre la vivienda amparada existan hipotecas, la entidad otorgante del crédito hipotecario será beneficiaria onerosa y tendrá preferencia al momento del pago del reconocimiento de los perjuicios patrimoniales efectuado por el mecanismo de amparo, de acuerdo con lo previsto en los respectivos contratos y en la normativa vigente.  </w:t>
      </w:r>
    </w:p>
    <w:p w14:paraId="3E3E99DD"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6B5253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Dentro de la suficiencia del mecanismo de amparo se tendrá en cuenta el costo de los estudios que permiten concluir que una edificación se encuentra en estado de ruina o amenaza de ruina de acuerdo con lo establecido en el artículo 2.2.6.7.1.1.2. del presente decreto. </w:t>
      </w:r>
    </w:p>
    <w:p w14:paraId="5361DA9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16" w:name="ver_30188861"/>
      <w:bookmarkEnd w:id="1516"/>
    </w:p>
    <w:p w14:paraId="6C0B11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2.2.6.7.1.1.11. Valor del mecanismo de amparo para Vivienda de Interés Social y Vivienda de Interés Prioritario. Las tarifas definidas por las entidades financieras o aseguradoras para la constitución de los mecanismos de amparo sobre las viviendas de interés social y </w:t>
      </w:r>
      <w:proofErr w:type="gramStart"/>
      <w:r w:rsidRPr="009342F9">
        <w:rPr>
          <w:rFonts w:ascii="Arial" w:eastAsia="Times New Roman" w:hAnsi="Arial" w:cs="Arial"/>
          <w:color w:val="000000"/>
          <w:lang w:eastAsia="es-CO"/>
        </w:rPr>
        <w:t>prioritario,</w:t>
      </w:r>
      <w:proofErr w:type="gramEnd"/>
      <w:r w:rsidRPr="009342F9">
        <w:rPr>
          <w:rFonts w:ascii="Arial" w:eastAsia="Times New Roman" w:hAnsi="Arial" w:cs="Arial"/>
          <w:color w:val="000000"/>
          <w:lang w:eastAsia="es-CO"/>
        </w:rPr>
        <w:t xml:space="preserve"> tendrán en cuenta el valor tope de las mismas, definido en el Plan Nacional de Desarrollo vigente según lo previsto en el artículo 91 de la Ley 388 de 1997, o la norma que lo adicione, modifique o sustituya, para no afectar el principio de asequibilidad de la vivienda digna.  </w:t>
      </w:r>
    </w:p>
    <w:p w14:paraId="14F8276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17" w:name="ver_30188862"/>
      <w:bookmarkEnd w:id="1517"/>
    </w:p>
    <w:p w14:paraId="0F0D54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2.2.6.7.1.1.12. Reglas generales para hacer efectivo el mecanismo de amparo. Sin perjuicio de lo pactado en el documento de constitución del mecanismo de amparo ni de los términos de prescripción establecidos por la ley, para hacer efectivas las coberturas por parte de los compradores de vivienda se tendrá en cuenta lo siguiente:  </w:t>
      </w:r>
    </w:p>
    <w:p w14:paraId="0D61D7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Para viviendas pertenecientes al régimen de propiedad horizontal, de conformidad con lo previsto en el artículo 36 de la Ley 675 de 2001, cualquiera de los órganos de dirección y administración, así como el propietario afectado, dentro de los tres (3) días siguientes a la fecha en que se conoció o debió conocer la situación de ruina o amenaza de ruina de la edificación, dará aviso a la entidad otorgante del mecanismo de amparo, para que esta inicie los procedimientos necesarios y, de ser el caso, haga efectivas las coberturas. Este término podrá ampliarse, mas no redu</w:t>
      </w:r>
      <w:r w:rsidRPr="009342F9">
        <w:rPr>
          <w:rFonts w:ascii="Arial" w:eastAsia="Times New Roman" w:hAnsi="Arial" w:cs="Arial"/>
          <w:color w:val="000000"/>
          <w:lang w:eastAsia="es-CO"/>
        </w:rPr>
        <w:softHyphen/>
        <w:t>cirse por las partes.  </w:t>
      </w:r>
    </w:p>
    <w:p w14:paraId="55EFC10E"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7D8A7FFE" w14:textId="6975594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caso de viviendas pertenecientes al régimen de propiedad horizontal, construidas bajo la modalidad de unifamiliares o </w:t>
      </w:r>
      <w:proofErr w:type="spellStart"/>
      <w:r w:rsidRPr="009342F9">
        <w:rPr>
          <w:rFonts w:ascii="Arial" w:eastAsia="Times New Roman" w:hAnsi="Arial" w:cs="Arial"/>
          <w:color w:val="000000"/>
          <w:lang w:eastAsia="es-CO"/>
        </w:rPr>
        <w:t>bifamiliares</w:t>
      </w:r>
      <w:proofErr w:type="spellEnd"/>
      <w:r w:rsidRPr="009342F9">
        <w:rPr>
          <w:rFonts w:ascii="Arial" w:eastAsia="Times New Roman" w:hAnsi="Arial" w:cs="Arial"/>
          <w:color w:val="000000"/>
          <w:lang w:eastAsia="es-CO"/>
        </w:rPr>
        <w:t xml:space="preserve">, el propietario afectado, dentro de los tres (3) días siguientes a la fecha en que se conoció o debió conocer la situación de ruina o amenaza de ruina de la edificación, </w:t>
      </w:r>
      <w:proofErr w:type="gramStart"/>
      <w:r w:rsidRPr="009342F9">
        <w:rPr>
          <w:rFonts w:ascii="Arial" w:eastAsia="Times New Roman" w:hAnsi="Arial" w:cs="Arial"/>
          <w:color w:val="000000"/>
          <w:lang w:eastAsia="es-CO"/>
        </w:rPr>
        <w:t>dará aviso</w:t>
      </w:r>
      <w:proofErr w:type="gramEnd"/>
      <w:r w:rsidRPr="009342F9">
        <w:rPr>
          <w:rFonts w:ascii="Arial" w:eastAsia="Times New Roman" w:hAnsi="Arial" w:cs="Arial"/>
          <w:color w:val="000000"/>
          <w:lang w:eastAsia="es-CO"/>
        </w:rPr>
        <w:t xml:space="preserve"> a la entidad otorgante del mecanismo de amparo, para que esta inicie los procedimientos necesarios y, de ser el caso, haga efectivas las coberturas. Este término podrá ampliarse, mas no reducirse por las partes.  </w:t>
      </w:r>
    </w:p>
    <w:p w14:paraId="1FEFB829" w14:textId="77777777" w:rsidR="00D4095E" w:rsidRPr="009342F9" w:rsidRDefault="00D4095E" w:rsidP="00FC79C1">
      <w:pPr>
        <w:spacing w:after="0" w:line="240" w:lineRule="auto"/>
        <w:jc w:val="both"/>
        <w:rPr>
          <w:rFonts w:ascii="Arial" w:eastAsia="Times New Roman" w:hAnsi="Arial" w:cs="Arial"/>
          <w:color w:val="000000"/>
          <w:lang w:eastAsia="es-CO"/>
        </w:rPr>
      </w:pPr>
    </w:p>
    <w:p w14:paraId="56FCD035" w14:textId="17826B1A" w:rsidR="00FC79C1" w:rsidRPr="009342F9" w:rsidRDefault="00FC79C1" w:rsidP="00D4095E">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Para viviendas que no pertenezcan al régimen de propiedad horizontal dentro de los tres (3) días siguientes a la fecha en que se conoció o debió conocer la situación de ruina o amenaza de ruina de la edificación, el propietario de la vivienda dará noticia a la entidad otorgante del mecanismo de amparo, para que esta inicie los procedimientos necesarios y, de ser el caso, haga efectivas las coberturas. Este término podrá ampliarse, mas no </w:t>
      </w:r>
    </w:p>
    <w:p w14:paraId="01538D48" w14:textId="77777777" w:rsidR="00D4095E" w:rsidRPr="009342F9" w:rsidRDefault="00D4095E" w:rsidP="00D4095E">
      <w:pPr>
        <w:spacing w:after="0" w:line="240" w:lineRule="auto"/>
        <w:jc w:val="both"/>
        <w:rPr>
          <w:rFonts w:ascii="Arial" w:eastAsia="Times New Roman" w:hAnsi="Arial" w:cs="Arial"/>
          <w:color w:val="000000"/>
          <w:lang w:eastAsia="es-CO"/>
        </w:rPr>
      </w:pPr>
    </w:p>
    <w:p w14:paraId="3BCC6B0E" w14:textId="77777777" w:rsidR="00FC79C1" w:rsidRPr="009342F9" w:rsidRDefault="00FC79C1" w:rsidP="00D4095E">
      <w:pPr>
        <w:spacing w:after="0" w:line="240" w:lineRule="auto"/>
        <w:jc w:val="center"/>
        <w:rPr>
          <w:rFonts w:ascii="Arial" w:eastAsia="Times New Roman" w:hAnsi="Arial" w:cs="Arial"/>
          <w:b/>
          <w:bCs/>
          <w:color w:val="000000"/>
          <w:lang w:eastAsia="es-CO"/>
        </w:rPr>
      </w:pPr>
      <w:bookmarkStart w:id="1518" w:name="ver_30188863"/>
      <w:bookmarkEnd w:id="1518"/>
      <w:r w:rsidRPr="009342F9">
        <w:rPr>
          <w:rFonts w:ascii="Arial" w:eastAsia="Times New Roman" w:hAnsi="Arial" w:cs="Arial"/>
          <w:b/>
          <w:bCs/>
          <w:color w:val="000000"/>
          <w:lang w:eastAsia="es-CO"/>
        </w:rPr>
        <w:t>SUBSECCIÓN 2</w:t>
      </w:r>
    </w:p>
    <w:p w14:paraId="2C33BDD9" w14:textId="77777777" w:rsidR="00FC79C1" w:rsidRPr="009342F9" w:rsidRDefault="00FC79C1" w:rsidP="00D4095E">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PATRIMONIO - FIDUCIA EN GARANTÍA</w:t>
      </w:r>
    </w:p>
    <w:p w14:paraId="5806E56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19" w:name="ver_30188864"/>
      <w:bookmarkEnd w:id="1519"/>
    </w:p>
    <w:p w14:paraId="1B9C7E43" w14:textId="424F79F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2.2.6.7.1.2.1. Constitución de fiducia en garantía. El constructor o enajenador de vivienda nueva podrá constituir una fiducia en garantía, en virtud de la cual transfiera a un patrimonio autónomo activos de su propiedad o de terceros con el fin de amparar los eventuales perjuicios patrimoniales en los términos de este Capítulo, los cuales serán administrados por una sociedad fiduciaria.  </w:t>
      </w:r>
    </w:p>
    <w:p w14:paraId="7E07A989"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5DA486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contrato de fiducia deberá quedar estipulada la forma como el constructor o el enajenador de vivienda cubrirá los gastos de administración que se deriven de la constitución de la fiducia en garantía y la manera cómo garantizará durante la vigencia del mecanismo de amparo la suficiencia de los activos entregados para cubrir los perjuicios patrimoniales, así como las consecuencias de su incumplimiento.  </w:t>
      </w:r>
    </w:p>
    <w:p w14:paraId="29DAEEF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20" w:name="ver_30188865"/>
      <w:bookmarkEnd w:id="1520"/>
    </w:p>
    <w:p w14:paraId="4F0F8174" w14:textId="06FFE9A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2.2.6.7.1.2.2. Condiciones. La fiducia en garantía deberá cumplir con los siguientes criterios mínimos:  </w:t>
      </w:r>
    </w:p>
    <w:p w14:paraId="22B463E5"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0E630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fideicomitente será el constructor o el enajenador de la vivienda nueva y el be</w:t>
      </w:r>
      <w:r w:rsidRPr="009342F9">
        <w:rPr>
          <w:rFonts w:ascii="Arial" w:eastAsia="Times New Roman" w:hAnsi="Arial" w:cs="Arial"/>
          <w:color w:val="000000"/>
          <w:lang w:eastAsia="es-CO"/>
        </w:rPr>
        <w:softHyphen/>
        <w:t>neficiario será el propietario de la vivienda en el momento de ocurrencia de la ruina o amenaza de ruina de la edificación.  </w:t>
      </w:r>
    </w:p>
    <w:p w14:paraId="7EAB1217"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39E57DFD" w14:textId="61BF304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sociedad fiduciaria deberá estar autorizada para el efecto por la Superintenden</w:t>
      </w:r>
      <w:r w:rsidRPr="009342F9">
        <w:rPr>
          <w:rFonts w:ascii="Arial" w:eastAsia="Times New Roman" w:hAnsi="Arial" w:cs="Arial"/>
          <w:color w:val="000000"/>
          <w:lang w:eastAsia="es-CO"/>
        </w:rPr>
        <w:softHyphen/>
        <w:t>cia Financiera de Colombia.  </w:t>
      </w:r>
    </w:p>
    <w:p w14:paraId="0D38C76E"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341F2E66" w14:textId="03E1EC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transferencia de los bienes al patrimonio autónomo será irrevocable dentro del término legal del amparo, salvo cuando proceda su sustitución en los términos de esta subsección.  </w:t>
      </w:r>
    </w:p>
    <w:p w14:paraId="0FAC86CD"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B43D094" w14:textId="56477DA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fiducia en garantía deberá cumplir con las características enunciadas en este Capítulo, en especial con lo señalado en cuanto a vigencia, permanencia, liquidez, suficiencia y momento de constitución.  </w:t>
      </w:r>
    </w:p>
    <w:p w14:paraId="608DFFCF" w14:textId="68BC281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21" w:name="ver_30188866"/>
      <w:bookmarkEnd w:id="1521"/>
    </w:p>
    <w:p w14:paraId="429B99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2.2.6.7.1.2.3. Bienes fideicomitidos. El patrimonio autónomo deberá estar conformado por activos cuyo valor o producto corresponda al monto que permitirá amparar los eventuales perjuicios patrimoniales que ocurran sobre las viviendas nuevas conforme a lo establecido en este Capítulo.  </w:t>
      </w:r>
    </w:p>
    <w:p w14:paraId="665F22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constructor o enajenador de vivienda nueva al momento de efectuar el aporte deberá identificar expresamente lo siguiente:  </w:t>
      </w:r>
    </w:p>
    <w:p w14:paraId="75F68100"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6AC2EA64" w14:textId="155B98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bienes inmuebles respecto de los cuales se está cumpliendo la obligación de amparo de acuerdo con lo dispuesto en el presente capítulo;  </w:t>
      </w:r>
    </w:p>
    <w:p w14:paraId="34F543E7"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52A6F577" w14:textId="0CBFCBA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suficiencia y liquidez de la garantía en los términos de los artículos 2.2.6.7.1.1.9 y 2.2.6.7.1.1.10 del presente decreto;  </w:t>
      </w:r>
    </w:p>
    <w:p w14:paraId="271E4810"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6A23A8B9" w14:textId="403AB42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fecha de expedición del Certificado Técnico de Ocupación.  </w:t>
      </w:r>
    </w:p>
    <w:p w14:paraId="77ED9D67"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750CC0E2" w14:textId="4FBF460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avalúo inicial de los bienes por el cual se realiza su transferencia.  </w:t>
      </w:r>
    </w:p>
    <w:p w14:paraId="67B10ED1"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05508BBA" w14:textId="71BC811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bienes inmuebles o activos transferidos al patrimonio autónomo para el pago de los perjuicios patrimoniales a los que se hace referencia en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deberán estar libres de limitaciones o gravámenes al derecho de dominio, salvo aquellas derivadas del sometimiento al régimen de propiedad horizontal de los mismos.  </w:t>
      </w:r>
    </w:p>
    <w:p w14:paraId="3F185AD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22" w:name="ver_30200410"/>
      <w:bookmarkStart w:id="1523" w:name="ver_30188869"/>
      <w:bookmarkEnd w:id="1522"/>
    </w:p>
    <w:p w14:paraId="2460A592" w14:textId="0E92627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2.2.6.7.1.2.4. Avalúo de los bienes fideicomitidos. La sociedad fiduciaria ordenará el avalúo inicial y la actualización anual del mismo, sobre los bienes y/o derechos fideicomitidos para efectos de determinar y asegurar la suficiencia del mecanismo de amparo. </w:t>
      </w:r>
    </w:p>
    <w:p w14:paraId="20D7157E"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ABC9ADF" w14:textId="22A0A89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 el avalúo es inferior al monto amparado establecido en el artículo 2.2.6.7.1.1.10 del presente decreto, el constructor o enajenador de vivienda nueva deberá reemplazar o aumentar los activos para garantizar la suficiencia del amparo, en un plazo no mayor a seis (6) meses, so pena de incurrir en el incumplimiento del artículo 8° de la Ley 1796 de 2016. </w:t>
      </w:r>
    </w:p>
    <w:p w14:paraId="0870BAAB"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08E25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El avalúo debe estar a cargo de un </w:t>
      </w:r>
      <w:proofErr w:type="spellStart"/>
      <w:r w:rsidRPr="009342F9">
        <w:rPr>
          <w:rFonts w:ascii="Arial" w:eastAsia="Times New Roman" w:hAnsi="Arial" w:cs="Arial"/>
          <w:color w:val="000000"/>
          <w:lang w:eastAsia="es-CO"/>
        </w:rPr>
        <w:t>avaluador</w:t>
      </w:r>
      <w:proofErr w:type="spellEnd"/>
      <w:r w:rsidRPr="009342F9">
        <w:rPr>
          <w:rFonts w:ascii="Arial" w:eastAsia="Times New Roman" w:hAnsi="Arial" w:cs="Arial"/>
          <w:color w:val="000000"/>
          <w:lang w:eastAsia="es-CO"/>
        </w:rPr>
        <w:t xml:space="preserve"> inscrito en el Registro Abierto de </w:t>
      </w:r>
      <w:proofErr w:type="spellStart"/>
      <w:r w:rsidRPr="009342F9">
        <w:rPr>
          <w:rFonts w:ascii="Arial" w:eastAsia="Times New Roman" w:hAnsi="Arial" w:cs="Arial"/>
          <w:color w:val="000000"/>
          <w:lang w:eastAsia="es-CO"/>
        </w:rPr>
        <w:t>Avaluadores</w:t>
      </w:r>
      <w:proofErr w:type="spellEnd"/>
      <w:r w:rsidRPr="009342F9">
        <w:rPr>
          <w:rFonts w:ascii="Arial" w:eastAsia="Times New Roman" w:hAnsi="Arial" w:cs="Arial"/>
          <w:color w:val="000000"/>
          <w:lang w:eastAsia="es-CO"/>
        </w:rPr>
        <w:t xml:space="preserve"> (RAA) de conformidad con lo establecido en la Ley 1673 de 2013, o la norma que la adicione, modifique o sustituya. La remuneración de los </w:t>
      </w:r>
      <w:proofErr w:type="spellStart"/>
      <w:r w:rsidRPr="009342F9">
        <w:rPr>
          <w:rFonts w:ascii="Arial" w:eastAsia="Times New Roman" w:hAnsi="Arial" w:cs="Arial"/>
          <w:color w:val="000000"/>
          <w:lang w:eastAsia="es-CO"/>
        </w:rPr>
        <w:t>avaluadores</w:t>
      </w:r>
      <w:proofErr w:type="spellEnd"/>
      <w:r w:rsidRPr="009342F9">
        <w:rPr>
          <w:rFonts w:ascii="Arial" w:eastAsia="Times New Roman" w:hAnsi="Arial" w:cs="Arial"/>
          <w:color w:val="000000"/>
          <w:lang w:eastAsia="es-CO"/>
        </w:rPr>
        <w:t xml:space="preserve"> y de los costos del avalúo debe ser cubierta por la sociedad fiduciaria con cargo a los recursos del fideicomiso”. </w:t>
      </w:r>
    </w:p>
    <w:p w14:paraId="7F0E6051" w14:textId="2E4E1B3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24" w:name="ver_30188870"/>
      <w:bookmarkEnd w:id="1523"/>
      <w:bookmarkEnd w:id="1524"/>
    </w:p>
    <w:p w14:paraId="6591F0D2" w14:textId="0577CC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2.2.6.7.1.2.5. Certificado de garantía. La sociedad fiduciaria deberá expedir a nombre del constructor o enajenador de vivienda nueva un certificado en el cual conste la siguiente información:  </w:t>
      </w:r>
    </w:p>
    <w:p w14:paraId="5FFD6ACD"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AD089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suficiencia de la garantía, en los términos del artículo 2.2.6.7.1.1.10 del presente decreto;  </w:t>
      </w:r>
    </w:p>
    <w:p w14:paraId="756A7B3F"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1D3C70BB" w14:textId="63FCD45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estados financieros actualizados del patrimonio autónomo;  </w:t>
      </w:r>
    </w:p>
    <w:p w14:paraId="32BD72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Una descripción de los bienes que conforman el patrimonio autónomo;  </w:t>
      </w:r>
    </w:p>
    <w:p w14:paraId="5684256A"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8EBE286" w14:textId="11070CD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procedimiento a surtirse en caso de hacerse exigible el amparo, el cual no podrá imponer al comprador de vivienda condiciones más gravosas a las contenidas en este capítulo.  </w:t>
      </w:r>
    </w:p>
    <w:p w14:paraId="504823B8"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7C5DF389" w14:textId="269C2BC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procedimiento que debe surtirse en caso de hacerse exigible el amparo debe quedar estipulado en el respectivo contrato de fiducia.  </w:t>
      </w:r>
    </w:p>
    <w:p w14:paraId="66480ABE" w14:textId="61C0121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25" w:name="ver_30188871"/>
      <w:bookmarkEnd w:id="1525"/>
    </w:p>
    <w:p w14:paraId="74D0F6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2.2.6.7.1.2.6. Restitución de los bienes. La sociedad fiduciaria restituirá al constructor o enajenador de vivienda nueva la titularidad de los bienes contenidos en el patrimonio autónomo, una vez se haya cumplido el plazo de la obligación de amparar los perjuicios patrimoniales sin que hubiere ocurrido alguno de los siniestros previstos en este capítulo.  </w:t>
      </w:r>
    </w:p>
    <w:p w14:paraId="5E2C60D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26" w:name="ver_30188872"/>
      <w:bookmarkEnd w:id="1526"/>
    </w:p>
    <w:p w14:paraId="678C94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2.2.6.7.1.2.7. Exclusión de bienes. A la luz de lo dispuesto en el parágrafo del artículo 3° de la Ley 1676 de 2013, al contrato de fiducia en garantía se aplicará lo dispuesto en dicha ley en lo referente al registro, la oponibilidad y la restitución de la tenencia del bien objeto de comodato precario. El registro tendrá para el contrato de Fiducia Mercantil con fines de garantía los efectos previstos en el parágrafo del artículo 55 de la Ley 1116 de 2006. </w:t>
      </w:r>
    </w:p>
    <w:p w14:paraId="485CAF3C" w14:textId="77777777" w:rsidR="00F74103" w:rsidRPr="009342F9" w:rsidRDefault="00F74103" w:rsidP="00FC79C1">
      <w:pPr>
        <w:spacing w:after="0" w:line="240" w:lineRule="auto"/>
        <w:jc w:val="both"/>
        <w:rPr>
          <w:rFonts w:ascii="Arial" w:eastAsia="Times New Roman" w:hAnsi="Arial" w:cs="Arial"/>
          <w:color w:val="000000"/>
          <w:lang w:eastAsia="es-CO"/>
        </w:rPr>
      </w:pPr>
      <w:bookmarkStart w:id="1527" w:name="ver_30188874"/>
      <w:bookmarkEnd w:id="1527"/>
    </w:p>
    <w:p w14:paraId="5B129C84" w14:textId="208278B0"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740B6C83"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GARANTÍA BANCARIA</w:t>
      </w:r>
    </w:p>
    <w:p w14:paraId="754EC164"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528" w:name="ver_30188875"/>
      <w:bookmarkEnd w:id="1528"/>
    </w:p>
    <w:p w14:paraId="695E17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2.2.6.7.1.3.1. Garantías Bancarias. El constructor o enajenador de vivienda nueva podrá amparar los perjuicios patrimoniales mediante la constitución de una garantía bancaria por medio de la cual un establecimiento de crédito autorizado y vigilado asuma el compromiso de amparar los perjuicios patrimoniales según lo dispuesto en este capítulo. Para ser admisibles las garantías bancarias deben reunir las siguientes condiciones:  </w:t>
      </w:r>
    </w:p>
    <w:p w14:paraId="7F417D85"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59B5CBC6" w14:textId="26BB6C9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Constar en documento privado expedido por un establecimiento de crédito auto</w:t>
      </w:r>
      <w:r w:rsidRPr="009342F9">
        <w:rPr>
          <w:rFonts w:ascii="Arial" w:eastAsia="Times New Roman" w:hAnsi="Arial" w:cs="Arial"/>
          <w:color w:val="000000"/>
          <w:lang w:eastAsia="es-CO"/>
        </w:rPr>
        <w:softHyphen/>
        <w:t>rizado y vigilado por la Superintendencia Financiera de Colombia, suscrito por el representante legal o apoderado de la entidad garante, en el cual el establecimiento de crédito asuma en forma expresa, independiente, incondicional, autónoma e irre</w:t>
      </w:r>
      <w:r w:rsidRPr="009342F9">
        <w:rPr>
          <w:rFonts w:ascii="Arial" w:eastAsia="Times New Roman" w:hAnsi="Arial" w:cs="Arial"/>
          <w:color w:val="000000"/>
          <w:lang w:eastAsia="es-CO"/>
        </w:rPr>
        <w:softHyphen/>
        <w:t>vocable la obligación del constructor o enajenador de vivienda nueva de indem</w:t>
      </w:r>
      <w:r w:rsidRPr="009342F9">
        <w:rPr>
          <w:rFonts w:ascii="Arial" w:eastAsia="Times New Roman" w:hAnsi="Arial" w:cs="Arial"/>
          <w:color w:val="000000"/>
          <w:lang w:eastAsia="es-CO"/>
        </w:rPr>
        <w:softHyphen/>
        <w:t>nizar a los propietarios iniciales o propietarios sucesivos de las viviendas el valor de reconstrucción o reemplazo de las mismas, en caso de que estas perezcan o amenacen ruina.  </w:t>
      </w:r>
    </w:p>
    <w:p w14:paraId="613ECE21"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E574B97" w14:textId="0E795F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Se deberá anexar a la garantía bancaria un certificado de existencia y representa</w:t>
      </w:r>
      <w:r w:rsidRPr="009342F9">
        <w:rPr>
          <w:rFonts w:ascii="Arial" w:eastAsia="Times New Roman" w:hAnsi="Arial" w:cs="Arial"/>
          <w:color w:val="000000"/>
          <w:lang w:eastAsia="es-CO"/>
        </w:rPr>
        <w:softHyphen/>
        <w:t>ción legal expedido por la Superintendencia Financiera de Colombia.  </w:t>
      </w:r>
    </w:p>
    <w:p w14:paraId="01A0975F"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65FB9F78" w14:textId="4176B23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Para que la garantía bancaria tenga validez en el amparo de perjuicios patrimonia</w:t>
      </w:r>
      <w:r w:rsidRPr="009342F9">
        <w:rPr>
          <w:rFonts w:ascii="Arial" w:eastAsia="Times New Roman" w:hAnsi="Arial" w:cs="Arial"/>
          <w:color w:val="000000"/>
          <w:lang w:eastAsia="es-CO"/>
        </w:rPr>
        <w:softHyphen/>
        <w:t>les de que trata este Capítulo, en el documento de constitución, la entidad otorgante del mecanismo de amparo tendrá que pactar la irrevocabilidad del amparo.  </w:t>
      </w:r>
    </w:p>
    <w:p w14:paraId="6FF0A125"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0121A09B" w14:textId="08DBB66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garantía bancaria deberá cumplir con las características enunciadas en este Ca</w:t>
      </w:r>
      <w:r w:rsidRPr="009342F9">
        <w:rPr>
          <w:rFonts w:ascii="Arial" w:eastAsia="Times New Roman" w:hAnsi="Arial" w:cs="Arial"/>
          <w:color w:val="000000"/>
          <w:lang w:eastAsia="es-CO"/>
        </w:rPr>
        <w:softHyphen/>
        <w:t>pítulo, en especial con lo señalado en cuanto a vigencia, permanencia, liquidez, su</w:t>
      </w:r>
      <w:r w:rsidRPr="009342F9">
        <w:rPr>
          <w:rFonts w:ascii="Arial" w:eastAsia="Times New Roman" w:hAnsi="Arial" w:cs="Arial"/>
          <w:color w:val="000000"/>
          <w:lang w:eastAsia="es-CO"/>
        </w:rPr>
        <w:softHyphen/>
        <w:t>ficiencia y momento de constitución. Además, debe contemplar de forma expresa la renuncia de la entidad garante al beneficio de excusión.  </w:t>
      </w:r>
    </w:p>
    <w:p w14:paraId="021AFD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AB42BA" w14:textId="1D5E92E7" w:rsidR="00FC79C1" w:rsidRPr="009342F9" w:rsidRDefault="00FC79C1" w:rsidP="00F74103">
      <w:pPr>
        <w:spacing w:after="0" w:line="240" w:lineRule="auto"/>
        <w:jc w:val="center"/>
        <w:rPr>
          <w:rFonts w:ascii="Arial" w:eastAsia="Times New Roman" w:hAnsi="Arial" w:cs="Arial"/>
          <w:b/>
          <w:bCs/>
          <w:color w:val="000000"/>
          <w:lang w:eastAsia="es-CO"/>
        </w:rPr>
      </w:pPr>
      <w:bookmarkStart w:id="1529" w:name="ver_30188876"/>
      <w:bookmarkEnd w:id="1529"/>
      <w:r w:rsidRPr="009342F9">
        <w:rPr>
          <w:rFonts w:ascii="Arial" w:eastAsia="Times New Roman" w:hAnsi="Arial" w:cs="Arial"/>
          <w:b/>
          <w:bCs/>
          <w:color w:val="000000"/>
          <w:lang w:eastAsia="es-CO"/>
        </w:rPr>
        <w:t>SUBSECCIÓN 4</w:t>
      </w:r>
    </w:p>
    <w:p w14:paraId="4F2B8A6C"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PÓLIZA DE SEGURO</w:t>
      </w:r>
    </w:p>
    <w:p w14:paraId="546A3B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0" w:name="ver_30188877"/>
      <w:bookmarkEnd w:id="1530"/>
    </w:p>
    <w:p w14:paraId="0A7BAD20" w14:textId="7D63021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2.2.6.7.1.4.1. Póliza de seguro. El constructor o enajenador de vivienda nueva podrá constituir pólizas de seguro para cubrir los perjuicios patrimoniales causados a los propietarios que se vean afectados cuando la edificación perezca o amenace ruina, las cuales deberán cumplir con las características previstas en este Capítulo.  </w:t>
      </w:r>
    </w:p>
    <w:p w14:paraId="5A53EEF7"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45AD65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Financiera de Colombia creará un nuevo ramo de seguro para la expedición de las pólizas de las que trata la presente subsección.  </w:t>
      </w:r>
    </w:p>
    <w:p w14:paraId="4D13490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1" w:name="ver_30188878"/>
      <w:bookmarkEnd w:id="1531"/>
    </w:p>
    <w:p w14:paraId="77E4CF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2.2.6.7.1.4.2. Características del seguro. Las pólizas de seguros deben cumplir con lo previsto en el Código de Comercio y, adicionalmente, reunir las siguientes condiciones:  </w:t>
      </w:r>
    </w:p>
    <w:p w14:paraId="5A6CF9E5"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1FE92E0D" w14:textId="6103660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seguro debe corresponder a la categoría de seguro real y de ocurrencia, el cual tendrá por objeto resarcir, en caso de siniestro, al propietario inicial, o sucesivos propietarios de las viviendas nuevas por los perjuicios patrimoniales causados.  </w:t>
      </w:r>
    </w:p>
    <w:p w14:paraId="3932FF55"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4F985EE5" w14:textId="21BBB59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Serán asegurados y beneficiarios quienes ostenten la calidad de propietarios al mo</w:t>
      </w:r>
      <w:r w:rsidRPr="009342F9">
        <w:rPr>
          <w:rFonts w:ascii="Arial" w:eastAsia="Times New Roman" w:hAnsi="Arial" w:cs="Arial"/>
          <w:color w:val="000000"/>
          <w:lang w:eastAsia="es-CO"/>
        </w:rPr>
        <w:softHyphen/>
        <w:t>mento de la ocurrencia del siniestro dentro del término de vigencia de la obliga</w:t>
      </w:r>
      <w:r w:rsidRPr="009342F9">
        <w:rPr>
          <w:rFonts w:ascii="Arial" w:eastAsia="Times New Roman" w:hAnsi="Arial" w:cs="Arial"/>
          <w:color w:val="000000"/>
          <w:lang w:eastAsia="es-CO"/>
        </w:rPr>
        <w:softHyphen/>
        <w:t>ción.  </w:t>
      </w:r>
    </w:p>
    <w:p w14:paraId="104FD628"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37D5D8C" w14:textId="747A3BA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seguro será tomado por el constructor o enajenador de vivienda nueva por cuen</w:t>
      </w:r>
      <w:r w:rsidRPr="009342F9">
        <w:rPr>
          <w:rFonts w:ascii="Arial" w:eastAsia="Times New Roman" w:hAnsi="Arial" w:cs="Arial"/>
          <w:color w:val="000000"/>
          <w:lang w:eastAsia="es-CO"/>
        </w:rPr>
        <w:softHyphen/>
        <w:t>ta propia y por cuenta del propietario inicial o sucesivos propietarios.  </w:t>
      </w:r>
    </w:p>
    <w:p w14:paraId="22104178"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1B7A7BFC" w14:textId="61D7778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póliza de seguro deberá ser expedida por una entidad aseguradora autorizada y vigilada por la Superintendencia Financiera de Colombia.  </w:t>
      </w:r>
    </w:p>
    <w:p w14:paraId="42594FEB"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44F327E5" w14:textId="64AC55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póliza deberá ser irrevocable, permanente, líquida y suficiente, de acuerdo con las definiciones de este Capítulo y no podrá terminarse de mutuo acuerdo ni revo</w:t>
      </w:r>
      <w:r w:rsidRPr="009342F9">
        <w:rPr>
          <w:rFonts w:ascii="Arial" w:eastAsia="Times New Roman" w:hAnsi="Arial" w:cs="Arial"/>
          <w:color w:val="000000"/>
          <w:lang w:eastAsia="es-CO"/>
        </w:rPr>
        <w:softHyphen/>
        <w:t>carse unilateralmente.  </w:t>
      </w:r>
    </w:p>
    <w:p w14:paraId="135E4181"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3F4E629E" w14:textId="775BAF3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La prima deberá estar pagada en su totalidad como máximo dentro de los diez (10) días hábiles siguientes a la fecha de expedición del Certificado Técnico de Ocupación por parte del supervisor técnico independiente y antes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póliza, así mismo se anexará a la escritura pública de transferencia el recibo de pago legalizado.  </w:t>
      </w:r>
    </w:p>
    <w:p w14:paraId="015247A0"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3D2A2CDA" w14:textId="2203A8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En concordancia con lo dispuesto en el artículo 1044 del Código de Comercio, para este tipo de pólizas el asegurador deberá estipular que no podrá oponer al benefi</w:t>
      </w:r>
      <w:r w:rsidRPr="009342F9">
        <w:rPr>
          <w:rFonts w:ascii="Arial" w:eastAsia="Times New Roman" w:hAnsi="Arial" w:cs="Arial"/>
          <w:color w:val="000000"/>
          <w:lang w:eastAsia="es-CO"/>
        </w:rPr>
        <w:softHyphen/>
        <w:t>ciario las excepciones que hubiera podido alegar contra el tomador.  </w:t>
      </w:r>
    </w:p>
    <w:p w14:paraId="2ADBB59A"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16077ECA" w14:textId="4C927D3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La póliza podrá contratarse de manera individual o colectiva, en este último caso se debe emitir el correspondiente certificado individual a cada uno de los proyectos asegurados. </w:t>
      </w:r>
    </w:p>
    <w:p w14:paraId="049B62B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2" w:name="ver_30188879"/>
      <w:bookmarkEnd w:id="1532"/>
    </w:p>
    <w:p w14:paraId="582608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2.2.6.7.1.4.3. Pago de la prima. El pago de la prima será único por toda la duración del contrato de seguro. Sin embargo, el constructor o enajenador de vivienda nueva o tercero, previo acuerdo con la entidad aseguradora, podrá diferir el pago de la prima desde el inicio de la construcción y, en todo caso, la prima deberá estar pagada por el constructor o enajenador o un tercero en su totalidad como máximo dentro de los diez (10) días hábiles siguientes a la fecha de expedición del Certificado Técnico de Ocupación por parte del supervisor técnico independiente y antes de la entrada en vigencia de la póliza.  </w:t>
      </w:r>
    </w:p>
    <w:p w14:paraId="45A97F7F" w14:textId="77777777" w:rsidR="00AD0669" w:rsidRDefault="00AD0669" w:rsidP="00FC79C1">
      <w:pPr>
        <w:spacing w:after="0" w:line="240" w:lineRule="auto"/>
        <w:jc w:val="both"/>
        <w:rPr>
          <w:rFonts w:ascii="Arial" w:eastAsia="Times New Roman" w:hAnsi="Arial" w:cs="Arial"/>
          <w:color w:val="000000"/>
          <w:lang w:eastAsia="es-CO"/>
        </w:rPr>
      </w:pPr>
    </w:p>
    <w:p w14:paraId="46332F25" w14:textId="0E11384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Sin perjuicio de lo establecido en el presente artículo, el constructor o enajenador o un tercero podrán optar por realizar un único e indivisible pago de la prima para la obtención del amparo al que se refiere el presente capítulo, al momento del otorgamiento del Certificado Técnico de Ocupación por parte del supervisor técnico independiente.  </w:t>
      </w:r>
    </w:p>
    <w:p w14:paraId="35E0952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3" w:name="ver_30188880"/>
      <w:bookmarkEnd w:id="1533"/>
    </w:p>
    <w:p w14:paraId="03C6B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2.2.6.7.1.4.4. Emisión de la póliza. La póliza de seguro o el certificado individual respectivo deberá ser emitida por proyecto y se protocolizará en los actos de transferencia de las unidades habitacionales privadas resultantes.  </w:t>
      </w:r>
    </w:p>
    <w:p w14:paraId="30631F65"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79865457" w14:textId="49D2A0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 obstante, cuando el Supervisor Técnico Independiente expida un certificado técnico de ocupación por unidad estructuralmente independiente, la póliza de seguro o el certificado individual podrá expedirse por cada una de estas. De igual forma se procederá con los proyectos de construcción por etapas de que trata la Ley 675 de 2001.  </w:t>
      </w:r>
    </w:p>
    <w:p w14:paraId="5FC0BE2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4" w:name="ver_30188881"/>
      <w:bookmarkEnd w:id="1534"/>
    </w:p>
    <w:p w14:paraId="004ABA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2.2.6.7.1.4.5. Deducibles. Podrán pactarse deducibles, desde que los mismos no superen el 0,5% del valor del amparo y se encuentren a cargo del tomador del seguro. En ningún caso se efectuarán erogaciones obligatorias a cargo de los beneficiarios del amparo.  </w:t>
      </w:r>
    </w:p>
    <w:p w14:paraId="2EE3E44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5" w:name="ver_30188882"/>
      <w:bookmarkEnd w:id="1535"/>
    </w:p>
    <w:p w14:paraId="77B903B4" w14:textId="65B82C9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2.2.6.7.1.4.6. Coberturas adicionales. La entidad aseguradora que emita la póliza de seguro podrá acordar con el constructor o enajenador de vivienda nueva, la inclusión de coberturas adicionales siempre que guarden conexidad con el objeto de la cobertura principal.  </w:t>
      </w:r>
    </w:p>
    <w:p w14:paraId="6592D6CC"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0FD00C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coberturas adicionales se tendrán como opcionales y no serán requisito indispensable para la expedición de la póliza que cubra la garantía de que trata la presente subsección.  </w:t>
      </w:r>
    </w:p>
    <w:p w14:paraId="512451C3" w14:textId="4D473051"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618F09" w14:textId="50365A7E" w:rsidR="00FC79C1" w:rsidRPr="009342F9" w:rsidRDefault="00FC79C1" w:rsidP="00F74103">
      <w:pPr>
        <w:spacing w:after="0" w:line="240" w:lineRule="auto"/>
        <w:jc w:val="center"/>
        <w:rPr>
          <w:rFonts w:ascii="Arial" w:eastAsia="Times New Roman" w:hAnsi="Arial" w:cs="Arial"/>
          <w:b/>
          <w:bCs/>
          <w:color w:val="000000"/>
          <w:lang w:eastAsia="es-CO"/>
        </w:rPr>
      </w:pPr>
      <w:bookmarkStart w:id="1536" w:name="ver_30188883"/>
      <w:bookmarkEnd w:id="1536"/>
      <w:r w:rsidRPr="009342F9">
        <w:rPr>
          <w:rFonts w:ascii="Arial" w:eastAsia="Times New Roman" w:hAnsi="Arial" w:cs="Arial"/>
          <w:b/>
          <w:bCs/>
          <w:color w:val="000000"/>
          <w:lang w:eastAsia="es-CO"/>
        </w:rPr>
        <w:t>SUBSECCIÓN 5</w:t>
      </w:r>
    </w:p>
    <w:p w14:paraId="2EB94D5F"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OTROS MECANISMOS</w:t>
      </w:r>
    </w:p>
    <w:p w14:paraId="15DA0E2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7" w:name="ver_30188884"/>
      <w:bookmarkEnd w:id="1537"/>
    </w:p>
    <w:p w14:paraId="695DC3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2.2.6.7.1.5.1. Procedencia de otros mecanismos. De conformidad con lo señalado en el parágrafo del artículo 8° de la Ley 1796 de 2016, en el evento que se presenten los análisis técnicos y financieros que evidencien la procedencia de otros mecanismos, la Superintendencia Financiera establecerá las condiciones y operación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w:t>
      </w:r>
    </w:p>
    <w:p w14:paraId="355B0C60" w14:textId="77777777" w:rsidR="00F74103" w:rsidRPr="009342F9" w:rsidRDefault="00F74103" w:rsidP="00FC79C1">
      <w:pPr>
        <w:spacing w:after="0" w:line="240" w:lineRule="auto"/>
        <w:jc w:val="both"/>
        <w:rPr>
          <w:rFonts w:ascii="Arial" w:eastAsia="Times New Roman" w:hAnsi="Arial" w:cs="Arial"/>
          <w:color w:val="000000"/>
          <w:spacing w:val="45"/>
          <w:lang w:eastAsia="es-CO"/>
        </w:rPr>
      </w:pPr>
      <w:bookmarkStart w:id="1538" w:name="ver_30188885"/>
      <w:bookmarkEnd w:id="1538"/>
    </w:p>
    <w:p w14:paraId="7E4A14D2" w14:textId="503A84EA"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7B0DA58F"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VERIFICACIÓN DE EXISTENCIA DE LOS MECANISMOS DE AMPARO</w:t>
      </w:r>
    </w:p>
    <w:p w14:paraId="5595671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39" w:name="ver_30188886"/>
      <w:bookmarkEnd w:id="1539"/>
    </w:p>
    <w:p w14:paraId="5FA0DF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2.2.6.7.2.1. Protocolización y Registro de escritura pública de transferencia. En la Escritura Pública de transferencia de la vivienda nueva se deberá señalar la información básica del mecanismo de amparo, a saber: entidad otorgante, valor y vigencia. Así mismo deberá aportarse y protocolizarse el documento que acredite la constitución y pago del mecanismo de amparo.  </w:t>
      </w:r>
    </w:p>
    <w:p w14:paraId="0C95D574"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399FC5C7" w14:textId="00F6869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Al momento de la inscripción de la Escritura Pública de transferencia de la vivienda nueva en la Oficina de Registro de Instrumentos Públicos, esta deberá contener el documento que acredite la constitución y pago del mecanismo de amparo. En caso de no contar con el citado documento no se realizará la inscripción en el folio de matrícula correspondiente y deberá seguirse el procedimiento establecido en el artículo 22 de la Ley 1579 de 2012. </w:t>
      </w:r>
    </w:p>
    <w:p w14:paraId="5F003B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40" w:name="ver_30188887"/>
      <w:bookmarkEnd w:id="1540"/>
    </w:p>
    <w:p w14:paraId="26F9D6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2.2.6.7.2.2. Acción del enajenador. Sin perjuicio de lo establecido en el artículo 8° de la Ley 1796 de 2016, el constructor o enajenador de vivienda nueva que cumpla la referida obligación, podrá ejercer acción civil o penal contra los profesionales que hayan adelantado las actividades de diseño estructural de la edificación, revisión independiente de los diseños estructurales, dirección de la construcción o supervisión técnica independiente, por las actuaciones u omisiones que a su cargo hayan producido que la edificación perezca o amenace ruina, según lo previsto en el numeral 3 del artículo 2060 del Código Civil.  </w:t>
      </w:r>
    </w:p>
    <w:p w14:paraId="4025D31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41" w:name="ver_30188888"/>
      <w:bookmarkEnd w:id="1541"/>
    </w:p>
    <w:p w14:paraId="0620D5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2.2.6.7.2.3. Liquidación. Si durante la vigencia del amparo de que trata el artículo 8° de la Ley 1796 de 2016, el constructor o enajenador de vivienda nueva inicia un proceso de liquidación, la responsabilidad entre los accionistas o socios se regirá según lo previsto en la normativa legal vigente y de acuerdo con el tipo de sociedad que se trate, para cumplir con la obligación de amparar los perjuicios patrimoniales ocasionados a los compradores de vivienda nueva en caso de que la edificación perezca o amenace ruina, según lo previsto en el presente Capítulo.  </w:t>
      </w:r>
    </w:p>
    <w:p w14:paraId="56FE699B" w14:textId="77777777" w:rsidR="00F74103" w:rsidRPr="009342F9" w:rsidRDefault="00F74103" w:rsidP="00FC79C1">
      <w:pPr>
        <w:spacing w:after="0" w:line="240" w:lineRule="auto"/>
        <w:jc w:val="both"/>
        <w:rPr>
          <w:rFonts w:ascii="Arial" w:eastAsia="Times New Roman" w:hAnsi="Arial" w:cs="Arial"/>
          <w:color w:val="000000"/>
          <w:lang w:eastAsia="es-CO"/>
        </w:rPr>
      </w:pPr>
      <w:bookmarkStart w:id="1542" w:name="ver_30179401"/>
      <w:bookmarkEnd w:id="1542"/>
    </w:p>
    <w:p w14:paraId="16AB8F87" w14:textId="6B2A7604"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TITULO 7</w:t>
      </w:r>
    </w:p>
    <w:p w14:paraId="4EADF825" w14:textId="77777777"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URBANIZACIÓN Y CONSTRUCCIÓN SOSTENIBLE</w:t>
      </w:r>
    </w:p>
    <w:p w14:paraId="474F2A24" w14:textId="77777777" w:rsidR="005C5EEB" w:rsidRPr="009342F9" w:rsidRDefault="005C5EEB" w:rsidP="00F74103">
      <w:pPr>
        <w:spacing w:after="0" w:line="240" w:lineRule="auto"/>
        <w:jc w:val="center"/>
        <w:rPr>
          <w:rFonts w:ascii="Arial" w:eastAsia="Times New Roman" w:hAnsi="Arial" w:cs="Arial"/>
          <w:b/>
          <w:bCs/>
          <w:color w:val="000000"/>
          <w:lang w:eastAsia="es-CO"/>
        </w:rPr>
      </w:pPr>
    </w:p>
    <w:p w14:paraId="031595F0"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CAPÍTULO 1</w:t>
      </w:r>
    </w:p>
    <w:p w14:paraId="38682870" w14:textId="5DE40341" w:rsidR="00FC79C1" w:rsidRPr="009342F9" w:rsidRDefault="00FC79C1" w:rsidP="005C5EEB">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CONSTRUCCIÓN SOSTENIBLE</w:t>
      </w:r>
    </w:p>
    <w:p w14:paraId="0EE417C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43" w:name="ver_30179405"/>
      <w:bookmarkEnd w:id="1543"/>
    </w:p>
    <w:p w14:paraId="5F71AF0B" w14:textId="64E1F5F9" w:rsidR="00FC79C1" w:rsidRPr="009342F9" w:rsidRDefault="00AF54B1" w:rsidP="00FC79C1">
      <w:pPr>
        <w:spacing w:after="0" w:line="240" w:lineRule="auto"/>
        <w:jc w:val="both"/>
        <w:rPr>
          <w:rFonts w:ascii="Arial" w:eastAsia="Times New Roman" w:hAnsi="Arial" w:cs="Arial"/>
          <w:color w:val="000000"/>
          <w:lang w:eastAsia="es-CO"/>
        </w:rPr>
      </w:pPr>
      <w:proofErr w:type="gramStart"/>
      <w:r w:rsidRPr="00AF54B1">
        <w:rPr>
          <w:rFonts w:ascii="Arial" w:eastAsia="Times New Roman" w:hAnsi="Arial" w:cs="Arial"/>
          <w:color w:val="000000"/>
          <w:lang w:eastAsia="es-CO"/>
        </w:rPr>
        <w:t>A</w:t>
      </w:r>
      <w:bookmarkStart w:id="1544" w:name="2.2.7.1.1"/>
      <w:r>
        <w:rPr>
          <w:rFonts w:ascii="Arial" w:eastAsia="Times New Roman" w:hAnsi="Arial" w:cs="Arial"/>
          <w:color w:val="000000"/>
          <w:lang w:eastAsia="es-CO"/>
        </w:rPr>
        <w:t>rtículo</w:t>
      </w:r>
      <w:r w:rsidRPr="00AF54B1">
        <w:rPr>
          <w:rFonts w:ascii="Arial" w:eastAsia="Times New Roman" w:hAnsi="Arial" w:cs="Arial"/>
          <w:color w:val="000000"/>
          <w:lang w:eastAsia="es-CO"/>
        </w:rPr>
        <w:t> </w:t>
      </w:r>
      <w:bookmarkEnd w:id="1544"/>
      <w:r w:rsidRPr="00AF54B1">
        <w:rPr>
          <w:rFonts w:ascii="Arial" w:eastAsia="Times New Roman" w:hAnsi="Arial" w:cs="Arial"/>
          <w:color w:val="000000"/>
          <w:lang w:eastAsia="es-CO"/>
        </w:rPr>
        <w:t> 2.2.7.1.1</w:t>
      </w:r>
      <w:proofErr w:type="gramEnd"/>
      <w:r>
        <w:rPr>
          <w:rFonts w:ascii="Arial" w:eastAsia="Times New Roman" w:hAnsi="Arial" w:cs="Arial"/>
          <w:color w:val="000000"/>
          <w:lang w:eastAsia="es-CO"/>
        </w:rPr>
        <w:t xml:space="preserve"> </w:t>
      </w:r>
      <w:r w:rsidRPr="00AF54B1">
        <w:rPr>
          <w:rFonts w:ascii="Arial" w:eastAsia="Times New Roman" w:hAnsi="Arial" w:cs="Arial"/>
          <w:color w:val="000000"/>
          <w:lang w:eastAsia="es-CO"/>
        </w:rPr>
        <w:t>Objeto</w:t>
      </w:r>
      <w:r w:rsidR="00FC79C1" w:rsidRPr="009342F9">
        <w:rPr>
          <w:rFonts w:ascii="Arial" w:eastAsia="Times New Roman" w:hAnsi="Arial" w:cs="Arial"/>
          <w:color w:val="000000"/>
          <w:lang w:eastAsia="es-CO"/>
        </w:rPr>
        <w:t>. El objeto del presente título es establecer lineamientos de construcción sostenible para edificaciones, encaminados al mejoramiento de la calidad de vida de los habitantes y al ejercicio de actuaciones con responsabilidad ambiental y social. </w:t>
      </w:r>
    </w:p>
    <w:p w14:paraId="590505A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45" w:name="ver_30179406"/>
      <w:bookmarkEnd w:id="1545"/>
    </w:p>
    <w:p w14:paraId="30B72160" w14:textId="13071C8D" w:rsidR="00FC79C1" w:rsidRPr="009342F9" w:rsidRDefault="00AF54B1" w:rsidP="00FC79C1">
      <w:pPr>
        <w:spacing w:after="0" w:line="240" w:lineRule="auto"/>
        <w:jc w:val="both"/>
        <w:rPr>
          <w:rFonts w:ascii="Arial" w:eastAsia="Times New Roman" w:hAnsi="Arial" w:cs="Arial"/>
          <w:color w:val="000000"/>
          <w:lang w:eastAsia="es-CO"/>
        </w:rPr>
      </w:pPr>
      <w:proofErr w:type="gramStart"/>
      <w:r w:rsidRPr="00AF54B1">
        <w:rPr>
          <w:rFonts w:ascii="Arial" w:eastAsia="Times New Roman" w:hAnsi="Arial" w:cs="Arial"/>
          <w:color w:val="000000"/>
          <w:lang w:eastAsia="es-CO"/>
        </w:rPr>
        <w:t>A</w:t>
      </w:r>
      <w:r>
        <w:rPr>
          <w:rFonts w:ascii="Arial" w:eastAsia="Times New Roman" w:hAnsi="Arial" w:cs="Arial"/>
          <w:color w:val="000000"/>
          <w:lang w:eastAsia="es-CO"/>
        </w:rPr>
        <w:t>rtículo</w:t>
      </w:r>
      <w:r w:rsidRPr="00AF54B1">
        <w:rPr>
          <w:rFonts w:ascii="Arial" w:eastAsia="Times New Roman" w:hAnsi="Arial" w:cs="Arial"/>
          <w:color w:val="000000"/>
          <w:lang w:eastAsia="es-CO"/>
        </w:rPr>
        <w:t>  2.2.7.1.</w:t>
      </w:r>
      <w:r>
        <w:rPr>
          <w:rFonts w:ascii="Arial" w:eastAsia="Times New Roman" w:hAnsi="Arial" w:cs="Arial"/>
          <w:color w:val="000000"/>
          <w:lang w:eastAsia="es-CO"/>
        </w:rPr>
        <w:t>2</w:t>
      </w:r>
      <w:proofErr w:type="gramEnd"/>
      <w:r>
        <w:rPr>
          <w:rFonts w:ascii="Arial" w:eastAsia="Times New Roman" w:hAnsi="Arial" w:cs="Arial"/>
          <w:color w:val="000000"/>
          <w:lang w:eastAsia="es-CO"/>
        </w:rPr>
        <w:t xml:space="preserve"> </w:t>
      </w:r>
      <w:r w:rsidR="00FC79C1" w:rsidRPr="009342F9">
        <w:rPr>
          <w:rFonts w:ascii="Arial" w:eastAsia="Times New Roman" w:hAnsi="Arial" w:cs="Arial"/>
          <w:color w:val="000000"/>
          <w:lang w:eastAsia="es-CO"/>
        </w:rPr>
        <w:t>Implementación de los lineamientos de construcción sostenible. El Gobierno nacional por conducto del Ministerio de Vivienda, Ciudad y Territorio, adoptará mediante resolución, los parámetros y lineamientos técnicos para la Construcción Sostenible. </w:t>
      </w:r>
    </w:p>
    <w:p w14:paraId="43A39414" w14:textId="77777777" w:rsidR="00AF54B1" w:rsidRDefault="00AF54B1" w:rsidP="00FC79C1">
      <w:pPr>
        <w:spacing w:after="0" w:line="240" w:lineRule="auto"/>
        <w:jc w:val="both"/>
        <w:rPr>
          <w:rFonts w:ascii="Arial" w:eastAsia="Times New Roman" w:hAnsi="Arial" w:cs="Arial"/>
          <w:color w:val="000000"/>
          <w:lang w:eastAsia="es-CO"/>
        </w:rPr>
      </w:pPr>
    </w:p>
    <w:p w14:paraId="7C8838D0" w14:textId="4BA63DF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 relacionado con las medidas para el ahorro de agua y energía en edificaciones, los parámetros que se adopten deberán contener como mínimo los siguientes aspectos: </w:t>
      </w:r>
    </w:p>
    <w:p w14:paraId="10F874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A202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Porcentajes obligatorios de ahorro en agua y energía según clima y tipo de edificaciones. </w:t>
      </w:r>
    </w:p>
    <w:p w14:paraId="303451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26C9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Sistema de aplicación gradual para el territorio de conformidad número de habitantes de los municipios. </w:t>
      </w:r>
    </w:p>
    <w:p w14:paraId="050B44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6108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Procedimiento para la certificación de la aplicación de las medidas. </w:t>
      </w:r>
    </w:p>
    <w:p w14:paraId="517CCD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D733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Procedimiento y herramientas de seguimiento y control a la implementación de las medidas. </w:t>
      </w:r>
    </w:p>
    <w:p w14:paraId="49D5EF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454B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Promoción de Incentivos a nivel local para la construcción sostenible. </w:t>
      </w:r>
    </w:p>
    <w:p w14:paraId="4BBE6937"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29BC6C6F" w14:textId="326ABE12" w:rsidR="00FC79C1" w:rsidRPr="009342F9" w:rsidRDefault="0059131F" w:rsidP="00FC79C1">
      <w:pPr>
        <w:spacing w:after="0" w:line="240" w:lineRule="auto"/>
        <w:jc w:val="both"/>
        <w:rPr>
          <w:rFonts w:ascii="Arial" w:eastAsia="Times New Roman" w:hAnsi="Arial" w:cs="Arial"/>
          <w:color w:val="000000"/>
          <w:lang w:eastAsia="es-CO"/>
        </w:rPr>
      </w:pPr>
      <w:proofErr w:type="gramStart"/>
      <w:r w:rsidRPr="00AF54B1">
        <w:rPr>
          <w:rFonts w:ascii="Arial" w:eastAsia="Times New Roman" w:hAnsi="Arial" w:cs="Arial"/>
          <w:color w:val="000000"/>
          <w:lang w:eastAsia="es-CO"/>
        </w:rPr>
        <w:t>A</w:t>
      </w:r>
      <w:r>
        <w:rPr>
          <w:rFonts w:ascii="Arial" w:eastAsia="Times New Roman" w:hAnsi="Arial" w:cs="Arial"/>
          <w:color w:val="000000"/>
          <w:lang w:eastAsia="es-CO"/>
        </w:rPr>
        <w:t>rtículo</w:t>
      </w:r>
      <w:r w:rsidRPr="00AF54B1">
        <w:rPr>
          <w:rFonts w:ascii="Arial" w:eastAsia="Times New Roman" w:hAnsi="Arial" w:cs="Arial"/>
          <w:color w:val="000000"/>
          <w:lang w:eastAsia="es-CO"/>
        </w:rPr>
        <w:t>  2.2.7.1.</w:t>
      </w:r>
      <w:r>
        <w:rPr>
          <w:rFonts w:ascii="Arial" w:eastAsia="Times New Roman" w:hAnsi="Arial" w:cs="Arial"/>
          <w:color w:val="000000"/>
          <w:lang w:eastAsia="es-CO"/>
        </w:rPr>
        <w:t>3</w:t>
      </w:r>
      <w:proofErr w:type="gramEnd"/>
      <w:r>
        <w:rPr>
          <w:rFonts w:ascii="Arial" w:eastAsia="Times New Roman" w:hAnsi="Arial" w:cs="Arial"/>
          <w:color w:val="000000"/>
          <w:lang w:eastAsia="es-CO"/>
        </w:rPr>
        <w:t xml:space="preserve"> </w:t>
      </w:r>
      <w:r w:rsidR="00FC79C1" w:rsidRPr="009342F9">
        <w:rPr>
          <w:rFonts w:ascii="Arial" w:eastAsia="Times New Roman" w:hAnsi="Arial" w:cs="Arial"/>
          <w:color w:val="000000"/>
          <w:lang w:eastAsia="es-CO"/>
        </w:rPr>
        <w:t>Seguimiento. El Ministerio de Vivienda, Ciudad y Territorio, desarrollará el trámite y las herramientas de seguimiento de la implementación de las medidas de construcción sostenible en edificaciones. </w:t>
      </w:r>
    </w:p>
    <w:p w14:paraId="1CBF60F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46" w:name="ver_30179409"/>
      <w:bookmarkEnd w:id="1546"/>
    </w:p>
    <w:p w14:paraId="74F71354" w14:textId="6F55F290" w:rsidR="00FC79C1" w:rsidRPr="009342F9" w:rsidRDefault="0059131F" w:rsidP="00FC79C1">
      <w:pPr>
        <w:spacing w:after="0" w:line="240" w:lineRule="auto"/>
        <w:jc w:val="both"/>
        <w:rPr>
          <w:rFonts w:ascii="Arial" w:eastAsia="Times New Roman" w:hAnsi="Arial" w:cs="Arial"/>
          <w:color w:val="000000"/>
          <w:lang w:eastAsia="es-CO"/>
        </w:rPr>
      </w:pPr>
      <w:proofErr w:type="gramStart"/>
      <w:r w:rsidRPr="00AF54B1">
        <w:rPr>
          <w:rFonts w:ascii="Arial" w:eastAsia="Times New Roman" w:hAnsi="Arial" w:cs="Arial"/>
          <w:color w:val="000000"/>
          <w:lang w:eastAsia="es-CO"/>
        </w:rPr>
        <w:t>A</w:t>
      </w:r>
      <w:r>
        <w:rPr>
          <w:rFonts w:ascii="Arial" w:eastAsia="Times New Roman" w:hAnsi="Arial" w:cs="Arial"/>
          <w:color w:val="000000"/>
          <w:lang w:eastAsia="es-CO"/>
        </w:rPr>
        <w:t>rtículo</w:t>
      </w:r>
      <w:r w:rsidRPr="00AF54B1">
        <w:rPr>
          <w:rFonts w:ascii="Arial" w:eastAsia="Times New Roman" w:hAnsi="Arial" w:cs="Arial"/>
          <w:color w:val="000000"/>
          <w:lang w:eastAsia="es-CO"/>
        </w:rPr>
        <w:t>  2.2.7.1.</w:t>
      </w:r>
      <w:r>
        <w:rPr>
          <w:rFonts w:ascii="Arial" w:eastAsia="Times New Roman" w:hAnsi="Arial" w:cs="Arial"/>
          <w:color w:val="000000"/>
          <w:lang w:eastAsia="es-CO"/>
        </w:rPr>
        <w:t>4.</w:t>
      </w:r>
      <w:proofErr w:type="gramEnd"/>
      <w:r>
        <w:rPr>
          <w:rFonts w:ascii="Arial" w:eastAsia="Times New Roman" w:hAnsi="Arial" w:cs="Arial"/>
          <w:color w:val="000000"/>
          <w:lang w:eastAsia="es-CO"/>
        </w:rPr>
        <w:t xml:space="preserve"> </w:t>
      </w:r>
      <w:r w:rsidR="00FC79C1" w:rsidRPr="009342F9">
        <w:rPr>
          <w:rFonts w:ascii="Arial" w:eastAsia="Times New Roman" w:hAnsi="Arial" w:cs="Arial"/>
          <w:color w:val="000000"/>
          <w:lang w:eastAsia="es-CO"/>
        </w:rPr>
        <w:t>Incentivos. El Gobierno nacional por conducto del Ministerio de Vivienda, Ciudad y Territorio, promoverá que los municipios y distritos, establezcan incentivos para la implementación de las medidas de construcción sostenible. </w:t>
      </w:r>
    </w:p>
    <w:p w14:paraId="7D31F28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47" w:name="ver_30179410"/>
      <w:bookmarkEnd w:id="1547"/>
    </w:p>
    <w:p w14:paraId="00313E52" w14:textId="479DABD6" w:rsidR="00FC79C1" w:rsidRPr="009342F9" w:rsidRDefault="0059131F" w:rsidP="00FC79C1">
      <w:pPr>
        <w:spacing w:after="0" w:line="240" w:lineRule="auto"/>
        <w:jc w:val="both"/>
        <w:rPr>
          <w:rFonts w:ascii="Arial" w:eastAsia="Times New Roman" w:hAnsi="Arial" w:cs="Arial"/>
          <w:color w:val="000000"/>
          <w:lang w:eastAsia="es-CO"/>
        </w:rPr>
      </w:pPr>
      <w:proofErr w:type="gramStart"/>
      <w:r w:rsidRPr="00AF54B1">
        <w:rPr>
          <w:rFonts w:ascii="Arial" w:eastAsia="Times New Roman" w:hAnsi="Arial" w:cs="Arial"/>
          <w:color w:val="000000"/>
          <w:lang w:eastAsia="es-CO"/>
        </w:rPr>
        <w:t>A</w:t>
      </w:r>
      <w:r>
        <w:rPr>
          <w:rFonts w:ascii="Arial" w:eastAsia="Times New Roman" w:hAnsi="Arial" w:cs="Arial"/>
          <w:color w:val="000000"/>
          <w:lang w:eastAsia="es-CO"/>
        </w:rPr>
        <w:t>rtículo</w:t>
      </w:r>
      <w:r w:rsidRPr="00AF54B1">
        <w:rPr>
          <w:rFonts w:ascii="Arial" w:eastAsia="Times New Roman" w:hAnsi="Arial" w:cs="Arial"/>
          <w:color w:val="000000"/>
          <w:lang w:eastAsia="es-CO"/>
        </w:rPr>
        <w:t>  2.2.7.1.</w:t>
      </w:r>
      <w:r>
        <w:rPr>
          <w:rFonts w:ascii="Arial" w:eastAsia="Times New Roman" w:hAnsi="Arial" w:cs="Arial"/>
          <w:color w:val="000000"/>
          <w:lang w:eastAsia="es-CO"/>
        </w:rPr>
        <w:t>5</w:t>
      </w:r>
      <w:proofErr w:type="gramEnd"/>
      <w:r>
        <w:rPr>
          <w:rFonts w:ascii="Arial" w:eastAsia="Times New Roman" w:hAnsi="Arial" w:cs="Arial"/>
          <w:color w:val="000000"/>
          <w:lang w:eastAsia="es-CO"/>
        </w:rPr>
        <w:t xml:space="preserve">  </w:t>
      </w:r>
      <w:r w:rsidR="00FC79C1" w:rsidRPr="009342F9">
        <w:rPr>
          <w:rFonts w:ascii="Arial" w:eastAsia="Times New Roman" w:hAnsi="Arial" w:cs="Arial"/>
          <w:color w:val="000000"/>
          <w:lang w:eastAsia="es-CO"/>
        </w:rPr>
        <w:t xml:space="preserve">Rigor subsidiario. Los municipios y distritos en ejercicio de sus </w:t>
      </w:r>
      <w:proofErr w:type="gramStart"/>
      <w:r w:rsidR="00FC79C1" w:rsidRPr="009342F9">
        <w:rPr>
          <w:rFonts w:ascii="Arial" w:eastAsia="Times New Roman" w:hAnsi="Arial" w:cs="Arial"/>
          <w:color w:val="000000"/>
          <w:lang w:eastAsia="es-CO"/>
        </w:rPr>
        <w:t>competencias,</w:t>
      </w:r>
      <w:proofErr w:type="gramEnd"/>
      <w:r w:rsidR="00FC79C1" w:rsidRPr="009342F9">
        <w:rPr>
          <w:rFonts w:ascii="Arial" w:eastAsia="Times New Roman" w:hAnsi="Arial" w:cs="Arial"/>
          <w:color w:val="000000"/>
          <w:lang w:eastAsia="es-CO"/>
        </w:rPr>
        <w:t xml:space="preserve"> podrán definir medidas de construcción sostenible más estrictas a las establecidas por el Gobierno nacional, siempre que el establecimiento de las mismas se soporte en estudios técnicos, se establezcan incentivos para su cumplimiento y se mantenga el régimen de transición, gradualidad y guías de referencia previstos en la mencionada resolución. </w:t>
      </w:r>
    </w:p>
    <w:p w14:paraId="78110144" w14:textId="77777777" w:rsidR="00F74103" w:rsidRPr="009342F9" w:rsidRDefault="00F74103" w:rsidP="00FC79C1">
      <w:pPr>
        <w:spacing w:after="0" w:line="240" w:lineRule="auto"/>
        <w:jc w:val="both"/>
        <w:rPr>
          <w:rFonts w:ascii="Arial" w:eastAsia="Times New Roman" w:hAnsi="Arial" w:cs="Arial"/>
          <w:color w:val="000000"/>
          <w:lang w:eastAsia="es-CO"/>
        </w:rPr>
      </w:pPr>
      <w:bookmarkStart w:id="1548" w:name="ver_30074940"/>
      <w:bookmarkEnd w:id="1548"/>
    </w:p>
    <w:p w14:paraId="64B7152E" w14:textId="62D748CE"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PARTE 3</w:t>
      </w:r>
    </w:p>
    <w:p w14:paraId="5EB47055"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RÉGIMEN REGLAMENTARIO DEL SECTOR AGUA POTABLE Y SANEAMIENTO BÁSICO</w:t>
      </w:r>
    </w:p>
    <w:p w14:paraId="5AA33BD8" w14:textId="77777777" w:rsidR="0059131F" w:rsidRDefault="0059131F" w:rsidP="00F74103">
      <w:pPr>
        <w:spacing w:after="0" w:line="240" w:lineRule="auto"/>
        <w:jc w:val="center"/>
        <w:rPr>
          <w:rFonts w:ascii="Arial" w:eastAsia="Times New Roman" w:hAnsi="Arial" w:cs="Arial"/>
          <w:b/>
          <w:bCs/>
          <w:color w:val="000000"/>
          <w:lang w:eastAsia="es-CO"/>
        </w:rPr>
      </w:pPr>
    </w:p>
    <w:p w14:paraId="4B4658ED" w14:textId="06D5FEF9"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1</w:t>
      </w:r>
    </w:p>
    <w:p w14:paraId="64CE531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SERVICIOS PÚBLICOS DOMICILIARIOS DE ACUEDUCTO Y ALCANTARILLADO</w:t>
      </w:r>
    </w:p>
    <w:p w14:paraId="663A4914" w14:textId="77777777" w:rsidR="0059131F" w:rsidRDefault="0059131F" w:rsidP="00F74103">
      <w:pPr>
        <w:spacing w:after="0" w:line="240" w:lineRule="auto"/>
        <w:jc w:val="center"/>
        <w:rPr>
          <w:rFonts w:ascii="Arial" w:eastAsia="Times New Roman" w:hAnsi="Arial" w:cs="Arial"/>
          <w:b/>
          <w:bCs/>
          <w:color w:val="000000"/>
          <w:lang w:eastAsia="es-CO"/>
        </w:rPr>
      </w:pPr>
    </w:p>
    <w:p w14:paraId="5A566EC6" w14:textId="433BBFCF"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CAPÍTULO 1</w:t>
      </w:r>
    </w:p>
    <w:p w14:paraId="40E47E77"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DEFINICIONES</w:t>
      </w:r>
    </w:p>
    <w:p w14:paraId="18D4819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49" w:name="ver_30074941"/>
      <w:bookmarkEnd w:id="1549"/>
    </w:p>
    <w:p w14:paraId="2B7C0F9D"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2.3.1.1.1. Definiciones. Para efecto de lo dispuesto en el presente decreto, Adóptense las siguientes definiciones: </w:t>
      </w:r>
    </w:p>
    <w:p w14:paraId="516FD5BF"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  </w:t>
      </w:r>
    </w:p>
    <w:p w14:paraId="4A67E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Área o predio urbanizable no urbanizado. Son las áreas o predios que no han sido desarrollados y en los cuales se permiten las actuaciones de urbanización, o que aun cuando contaron con licencia urbanística no ejecutaron las obras de urbanización aprobadas en la misma. </w:t>
      </w:r>
    </w:p>
    <w:p w14:paraId="2C9470CD" w14:textId="686F57D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B824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Área o predio urbanizado. Se consideran urbanizados las áreas o predios en los que se culminaron las obras de infraestructura de redes, vías locales, parques y equipamientos definidas en las licencias urbanísticas y se hizo entrega de ellas a las autoridades competentes. </w:t>
      </w:r>
    </w:p>
    <w:p w14:paraId="144B7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0691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áreas útiles de los terrenos urbanizados podrán estar construidas o no y, en este último caso, la expedición de las respectivas licencias de construcción se someterá a lo dispuesto en el parágrafo 4° del artículo 7° del Decreto número 1469 de 2010 o la norma que lo adicione, modifique o sustituya. </w:t>
      </w:r>
    </w:p>
    <w:p w14:paraId="2A1675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9CC0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También se consideran urbanizados: </w:t>
      </w:r>
    </w:p>
    <w:p w14:paraId="2AA282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8343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 Los sectores antiguos de las ciudades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con fundamento en planos de loteo, urbanísticos, topográficos y/o de licencias de construcción expedidas o aprobados por las autoridades competentes deslindaron los espacios públicos y privados y actualmente cuentan con infraestructura vial y de prestación de servicios públicos que posibilita su desarrollo por construcción. </w:t>
      </w:r>
    </w:p>
    <w:p w14:paraId="41C769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1552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Los terrenos objeto de desarrollo progresivo o programas de mejoramiento integral de barrios que completaron su proceso de mejoramiento en los aspectos atinentes al desarrollo por urbanización, o que lo completen en el futuro. </w:t>
      </w:r>
    </w:p>
    <w:p w14:paraId="3F0785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9FF7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Los asentamientos, barrios, zonas o desarrollos que han sido objeto de legalización y que completen la construcción de infraestructuras y espacios públicos definidos en los actos de legalización y hagan la entrega de las cesiones exigidas, salvo que no se hubiere hecho tal previsión. </w:t>
      </w:r>
    </w:p>
    <w:p w14:paraId="307F3A1D" w14:textId="007168D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E537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Capacidad. Es la existencia de recursos técnicos y económicos de un prestador de los servicios de acueducto y/o alcantarillado, con el fin de atender las demandas asociadas a las solicitudes de los servicios públicos mencionados para efectos de otorgar la disponibilidad o viabilidad inmediata del servicio solicitado. En todo caso y de conformidad con lo previsto en el parágrafo 2° del artículo 12 de la Ley 388 de 1997 el prestador del servicio, donde está ubicado el predio, no podrá argumentar falta de capacidad para predios ubicados al interior del perímetro urbano. </w:t>
      </w:r>
    </w:p>
    <w:p w14:paraId="126F1D97" w14:textId="7CAB88C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CED8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Factibilidad de servicios públicos de acueducto y alcantarillado. Es el documento mediante el cual el prestador del servicio público establece las condiciones técnicas, jurídicas y económicas que dentro de procesos de urbanización que se adelante mediante el trámite de plan parcial permitan ejecutar la infraestructura de servicios públicos domiciliarios de acueducto y alcantarillado, atendiendo el reparto equitativo de cargas y beneficios. Dicha factibilidad tendrá una vigencia mínima de cinco (5) años. Una vez concedida la factibilidad no se podrá negar la disponibilidad inmediata del servicio, siempre y cuando el solicitante haya cumplido con las condiciones técnicas exigidas por la empresa de servicios al momento de otorgar la factibilidad. </w:t>
      </w:r>
    </w:p>
    <w:p w14:paraId="0E01D9E5" w14:textId="69797A5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10E2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Red de distribución, red local o red secundaria de acueducto. Es el conjunto de tuberías, accesorios, estructura y equipos que conducen el agua desde la red matriz o primaria hasta las acometidas domiciliarias del respectivo proyecto urbanístico. Su diseño y construcción corresponde a los urbanizadores. </w:t>
      </w:r>
    </w:p>
    <w:p w14:paraId="4CFC3BF0" w14:textId="42235C7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9457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Red matriz o red primaria de acueducto. Es el conjunto de tuberías, accesorios, estructuras y equipos que conducen el agua potable desde las plantas de tratamiento o tanques hasta las redes de distribución local o secundaria. </w:t>
      </w:r>
    </w:p>
    <w:p w14:paraId="6CDE76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7063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 diseño, construcción y mantenimiento estará a cargo del prestador del servicio quien deberá recuperar su inversión a través de tarifas de servicios públicos. </w:t>
      </w:r>
    </w:p>
    <w:p w14:paraId="61B1488F" w14:textId="242538B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3978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Red matriz o red primaria de alcantarillado. Es el conjunto de tuberías, accesorios, estructuras y equipos que reciben el agua procedente de las redes secundarias o locales y las transporta hasta las plantas de tratamiento de aguas residuales o hasta el sitio de su disposición final. </w:t>
      </w:r>
    </w:p>
    <w:p w14:paraId="5CD87A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E6AD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 diseño, construcción y mantenimiento estará a cargo de la empresa prestadora del servicio, la cual deberá recuperar su inversión a través de tarifas de servicios públicos. </w:t>
      </w:r>
    </w:p>
    <w:p w14:paraId="679982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20CF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Red secundaria o red local de alcantarillado. Conjunto de tuberías, accesorios, estructura y equipos que conforman el sistema de evacuación y transporte de las aguas lluvias, residuales o combinadas de una comunidad y al cual descargan las acometidas de alcantarillado de los inmuebles y llega hasta la red matriz o primara de alcantarillado. Su diseño y construcción corresponde a los urbanizadores. </w:t>
      </w:r>
    </w:p>
    <w:p w14:paraId="3C4A29CA" w14:textId="555905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3202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Certificación de viabilidad y disponibilidad inmediata de servicios públicos. Es el documento mediante el cual el prestador del servicio público certifica la posibilidad técnica de conectar un predio o predios objeto de licencia urbanística a las redes matrices de servicios públicos existentes. Dicho acto tendrá una vigencia mínima de dos (2) años para que con base en él se tramite la licencia de urbanización. </w:t>
      </w:r>
    </w:p>
    <w:p w14:paraId="5CDFF440" w14:textId="49A0E2A5" w:rsidR="00FC79C1" w:rsidRPr="009342F9"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AA2E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Acometida de acueducto. Derivación de la red de distribución que se conecta al registro de corte en el inmueble. En edificios de propiedad horizontal o condominios la acometida llega hasta el registro de corte general, incluido este. </w:t>
      </w:r>
    </w:p>
    <w:p w14:paraId="6B7F40C5" w14:textId="3D0F50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E4C4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Acometida de alcantarillado. Derivación que parte de la caja de inspección domiciliaria y, llega hasta la red secundaria de alcantarillado o al colector. </w:t>
      </w:r>
    </w:p>
    <w:p w14:paraId="625BAA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4C90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Acometida clandestina o fraudulenta. Acometida o derivación de acueducto o alcantarillado no autorizada por la entidad prestadora del servicio. </w:t>
      </w:r>
    </w:p>
    <w:p w14:paraId="3FC1CD00" w14:textId="072200B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E250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Asentamiento subnormal. Es aquel cuya infraestructura de servicios públicos domiciliarios presenta serias deficiencias por no estar integrada totalmente a la estructura formal urbana. </w:t>
      </w:r>
    </w:p>
    <w:p w14:paraId="44FBCB63" w14:textId="5CB24C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B665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Cámara del registro. Es la caja con su tapa colocada generalmente en propiedad pública o a la entrada de un inmueble, en la cual se hace el enlace entre la acometida y la instalación interna de acueducto y en la que se instala el medidor y sus accesorios. </w:t>
      </w:r>
    </w:p>
    <w:p w14:paraId="6B3C8B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CECF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Caja de inspección. Caja ubicada al inicio de la acometida de alcantarillado que recoge las aguas residuales, lluvias o combinadas, de un inmueble, con su respectiva tapa removible y en lo posible ubicada en zonas libres de tráfico vehicular. </w:t>
      </w:r>
    </w:p>
    <w:p w14:paraId="20E4C7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B96B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 Conexión temporal. Acometida transitoria de acueducto con medición, que llega hasta el límite de un predio privado o público, la cual es solicitada a la entidad prestadora del servicio público, por su propietario o representante legal, por un período determinado, por un proceso constructivo o un evento autorizado por la autoridad competente. </w:t>
      </w:r>
    </w:p>
    <w:p w14:paraId="029A96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9C33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Conexión errada de alcantarillado. Todo empalme de una acometida de aguas residuales sobre la red de alcantarillado pluvial o todo empalme de una acometida de aguas lluvias sobre la red de alcantarillado sanitario. </w:t>
      </w:r>
    </w:p>
    <w:p w14:paraId="3D20619C" w14:textId="77777777" w:rsidR="00377DAA" w:rsidRDefault="00377DAA" w:rsidP="00FC79C1">
      <w:pPr>
        <w:spacing w:after="0" w:line="240" w:lineRule="auto"/>
        <w:jc w:val="both"/>
        <w:rPr>
          <w:rFonts w:ascii="Arial" w:eastAsia="Times New Roman" w:hAnsi="Arial" w:cs="Arial"/>
          <w:color w:val="000000"/>
          <w:lang w:eastAsia="es-CO"/>
        </w:rPr>
      </w:pPr>
    </w:p>
    <w:p w14:paraId="4ACAFFB9" w14:textId="66FAC33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18. Corte del servicio de acueducto. Interrupción del servicio que implica la desconexión o taponamiento de la acometida. </w:t>
      </w:r>
    </w:p>
    <w:p w14:paraId="5B5AA8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039F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19. Conexión. Ejecución de la acometida e instalación del medidor de acueducto o ejecución de la acometida de alcantarillado. </w:t>
      </w:r>
    </w:p>
    <w:p w14:paraId="0B38BB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71D39E"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20. Derivación fraudulenta. Conexión realizada a partir de una acometida, o de una instalación interna o de los tanques de un inmueble independiente, que no ha sido autorizada por la entidad prestadora del servicio. </w:t>
      </w:r>
    </w:p>
    <w:p w14:paraId="01496DFE" w14:textId="77777777" w:rsidR="002A2BC4" w:rsidRPr="009342F9" w:rsidRDefault="002A2BC4" w:rsidP="00FC79C1">
      <w:pPr>
        <w:spacing w:after="0" w:line="240" w:lineRule="auto"/>
        <w:jc w:val="both"/>
        <w:rPr>
          <w:rFonts w:ascii="Arial" w:eastAsia="Times New Roman" w:hAnsi="Arial" w:cs="Arial"/>
          <w:color w:val="000000"/>
          <w:lang w:eastAsia="es-CO"/>
        </w:rPr>
      </w:pPr>
    </w:p>
    <w:p w14:paraId="4B4219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Factura de servicios públicos. Es la cuenta que la entidad prestadora de servicios públicos entrega o remite al usuario o suscriptor, por causa del consumo y demás servicios inherentes al desarrollo de un contrato de prestación de servicios públicos. </w:t>
      </w:r>
    </w:p>
    <w:p w14:paraId="686D11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54E3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Fuga imperceptible. Volumen de agua que se escapa a través de las instalaciones internas de un inmueble y se detecta solamente mediante instrumentos apropiados, tales como los geófonos. </w:t>
      </w:r>
    </w:p>
    <w:p w14:paraId="48A7EC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382F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Fuga perceptible. Volumen de agua que se escapa a través de las instalaciones internas de un inmueble y es detectable directamente por los sentidos. </w:t>
      </w:r>
    </w:p>
    <w:p w14:paraId="68F002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A755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Hidrante público. Elemento conectado con el sistema de acueducto que permite la adaptación de mangueras especiales utilizadas en extinción de incendios y otras actividades autorizadas previamente por la entidad prestadora del servicio de acueducto. </w:t>
      </w:r>
    </w:p>
    <w:p w14:paraId="3FE3FC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583D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Independización del servicio. Nuevas acometidas que autoriza la entidad prestadora del servicio para atender el servicio de una o varias unidades segregadas de un inmueble. Estas nuevas acometidas contarán con su propio equipo de medición previo cumplimiento de lo establecido en el reglamento interno o en el contrato de condiciones uniformes. </w:t>
      </w:r>
    </w:p>
    <w:p w14:paraId="73B1E5B0" w14:textId="77777777" w:rsidR="00377DAA" w:rsidRDefault="00377DAA" w:rsidP="00FC79C1">
      <w:pPr>
        <w:spacing w:after="0" w:line="240" w:lineRule="auto"/>
        <w:jc w:val="both"/>
        <w:rPr>
          <w:rFonts w:ascii="Arial" w:eastAsia="Times New Roman" w:hAnsi="Arial" w:cs="Arial"/>
          <w:color w:val="000000"/>
          <w:lang w:eastAsia="es-CO"/>
        </w:rPr>
      </w:pPr>
    </w:p>
    <w:p w14:paraId="4D4DD17F" w14:textId="645D8B3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 Inquilinato. Edificación ubicada en los estratos bajo-bajo (I), bajo (II), medio-bajo (III) con una entrada común desde la calle, destinada para alojar varios hogares que comparten servicios. </w:t>
      </w:r>
    </w:p>
    <w:p w14:paraId="23E8B2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1714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27. Instalación interna de acueducto del inmueble. Conjunto de tuberías, accesorios, estructura y equipos que integran el sistema de abastecimiento de agua del inmueble, a partir del medidor. Para edificios de propiedad horizontal o condominios, es aquel sistema de abastecimiento de agua del inmueble inmediatamente después de la acometida o del medidor de control. </w:t>
      </w:r>
    </w:p>
    <w:p w14:paraId="608B41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5949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28. Instalaciones internas de alcantarillado del inmueble. Conjunto de tuberías, accesorios y equipos que integran el sistema de tratamiento, evacuación y ventilación de los residuos líquidos instalados en un inmueble hasta la caja de inspección que se conecta a la red de alcantarillado. </w:t>
      </w:r>
    </w:p>
    <w:p w14:paraId="3B861AF3" w14:textId="77777777" w:rsidR="00377DAA" w:rsidRDefault="00377DAA" w:rsidP="00FC79C1">
      <w:pPr>
        <w:spacing w:after="0" w:line="240" w:lineRule="auto"/>
        <w:jc w:val="both"/>
        <w:rPr>
          <w:rFonts w:ascii="Arial" w:eastAsia="Times New Roman" w:hAnsi="Arial" w:cs="Arial"/>
          <w:color w:val="000000"/>
          <w:lang w:eastAsia="es-CO"/>
        </w:rPr>
      </w:pPr>
    </w:p>
    <w:p w14:paraId="522A129B" w14:textId="15A379D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29. Instalaciones legalizadas. Son aquellas que han cumplido todos los trámites exigidos por la entidad prestadora de los servicios públicos y tiene vigente un contrato de condiciones uniformes. </w:t>
      </w:r>
    </w:p>
    <w:p w14:paraId="319A78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1557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30. Instalaciones no legalizadas. Son aquellas que no han cumplido con todos los requisitos exigidos por la entidad prestadora de los servicios públicos. </w:t>
      </w:r>
    </w:p>
    <w:p w14:paraId="77A145CD" w14:textId="77777777" w:rsidR="00377DAA" w:rsidRDefault="00377DAA" w:rsidP="00FC79C1">
      <w:pPr>
        <w:spacing w:after="0" w:line="240" w:lineRule="auto"/>
        <w:jc w:val="both"/>
        <w:rPr>
          <w:rFonts w:ascii="Arial" w:eastAsia="Times New Roman" w:hAnsi="Arial" w:cs="Arial"/>
          <w:color w:val="000000"/>
          <w:lang w:eastAsia="es-CO"/>
        </w:rPr>
      </w:pPr>
    </w:p>
    <w:p w14:paraId="74F77D73" w14:textId="1258E6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Medidor. Dispositivo encargado de medir y acumular el consumo de agua. </w:t>
      </w:r>
    </w:p>
    <w:p w14:paraId="46249A4A" w14:textId="570756D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3FD5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Medidor individual. Dispositivo que mide y acumula el consumo de agua de un usuario del sistema de acueducto. </w:t>
      </w:r>
    </w:p>
    <w:p w14:paraId="2629AE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0554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Medidor de control. Dispositivo propiedad del prestador del servicio de acueducto, empleado para verificar o controlar temporal o permanentemente el suministro de agua y la existencia de posibles consumos no medidos a un suscriptor o usuario. Su lectura no debe emplearse en la facturación de consumos. </w:t>
      </w:r>
    </w:p>
    <w:p w14:paraId="01EA7C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BB3C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Medidor general o totalizador. Dispositivo instalado en unidades inmobiliarias para medir y acumular el consumo total de agua. </w:t>
      </w:r>
    </w:p>
    <w:p w14:paraId="78FD53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9680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35. Multiusuarios. Edificación de apartamentos, oficinas o locales con medición general constituida por dos o más unidades independientes. </w:t>
      </w:r>
    </w:p>
    <w:p w14:paraId="3F4F92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B391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36. Pila pública. Suministro de agua por la entidad prestadora del servicio de acueducto, de manera provisional, para el abastecimiento colectivo y en zonas que no cuenten con red de acueducto, siempre que las condiciones técnicas y económicas impidan la instalación de redes domiciliarias. </w:t>
      </w:r>
    </w:p>
    <w:p w14:paraId="191AC1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8EBF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37. Reconexión. Es el restablecimiento del servicio de acueducto a un inmueble al cual le había sido cortado. </w:t>
      </w:r>
    </w:p>
    <w:p w14:paraId="7E7418E7" w14:textId="77777777" w:rsidR="00377DAA" w:rsidRDefault="00377DAA" w:rsidP="00FC79C1">
      <w:pPr>
        <w:spacing w:after="0" w:line="240" w:lineRule="auto"/>
        <w:jc w:val="both"/>
        <w:rPr>
          <w:rFonts w:ascii="Arial" w:eastAsia="Times New Roman" w:hAnsi="Arial" w:cs="Arial"/>
          <w:color w:val="000000"/>
          <w:lang w:eastAsia="es-CO"/>
        </w:rPr>
      </w:pPr>
    </w:p>
    <w:p w14:paraId="68C40F7A" w14:textId="7A57340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38. Registro de corte o llave de corte. Dispositivo situado en la cámara de registro del medidor que permite la suspensión del servicio de acueducto de un inmueble. </w:t>
      </w:r>
    </w:p>
    <w:p w14:paraId="6AF571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0751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39. Reinstalación. Es el restablecimiento del servicio de acueducto a un inmueble al cual se le había suspendido. </w:t>
      </w:r>
    </w:p>
    <w:p w14:paraId="2D8335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9E67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40. Servicio comercial. Es el servicio que se presta a predios o inmuebles destinados a actividades comerciales, en los términos del Código de Comercio. </w:t>
      </w:r>
    </w:p>
    <w:p w14:paraId="59ABC2E0" w14:textId="47DCC51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5FFC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Servicio residencial. Es el servicio que se presta para el cubrimiento de las necesidades relacionadas con la vivienda de las personas. </w:t>
      </w:r>
    </w:p>
    <w:p w14:paraId="25572DFA" w14:textId="77777777" w:rsidR="00377DAA" w:rsidRDefault="00377DAA" w:rsidP="00FC79C1">
      <w:pPr>
        <w:spacing w:after="0" w:line="240" w:lineRule="auto"/>
        <w:jc w:val="both"/>
        <w:rPr>
          <w:rFonts w:ascii="Arial" w:eastAsia="Times New Roman" w:hAnsi="Arial" w:cs="Arial"/>
          <w:color w:val="000000"/>
          <w:lang w:eastAsia="es-CO"/>
        </w:rPr>
      </w:pPr>
    </w:p>
    <w:p w14:paraId="59C16A34" w14:textId="75C518D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Servicio especial. Es el que se presta a entidades sin ánimo de lucro, previa solicitud a la empresa y que requiere la expedición de una resolución interna por parte de la entidad prestadora, autorizando dicho servicio. </w:t>
      </w:r>
    </w:p>
    <w:p w14:paraId="3C6367B2" w14:textId="021DF4E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8DDC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43. Servicio industrial. Es el servicio que se presta a predios o inmuebles en los cuales se desarrollen actividades industriales que corresponden a procesos de transformación o de otro orden. </w:t>
      </w:r>
    </w:p>
    <w:p w14:paraId="4FE1B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64D1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44. Servicio oficial. Es el que se presta a las entidades de carácter oficial, a los establecimientos públicos que no desarrollen permanentemente actividades de tipo comercial o industrial, a los planteles educativos de carácter oficial de todo nivel; a los hospitales, clínicas, centros de salud, ancianatos, orfanatos de carácter oficial. </w:t>
      </w:r>
    </w:p>
    <w:p w14:paraId="4842A1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4A9D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45. Servicio público domiciliario de acueducto o servicio público domiciliario de agua potable. Es la distribución de agua apta para el consumo humano, incluida su conexión y medición. También forman parte de este servicio las actividades complementarias tales como captación de agua, procesamiento, tratamiento, almacenamiento, conducción y transporte. </w:t>
      </w:r>
    </w:p>
    <w:p w14:paraId="3E3F5C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D91F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46. Servicio público domiciliario de alcantarillado. Es la recolección municipal de residuos, principalmente líquidos y/o aguas lluvias, por medio de tuberías y conductos. Forman parte de este servicio las actividades complementarias de transporte, tratamiento y disposición final de tales residuos. </w:t>
      </w:r>
    </w:p>
    <w:p w14:paraId="4AAD01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2C7A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47. Servicio regular. Es el servicio que se presta a un inmueble de manera permanente para su utilización habitual. </w:t>
      </w:r>
    </w:p>
    <w:p w14:paraId="317EC117" w14:textId="77777777" w:rsidR="00377DAA"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FE205B" w14:textId="58A79EA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48. Servicio provisional. Es el servicio que se presta mediante fuentes de suministro de carácter comunitario, en zonas urbanas, sin posibilidades inmediatas de extensión de las redes de suministro domiciliario. </w:t>
      </w:r>
    </w:p>
    <w:p w14:paraId="1220A1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E32B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49. Servicio temporal. Es el que se presta a obras en construcción, espectáculos públicos no permanentes, y a otros servicios no residenciales de carácter ocasional, con una duración no superior a un año, prorrogable a juicio de la empresa. </w:t>
      </w:r>
    </w:p>
    <w:p w14:paraId="1105FA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69D9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50. Servicio de agua en bloque. Es el servicio que se presta por las personas prestadoras de servicios públicos de acueducto que distribuyen y/o comercializan agua a distintos tipos de usuarios. </w:t>
      </w:r>
    </w:p>
    <w:p w14:paraId="42861E2B" w14:textId="05A8D07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4021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51. Suscriptor. Persona natural o jurídica con la cual se ha celebrado un contrato de condiciones uniformes de servicios públicos. </w:t>
      </w:r>
    </w:p>
    <w:p w14:paraId="67F0B72E" w14:textId="3EB39F6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B052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52. Suspensión. Interrupción temporal del servicio por común acuerdo, por interés del servicio, o por incumplimiento o por otra de las causales previstas en la Ley 142 de 1994, en el presente decreto, en las condiciones uniformes del contrato de servicio público y en las demás normas concordantes. </w:t>
      </w:r>
    </w:p>
    <w:p w14:paraId="15A9CCE7" w14:textId="77777777" w:rsidR="00377DAA" w:rsidRDefault="00377DAA" w:rsidP="00FC79C1">
      <w:pPr>
        <w:spacing w:after="0" w:line="240" w:lineRule="auto"/>
        <w:jc w:val="both"/>
        <w:rPr>
          <w:rFonts w:ascii="Arial" w:eastAsia="Times New Roman" w:hAnsi="Arial" w:cs="Arial"/>
          <w:color w:val="000000"/>
          <w:lang w:eastAsia="es-CO"/>
        </w:rPr>
      </w:pPr>
    </w:p>
    <w:p w14:paraId="642FCE35" w14:textId="13AAAC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53. Usuario. Persona natural o jurídica que se beneficia con la prestación de un servicio público domiciliario, bien como propietario del inmueble en donde éste se presta, o como receptor directo del servicio, a este último usuario se denomina también consumidor. </w:t>
      </w:r>
    </w:p>
    <w:p w14:paraId="14CCA4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D641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54. Usuarios especiales del servicio de alcantarillado. Es todo usuario que pretenda descargar a la red de alcantarillado efluentes que contengan cargas contaminantes y/o sustancias de interés sanitario en concentraciones superiores a las que contemple la autoridad ambiental competente. </w:t>
      </w:r>
    </w:p>
    <w:p w14:paraId="2C698D43" w14:textId="57E10B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5D13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55. Unidad habitacional. Apartamento o casa de vivienda independiente con acceso a la vía pública o a las zonas comunes del conjunto multifamiliar. </w:t>
      </w:r>
    </w:p>
    <w:p w14:paraId="2A405358" w14:textId="566CE4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CA1C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56. Unidad independiente. Apartamento, casa de vivienda, local u oficina independiente con acceso a la vía pública o a las zonas comunes de la unidad inmobiliaria. </w:t>
      </w:r>
    </w:p>
    <w:p w14:paraId="47AEAC90" w14:textId="71AFDD4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1EEE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57. Unidades inmobiliarias cerradas. Las unidades inmobiliarias cerradas son conjuntos de edificios, casas y demás construcciones integradas arquitectónica y funcionalmente, que comparten elementos estructurales y constructivos, áreas comunes de circulación, recreación, reunión, instalaciones técnicas, zonas verdes y de disfrute visual; cuyos copropietarios participan proporcionalmente en el pago de las expensas comunes, tales como los servicios públicos comunitarios, vigilancia, mantenimiento y mejoras. </w:t>
      </w:r>
    </w:p>
    <w:p w14:paraId="74BE1286" w14:textId="44EC5E80" w:rsidR="00FC79C1" w:rsidRPr="009342F9"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D9A3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58. Acondicionador de suelo. Toda sustancia cuya acción fundamental consiste en el mejoramiento, de por lo menos, una característica, física, química o biológica del suelo. </w:t>
      </w:r>
    </w:p>
    <w:p w14:paraId="4E2E5CE2" w14:textId="638DBAA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AE1B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59. Aguas residuales municipales. Son las aguas vertidas, recolectadas y transportadas por el sistema de alcantarillado público, compuestas por las aguas residuales domésticas y las aguas no domésticas. </w:t>
      </w:r>
    </w:p>
    <w:p w14:paraId="37D1EF2E" w14:textId="50873D05" w:rsidR="00FC79C1" w:rsidRPr="009342F9"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D180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60. Almacenamiento. Mantenimiento del biosólido bajo condiciones que garanticen un adecuado control de las emisiones de gases y vapores, manejo de lixiviados y control a la proliferación de vectores. </w:t>
      </w:r>
    </w:p>
    <w:p w14:paraId="6E209C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 Atracción de vectores. Es la característica de los lodos y biosólidos para atraer vectores o diseminadores como roedores, moscas, mosquitos u otros organismos capaces de transportar agentes infecciosos. </w:t>
      </w:r>
    </w:p>
    <w:p w14:paraId="78E58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F094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 Biosólidos. Producto resultante de la estabilización de la fracción orgánica de los lodos generados en el tratamiento de aguas residuales municipales, con características físicas, químicas y microbiológicas que permiten su uso. </w:t>
      </w:r>
    </w:p>
    <w:p w14:paraId="5F0974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C745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 son biosólidos las escorias y cenizas producto de la oxidación o reducción térmica de lodos, así como los residuos que se retiran de los equipos e instalaciones de la fase preliminar del tratamiento de aguas residuales, ni los provenientes de dragados o de limpieza de sumideros. </w:t>
      </w:r>
    </w:p>
    <w:p w14:paraId="5FBA0C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7355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63. Distribuidor de biosólidos. Persona natural o jurídica que comercializa los biosólidos. </w:t>
      </w:r>
    </w:p>
    <w:p w14:paraId="2979CD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C46A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64. Digestión aeróbica. Es la descomposición biológica en condiciones controladas de la materia orgánica presente en los lodos, que es transformada en bióxido de carbono yagua por los microorganismos en presencia de oxígeno. </w:t>
      </w:r>
    </w:p>
    <w:p w14:paraId="2EFEE0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F296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65. Digestión anaerobia. Es la descomposición biológica en condiciones controladas de la materia orgánica presente en los lodos, que es transformada en gas metano y bióxido de carbono y agua por los microorganismos en ausencia de oxígeno. </w:t>
      </w:r>
    </w:p>
    <w:p w14:paraId="265549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030B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66. Estabilización de lodos. Proceso que comprende los tratamientos destinados a controlar la degradación biológica, la atracción de vectores y la patogenicidad de los lodos generados en las plantas de tratamiento de aguas residuales municipales acondicionándolos para su uso o disposición final. </w:t>
      </w:r>
    </w:p>
    <w:p w14:paraId="1EAFBD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1327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67. Materiales de complemento o mezcla para el biosólido. Son aquellos materiales que cuentan con propiedades para mejorar las características del biosólido. Pueden provenir de procesos de compostaje, humificación o </w:t>
      </w:r>
      <w:proofErr w:type="spellStart"/>
      <w:r w:rsidRPr="009342F9">
        <w:rPr>
          <w:rFonts w:ascii="Arial" w:eastAsia="Times New Roman" w:hAnsi="Arial" w:cs="Arial"/>
          <w:color w:val="000000"/>
          <w:lang w:eastAsia="es-CO"/>
        </w:rPr>
        <w:t>lombricultura</w:t>
      </w:r>
      <w:proofErr w:type="spellEnd"/>
      <w:r w:rsidRPr="009342F9">
        <w:rPr>
          <w:rFonts w:ascii="Arial" w:eastAsia="Times New Roman" w:hAnsi="Arial" w:cs="Arial"/>
          <w:color w:val="000000"/>
          <w:lang w:eastAsia="es-CO"/>
        </w:rPr>
        <w:t>. </w:t>
      </w:r>
    </w:p>
    <w:p w14:paraId="43D9D7E0" w14:textId="77777777" w:rsidR="00377DAA" w:rsidRDefault="00377DAA" w:rsidP="00FC79C1">
      <w:pPr>
        <w:spacing w:after="0" w:line="240" w:lineRule="auto"/>
        <w:jc w:val="both"/>
        <w:rPr>
          <w:rFonts w:ascii="Arial" w:eastAsia="Times New Roman" w:hAnsi="Arial" w:cs="Arial"/>
          <w:color w:val="000000"/>
          <w:lang w:eastAsia="es-CO"/>
        </w:rPr>
      </w:pPr>
    </w:p>
    <w:p w14:paraId="733E5E3B" w14:textId="0E3FE25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68. Lodo. Suspensión de un sólido en un líquido proveniente del tratamiento de aguas residuales municipales. </w:t>
      </w:r>
    </w:p>
    <w:p w14:paraId="229414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DC45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69. Productor de biosólidos. Persona prestadora del servicio público domiciliario de alcantarillado en el componente de tratamiento de aguas residuales municipales que realiza procesos de estabilización de lodos generados en las plantas de tratamiento de aguas residuales. </w:t>
      </w:r>
    </w:p>
    <w:p w14:paraId="60CDCDB0" w14:textId="587E84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58BE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70. Restauración, mejoramiento o recuperación de suelos degradados. Aplicación de medidas con el fin de corregir los procesos de degradación del suelo; iniciar o acelerar la recuperación de suelos degradados como resultado de actividades humanas o por causas naturales; o restablecer parcialmente los elementos estructurales, funciones o servicios </w:t>
      </w:r>
      <w:proofErr w:type="gramStart"/>
      <w:r w:rsidRPr="009342F9">
        <w:rPr>
          <w:rFonts w:ascii="Arial" w:eastAsia="Times New Roman" w:hAnsi="Arial" w:cs="Arial"/>
          <w:color w:val="000000"/>
          <w:lang w:eastAsia="es-CO"/>
        </w:rPr>
        <w:t>eco sistémicos</w:t>
      </w:r>
      <w:proofErr w:type="gramEnd"/>
      <w:r w:rsidRPr="009342F9">
        <w:rPr>
          <w:rFonts w:ascii="Arial" w:eastAsia="Times New Roman" w:hAnsi="Arial" w:cs="Arial"/>
          <w:color w:val="000000"/>
          <w:lang w:eastAsia="es-CO"/>
        </w:rPr>
        <w:t xml:space="preserve"> del suelo. </w:t>
      </w:r>
    </w:p>
    <w:p w14:paraId="74B2B1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5140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71. Registro de productores y distribuidores de biosólidos. Inscripción que debe realizar el productor y distribuidor de biosólidos ante el ICA, cuando éste se destine al uso agrícola. </w:t>
      </w:r>
    </w:p>
    <w:p w14:paraId="69CB39BD" w14:textId="77777777" w:rsidR="00377DAA" w:rsidRDefault="00377DAA" w:rsidP="00FC79C1">
      <w:pPr>
        <w:spacing w:after="0" w:line="240" w:lineRule="auto"/>
        <w:jc w:val="both"/>
        <w:rPr>
          <w:rFonts w:ascii="Arial" w:eastAsia="Times New Roman" w:hAnsi="Arial" w:cs="Arial"/>
          <w:color w:val="000000"/>
          <w:lang w:eastAsia="es-CO"/>
        </w:rPr>
      </w:pPr>
    </w:p>
    <w:p w14:paraId="5B7C3FD6" w14:textId="3871335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72. Suelos degradados. Son aquellos que por actividades antrópicas o por fenómenos naturales han sufrido un proceso de pérdida de material superficial, pérdida de nutrientes o pérdida de su estructura original, afectando la capacidad de soporte de la vegetación preexistente o de los cultivos. Son suelos degradados también aquellos donde ha ocurrido desaparición de la vegetación natural o implantada y en los que se incrementa la vulnerabilidad del suelo a procesos de degradación. </w:t>
      </w:r>
    </w:p>
    <w:p w14:paraId="312443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31F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73. Tasa agronómica. Tasa de aplicación de biosólidos a suelos agrícolas diseñada para proveer la cantidad de nutrientes: nitrógeno, fósforo o micronutrientes, requerido por el cultivo o vegetación, evitando generar impactos adversos o negativos y minimizando el potencial de contaminación de las aguas superficiales y subterráneas. </w:t>
      </w:r>
    </w:p>
    <w:p w14:paraId="4BE14C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4D3A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74. Usuario de biosólidos. Persona natural o jurídica que utiliza los biosólidos del productor o del distribuidor. </w:t>
      </w:r>
    </w:p>
    <w:p w14:paraId="74AD9C37" w14:textId="77777777" w:rsidR="00F74103" w:rsidRPr="009342F9" w:rsidRDefault="00F74103" w:rsidP="00FC79C1">
      <w:pPr>
        <w:spacing w:after="0" w:line="240" w:lineRule="auto"/>
        <w:jc w:val="both"/>
        <w:rPr>
          <w:rFonts w:ascii="Arial" w:eastAsia="Times New Roman" w:hAnsi="Arial" w:cs="Arial"/>
          <w:color w:val="000000"/>
          <w:lang w:eastAsia="es-CO"/>
        </w:rPr>
      </w:pPr>
      <w:bookmarkStart w:id="1550" w:name="ver_30074942"/>
      <w:bookmarkEnd w:id="1550"/>
    </w:p>
    <w:p w14:paraId="7B468944" w14:textId="3F6A8643"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5C0CF262"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CONDICIONES PARA EL TRÁMITE DE LAS SOLICITUDES DE VIABILIDAD Y DISPONIBILIDAD DE LOS SERVICIOS PÚBLICOS DOMICILIARIOS DE ACUEDUCTO Y ALCANTARILLADO</w:t>
      </w:r>
    </w:p>
    <w:p w14:paraId="77BB7D0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51" w:name="ver_30074943"/>
      <w:bookmarkEnd w:id="1551"/>
    </w:p>
    <w:p w14:paraId="6EB877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2.3.1.2.2. Objeto. El presente Capítulo tiene por objeto establecer los términos y condiciones para el trámite de las solicitudes de viabilidad y disponibilidad de prestación de los servicios públicos domiciliarios que se presenten ante las personas prestadoras de los servicios públicos domiciliarios de acueducto y/o alcantarillado. </w:t>
      </w:r>
    </w:p>
    <w:p w14:paraId="376B67D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52" w:name="ver_30074944"/>
      <w:bookmarkEnd w:id="1552"/>
    </w:p>
    <w:p w14:paraId="2E7B4E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2.3.1.2.3. Ámbito de aplicación. El presente Capítulo aplica a los prestadores de los servicios públicos domiciliarios de acueducto y/o alcantarillado, a los urbanizadores y constructores, a los municipios y/o distritos y a la Superintendencia de Servicios Públicos Domiciliarios. </w:t>
      </w:r>
    </w:p>
    <w:p w14:paraId="22A15FD5" w14:textId="05E853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53" w:name="ver_30074945"/>
      <w:bookmarkEnd w:id="1553"/>
    </w:p>
    <w:p w14:paraId="23E621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2.3.1.2.4. Viabilidad y disponibilidad inmediata de servicios públicos para proyectos de urbanización. Los prestadores de los servicios públicos de acueducto y/o alcantarillado dentro de las áreas del perímetro urbano, están en la obligación de expedir la certificación de viabilidad y disponibilidad inmediata de los mencionados servicios cuando le sean solicitadas. </w:t>
      </w:r>
    </w:p>
    <w:p w14:paraId="4EADA0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E8D0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viabilidad y disponibilidad inmediata de servicios públicos se establecen las condiciones técnicas para conexión y suministro del servicio, las cuales desarrollará el urbanizador a través del diseño y construcción de las redes secundarias o locales que están a su cargo. Una vez se obtenga la licencia urbanística, el urbanizador responsable está en la obligación de elaborar y someter a aprobación del prestador de servicios públicos los correspondientes diseños y proyectos técnicos con base en los cuales se ejecutará la construcción de las citadas infraestructuras. </w:t>
      </w:r>
    </w:p>
    <w:p w14:paraId="7F9FFC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B50F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ejecución de los proyectos de redes locales o secundarias de servicios públicos las hará el urbanizador en tanto esté vigente la licencia urbanística o su revalidación. </w:t>
      </w:r>
    </w:p>
    <w:p w14:paraId="382020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9826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Entregadas las redes secundarias de servicios públicos, corresponde a los prestadores su operación, reposición, adecuación, mantenimiento, actualización o expansión para atender las decisiones de ordenamiento territorial definidas en los planes de ordenamiento territorial o los instrumentos que lo desarrollen o complementen. </w:t>
      </w:r>
    </w:p>
    <w:p w14:paraId="3F09F3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C627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urbanizador está en la obligación de construir las redes locales o secundarias necesarias para la ejecución del respectivo proyecto urbanístico y la prestación efectiva de los servicios de acueducto y alcantarillado. En estos casos el prestador del servicio deberá hacer la supervisión técnica de la ejecución de estas obras y recibir la infraestructura. Cuando el proyecto se desarrolle por etapas este recibo se dará a la finalización de la correspondiente etapa. </w:t>
      </w:r>
    </w:p>
    <w:p w14:paraId="7BE0BB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9851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el urbanizador acuerde con el prestador hacer el diseño y/o la construcción de redes matrices, el prestador está en la obligación de cubrirlos o retribuirlos. </w:t>
      </w:r>
    </w:p>
    <w:p w14:paraId="2980E9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7B73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las empresas prestadoras podrán exigir los urbanizadores la realización de diseños y/o construcción de redes matrices o primarias. </w:t>
      </w:r>
    </w:p>
    <w:p w14:paraId="7BB8E193" w14:textId="2EAE62C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54" w:name="ver_30074946"/>
      <w:bookmarkEnd w:id="1554"/>
    </w:p>
    <w:p w14:paraId="7EB2CF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2.3.1.2.5. Término para resolver la solicitud de viabilidad y disponibilidad inmediata. Los prestadores de los servicios públicos de acueducto y/o alcantarillado deberán decidir sobre la solicitud de viabilidad y disponibilidad inmediata de los mencionados servicios, dentro de los cuarenta y cinco (45) días calendario siguientes a la fecha de recepción de la solicitud presentada por el interesado. En todo caso ante la falta de respuesta se podrá acudir a los mecanismos legales para la protección del derecho de petición. </w:t>
      </w:r>
    </w:p>
    <w:p w14:paraId="050A50C8" w14:textId="2EA1A60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55" w:name="ver_30074947"/>
      <w:bookmarkEnd w:id="1555"/>
    </w:p>
    <w:p w14:paraId="77C9AF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2.3.1.2.6. Prestación efectiva de los servicios para predios ubicados en sectores urbanizados. Los prestadores de los servicios públicos de acueducto y/o alcantarillado tienen la obligación de suministrar efectivamente los servicios a los predios urbanizados y/o que cuenten con licencia de construcción. Para el efecto, deberán atender las disposiciones de ordenamiento territorial y adecuar su sistema de prestación a las densidades, aprovechamientos urbanísticos y usos definidos por las normas urbanísticas vigentes, sin que en ningún caso puedan trasladar dicha responsabilidad a los titulares de las licencias de construcción mediante la exigencia de requisitos no previstos en la ley. El titular de la licencia de construcción deberá solicitar su vinculación como usuario al prestador, la cual deberá ser atendida en un término no mayor a quince (15) días hábiles contados a partir de la presentación de la solicitud. </w:t>
      </w:r>
    </w:p>
    <w:p w14:paraId="0F718A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ED5B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el efecto de lo dispuesto en el presente artículo, los prestadores de los servicios públicos domiciliarios de acueducto y/o alcantarillado deben articular sus planes de ampliación de prestación del servicio, sus planes de inversión y demás fuente de financiación, con las decisiones de ordenamiento contenidas en los planes de ordenamiento territorial y los instrumentos que los desarrollen y complementen, así como con los programas de ejecución de los planes de ordenamiento contenidos en los planes de desarrollo municipales y distritales. </w:t>
      </w:r>
    </w:p>
    <w:p w14:paraId="19ADC1A4" w14:textId="3E68E8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56" w:name="ver_30074948"/>
      <w:bookmarkEnd w:id="1556"/>
    </w:p>
    <w:p w14:paraId="39EA6E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2.3.1.2.7. Trámite ante la Superintendencia de Servicios Públicos Domiciliarios (SSPD). En caso de que el prestador de los servicios públicos de acueducto y/o alcantarillado le comunique al peticionario la no disponibilidad inmediata del servicio, la persona prestadora deberá remitir dentro de los cinco (5) días siguientes a su negativa, copia de la misma comunicación a la Superintendencia de Servicios Públicos Domiciliarios, adjuntando los análisis que sustenten tal decisión y demás soportes. </w:t>
      </w:r>
    </w:p>
    <w:p w14:paraId="719FAC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AF5A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negativa del prestador a otorgar la viabilidad y disponibilidad inmediata deberá ser motivada desde el punto de vista técnico, jurídico y económico, y soportada debidamente con los documentos respectivos, teniendo en cuenta dentro de los elementos de análisis, lo contenido en el plan de obras e inversiones del respectivo prestador y los planes de ordenamiento territorial. </w:t>
      </w:r>
    </w:p>
    <w:p w14:paraId="0331FC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AA47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evento en que la Superintendencia de Servicios Públicos Domiciliarios no encuentre probados los argumentos del prestador para la negativa de la disponibilidad inmediata de servicio, en el acto administrativo que así lo establezca, ordenará al prestador el otorgamiento de dicha viabilidad y disponibilidad. </w:t>
      </w: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la empresa incumpla con el otorgamiento de la viabilidad y disponibilidad, el expediente se remitirá al funcionario competente de la SSPD para efectos de que imponga las sanciones a que haya lugar. </w:t>
      </w:r>
    </w:p>
    <w:p w14:paraId="328BDE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EDAA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que la Superintendencia de Servicios Públicos Domiciliarios encuentre probados los argumentos del prestador, así deberá consignarlo en el respectivo acto administrativo, el cual deberá ser comunicado al solicitante y al ente territorial para los efectos establecidos en el artículo 50 de la Ley 1537 de 2012, así como para dar cumplimiento a las inversiones previstas en materia de servicios públicos en los programas de ejecución de los planes de ordenamiento territorial. </w:t>
      </w:r>
    </w:p>
    <w:p w14:paraId="4AB095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626C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actuación que adelante la Superintendencia de Servicios Públicos Domiciliarios, se surtirá de conformidad con lo previsto en la Ley 142 de 1994 y el Código de Procedimiento Administrativo y de lo Contencioso Administrativo. </w:t>
      </w:r>
    </w:p>
    <w:p w14:paraId="7773CD9B" w14:textId="04FA59B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57" w:name="ver_30074950"/>
      <w:bookmarkEnd w:id="1557"/>
    </w:p>
    <w:p w14:paraId="30A3A7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2.3.1.2.8. Prohibición de requisitos adicionales. El estudio que adelante el prestador con el fin de resolver una solicitud de disponibilidad inmediata de </w:t>
      </w:r>
      <w:proofErr w:type="gramStart"/>
      <w:r w:rsidRPr="009342F9">
        <w:rPr>
          <w:rFonts w:ascii="Arial" w:eastAsia="Times New Roman" w:hAnsi="Arial" w:cs="Arial"/>
          <w:color w:val="000000"/>
          <w:lang w:eastAsia="es-CO"/>
        </w:rPr>
        <w:t>servicios,</w:t>
      </w:r>
      <w:proofErr w:type="gramEnd"/>
      <w:r w:rsidRPr="009342F9">
        <w:rPr>
          <w:rFonts w:ascii="Arial" w:eastAsia="Times New Roman" w:hAnsi="Arial" w:cs="Arial"/>
          <w:color w:val="000000"/>
          <w:lang w:eastAsia="es-CO"/>
        </w:rPr>
        <w:t xml:space="preserve"> deberá ceñirse a determinar si cuenta o no con capacidad para atender las demandas asociadas a las solicitudes de servicios de acueducto y/o alcantarillado, teniendo en cuenta lo definido en el presente decreto. </w:t>
      </w:r>
    </w:p>
    <w:p w14:paraId="11644E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2EBA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planes de ordenamiento territorial, las reglamentaciones municipales o distritales o en los reglamentos técnicos u operativos que expidan los prestadores de servicios no se podrán incluir requisitos, exigencias o estudios adicionales a los establecidos en la normatividad expedida por el Gobierno Nacional. En el evento de existir cualquier discrepancia se dará aplicación estricta a lo definido en el presente decreto. </w:t>
      </w:r>
    </w:p>
    <w:p w14:paraId="2BC3FF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1AF5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Tampoco podrán solicitar, en los casos de proyectos con licencia de construcción vigente, la reposición, adecuación o construcción de redes, o la presentación de estudios, alternativas técnicas para la prestación de los servicios de acueducto, alcantarillado, disposición de las aguas residuales o la caracterización de los vertimientos. </w:t>
      </w:r>
    </w:p>
    <w:p w14:paraId="3A4AE5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50AA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violación a lo establecido en este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dará lugar a que la Superintendencia de Servicios Públicos Domiciliarios adelante las actuaciones correspondientes dentro del marco de sus competencias, e imponga las sanciones a que haya lugar. </w:t>
      </w:r>
    </w:p>
    <w:p w14:paraId="4635B657" w14:textId="48547AAF"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58" w:name="ver_30074952"/>
      <w:bookmarkEnd w:id="1558"/>
    </w:p>
    <w:p w14:paraId="1B387654" w14:textId="434EEF0E"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60202212"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SERVICIOS PÚBLICOS DOMICILIARIOS DE ACUEDUCTO Y ALCANTARILLADO</w:t>
      </w:r>
    </w:p>
    <w:p w14:paraId="79DDDF7B" w14:textId="77777777" w:rsidR="005C501F" w:rsidRDefault="005C501F" w:rsidP="00F74103">
      <w:pPr>
        <w:spacing w:after="0" w:line="240" w:lineRule="auto"/>
        <w:jc w:val="center"/>
        <w:rPr>
          <w:rFonts w:ascii="Arial" w:eastAsia="Times New Roman" w:hAnsi="Arial" w:cs="Arial"/>
          <w:b/>
          <w:bCs/>
          <w:color w:val="000000"/>
          <w:lang w:eastAsia="es-CO"/>
        </w:rPr>
      </w:pPr>
    </w:p>
    <w:p w14:paraId="4BC7F729" w14:textId="7BFB7C56"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SECCION 1</w:t>
      </w:r>
    </w:p>
    <w:p w14:paraId="5161CBF1"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1</w:t>
      </w:r>
    </w:p>
    <w:p w14:paraId="2FD9B38B"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4DC9B0EA"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559" w:name="ver_30074953"/>
      <w:bookmarkEnd w:id="1559"/>
    </w:p>
    <w:p w14:paraId="4D94DD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2.3.1.3.1.1.1. Objeto. El presente Capítulo contiene el conjunto de normas que regulan las relaciones que se generan entre la entidad prestadora de los servicios públicos de acueducto y alcantarillado y los suscriptores y usuarios, actuales y potenciales, del mismo.  </w:t>
      </w:r>
    </w:p>
    <w:p w14:paraId="630403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147A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w:t>
      </w:r>
      <w:proofErr w:type="gramStart"/>
      <w:r w:rsidRPr="009342F9">
        <w:rPr>
          <w:rFonts w:ascii="Arial" w:eastAsia="Times New Roman" w:hAnsi="Arial" w:cs="Arial"/>
          <w:color w:val="000000"/>
          <w:lang w:eastAsia="es-CO"/>
        </w:rPr>
        <w:t>Las entidad prestadora</w:t>
      </w:r>
      <w:proofErr w:type="gramEnd"/>
      <w:r w:rsidRPr="009342F9">
        <w:rPr>
          <w:rFonts w:ascii="Arial" w:eastAsia="Times New Roman" w:hAnsi="Arial" w:cs="Arial"/>
          <w:color w:val="000000"/>
          <w:lang w:eastAsia="es-CO"/>
        </w:rPr>
        <w:t xml:space="preserve"> de los servicios públicos domiciliarios de acueducto y alcantarillado, podrán expedir el reglamento interno de prestación del servicio, de conformidad con lo dispuesto en la ley y el reglamento. </w:t>
      </w:r>
    </w:p>
    <w:p w14:paraId="07C15489" w14:textId="192C6B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60" w:name="ver_30074956"/>
      <w:bookmarkEnd w:id="1560"/>
    </w:p>
    <w:p w14:paraId="1ED4BD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2.3.1.3.1.1.2. Del registro o catastro de usuarios. Cada entidad prestadora de los servicios públicos de acueducto y alcantarillado deberá contar con la información completa y actualizada de sus suscriptores y usuarios, que contenga los datos sobre su identificación, modalidad del servicio que reciben, estados de cuentas y demás que sea necesaria para el seguimiento y control de los servicios. </w:t>
      </w:r>
    </w:p>
    <w:p w14:paraId="626369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D0CF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entidad prestadora de los servicios públicos de acueducto y </w:t>
      </w:r>
      <w:proofErr w:type="gramStart"/>
      <w:r w:rsidRPr="009342F9">
        <w:rPr>
          <w:rFonts w:ascii="Arial" w:eastAsia="Times New Roman" w:hAnsi="Arial" w:cs="Arial"/>
          <w:color w:val="000000"/>
          <w:lang w:eastAsia="es-CO"/>
        </w:rPr>
        <w:t>alcantarillado,</w:t>
      </w:r>
      <w:proofErr w:type="gramEnd"/>
      <w:r w:rsidRPr="009342F9">
        <w:rPr>
          <w:rFonts w:ascii="Arial" w:eastAsia="Times New Roman" w:hAnsi="Arial" w:cs="Arial"/>
          <w:color w:val="000000"/>
          <w:lang w:eastAsia="es-CO"/>
        </w:rPr>
        <w:t xml:space="preserve"> asegurará que la identificación de los inmuebles corresponda a la nomenclatura oficial. </w:t>
      </w:r>
    </w:p>
    <w:p w14:paraId="57B9C9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7D8D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casos excepcionales por deficiencias o baja cobertura de la nomenclatura oficial, la entidad prestadora de los servicios públicos podrá adoptar una nomenclatura provisional. </w:t>
      </w:r>
    </w:p>
    <w:p w14:paraId="24996F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4960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Es responsabilidad de los suscriptores o usuarios informar a la entidad prestadora de los servicios públicos de acueducto y alcantarillado cualquier cambio en las características, identificación o uso de los inmuebles a las reportadas en el momento de la solicitud de instalación de los servicios. </w:t>
      </w:r>
    </w:p>
    <w:p w14:paraId="5CC9E3B2" w14:textId="015FACEA"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61" w:name="ver_30074957"/>
      <w:bookmarkEnd w:id="1561"/>
    </w:p>
    <w:p w14:paraId="07C02841" w14:textId="15A101AC"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SECCION 2</w:t>
      </w:r>
    </w:p>
    <w:p w14:paraId="71D4FA5C"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PRESTACIÓN DE LOS SERVICIOS PÚBLICOS DE ACUEDUCTO</w:t>
      </w:r>
    </w:p>
    <w:p w14:paraId="129596D5" w14:textId="77777777"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Y ALCANTARILLADO</w:t>
      </w:r>
    </w:p>
    <w:p w14:paraId="2A3F6825" w14:textId="77777777" w:rsidR="005C5EEB" w:rsidRPr="009342F9" w:rsidRDefault="005C5EEB" w:rsidP="00F74103">
      <w:pPr>
        <w:spacing w:after="0" w:line="240" w:lineRule="auto"/>
        <w:jc w:val="center"/>
        <w:rPr>
          <w:rFonts w:ascii="Arial" w:eastAsia="Times New Roman" w:hAnsi="Arial" w:cs="Arial"/>
          <w:b/>
          <w:bCs/>
          <w:color w:val="000000"/>
          <w:lang w:eastAsia="es-CO"/>
        </w:rPr>
      </w:pPr>
    </w:p>
    <w:p w14:paraId="0FC82327"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1</w:t>
      </w:r>
    </w:p>
    <w:p w14:paraId="0BF9445F"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OBLIGACIONES Y DEBERES DE LOS USUARIOS</w:t>
      </w:r>
    </w:p>
    <w:p w14:paraId="74C0A2A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62" w:name="ver_30074960"/>
      <w:bookmarkEnd w:id="1562"/>
    </w:p>
    <w:p w14:paraId="1D2C34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2.3.1.3.2.1.3 De la solicitud de servicios y vinculación como usuario. Cuando haya servicios públicos disponibles de acueducto y alcantarillado, será obligatorio vincularse como usuario y cumplir con los deberes respectivos, o acreditar que se dispone de alternativas que no perjudiquen a la comunidad. </w:t>
      </w:r>
    </w:p>
    <w:p w14:paraId="43F6A5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3773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de Servicios Públicos Domiciliarios será la entidad competente para determinar si la alternativa propuesta no causa perjuicios a la comunidad. </w:t>
      </w:r>
    </w:p>
    <w:p w14:paraId="3265D6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E6DD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servicios de acueducto y alcantarillado deben ser solicitados de manera conjunta, salvo en los casos en que el usuario o suscriptor disponga de fuentes alternas de aprovechamiento de aguas, sean éstas superficiales o subterráneas y el caso de los usuarios o suscriptores que no puedan ser conectados a la red de alcantarillado. </w:t>
      </w:r>
    </w:p>
    <w:p w14:paraId="3EDC19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BE8B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En relación con el inciso tercero del presente artículo, los casos especiales deben ser informados de manera detallada por el usuario o suscriptor, a la entidad prestadora de los servicios públicos, como parte de la información que debe contener la solicitud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y acompañar copia del correspondiente permiso de concesión de aguas subterráneas y/o superficiales expedido por la autoridad ambiental competente. </w:t>
      </w:r>
    </w:p>
    <w:p w14:paraId="12EB7280" w14:textId="4EA9121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63" w:name="ver_30074961"/>
      <w:bookmarkEnd w:id="1563"/>
    </w:p>
    <w:p w14:paraId="6D9446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2.3.1.3.2.1.4 De las instalaciones internas. Todo predio o edificación nueva deberá dotarse de redes e instalaciones interiores separadas e independientes para aguas lluvias, aguas negras domésticas y aguas negras industriales, cuando existan redes de alcantarillado igualmente separadas e independientes. </w:t>
      </w:r>
    </w:p>
    <w:p w14:paraId="6C5631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B3EC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diseño y la construcción e instalación de </w:t>
      </w:r>
      <w:proofErr w:type="gramStart"/>
      <w:r w:rsidRPr="009342F9">
        <w:rPr>
          <w:rFonts w:ascii="Arial" w:eastAsia="Times New Roman" w:hAnsi="Arial" w:cs="Arial"/>
          <w:color w:val="000000"/>
          <w:lang w:eastAsia="es-CO"/>
        </w:rPr>
        <w:t>desagües,</w:t>
      </w:r>
      <w:proofErr w:type="gramEnd"/>
      <w:r w:rsidRPr="009342F9">
        <w:rPr>
          <w:rFonts w:ascii="Arial" w:eastAsia="Times New Roman" w:hAnsi="Arial" w:cs="Arial"/>
          <w:color w:val="000000"/>
          <w:lang w:eastAsia="es-CO"/>
        </w:rPr>
        <w:t xml:space="preserve"> deberán ajustarse a las normas y especificaciones previstas en el Reglamento Técnico del Sector de Agua Potable y Saneamiento Básico. </w:t>
      </w:r>
    </w:p>
    <w:p w14:paraId="002E7DC0" w14:textId="5FC3927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64" w:name="ver_30074963"/>
      <w:bookmarkEnd w:id="1564"/>
    </w:p>
    <w:p w14:paraId="129AEF57"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2.3.1.3.2.1.5. Del uso racional de los servicios. Los usuarios o suscriptores de las entidades prestadoras de los servicios, deberán hacer uso de los servicios de acueducto y alcantarillado en forma racional y responsable, observando las condiciones que para tal efecto establezcan las normas vigentes, en orden a garantizar el ahorro y uso eficiente del agua, la prevención de la contaminación hídrica por parte de sustancias susceptibles de producir daño en la salud humana y en el ambiente y la normal operación de las redes de acueducto y alcantarillado. </w:t>
      </w:r>
    </w:p>
    <w:p w14:paraId="1E4E4370" w14:textId="3E07F363"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65" w:name="ver_30074965"/>
      <w:bookmarkEnd w:id="1565"/>
    </w:p>
    <w:p w14:paraId="2510F971" w14:textId="4831170E"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173E1821"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CONEXIÓN</w:t>
      </w:r>
    </w:p>
    <w:p w14:paraId="443066A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66" w:name="ver_30074967"/>
      <w:bookmarkEnd w:id="1566"/>
    </w:p>
    <w:p w14:paraId="0FE000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2.3.1.3.2.2.6. Condiciones de acceso a los servicios. Para obtener la conexión de los servicios de acueducto y alcantarillado, el inmueble deberá cumplir los siguientes requisitos: </w:t>
      </w:r>
    </w:p>
    <w:p w14:paraId="1F6CAA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E38F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Estar ubicado dentro del perímetro de servicio, tal como lo dispone el parágrafo segundo del artículo 12 de la Ley 388 de 1997. </w:t>
      </w:r>
    </w:p>
    <w:p w14:paraId="0312F8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CA05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Contar con la Licencia de Construcción cuando se trate de edificaciones por construir, o la cédula catastral en el caso de obras terminadas. </w:t>
      </w:r>
    </w:p>
    <w:p w14:paraId="26482B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C7BD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Estar ubicado en zonas que cuenten con vías de acceso o espacios públicos y redes de acueducto o alcantarillado requeridas para adelantar las redes locales y las conexiones domiciliarias que permitan atender las necesidades del inmueble. </w:t>
      </w:r>
    </w:p>
    <w:p w14:paraId="3EC579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DB69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Estar conectado al sistema público de alcantarillado, cuando se pretenda la conexión al servicio de acueducto, salvo lo establecido en el artículo 4o. de este decreto. </w:t>
      </w:r>
    </w:p>
    <w:p w14:paraId="54675A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180D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5. Contar con un sistema de tratamiento y disposición final adecuada de aguas residuales debidamente aprobado por la autoridad ambiental competente, </w:t>
      </w:r>
      <w:proofErr w:type="gramStart"/>
      <w:r w:rsidRPr="009342F9">
        <w:rPr>
          <w:rFonts w:ascii="Arial" w:eastAsia="Times New Roman" w:hAnsi="Arial" w:cs="Arial"/>
          <w:color w:val="000000"/>
          <w:lang w:eastAsia="es-CO"/>
        </w:rPr>
        <w:t>cuando</w:t>
      </w:r>
      <w:proofErr w:type="gramEnd"/>
      <w:r w:rsidRPr="009342F9">
        <w:rPr>
          <w:rFonts w:ascii="Arial" w:eastAsia="Times New Roman" w:hAnsi="Arial" w:cs="Arial"/>
          <w:color w:val="000000"/>
          <w:lang w:eastAsia="es-CO"/>
        </w:rPr>
        <w:t xml:space="preserve"> no obstante, ser usuario o suscriptor de la red de acueducto, no existe red de alcantarillado en la zona del inmueble. </w:t>
      </w:r>
    </w:p>
    <w:p w14:paraId="61B820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D31E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usuarios industriales y/o especiales de alcantarillado que manejen productos químicos y derivados del petróleo deberán contar con un plan de contingencia que garantice que bajo ninguna condición se corre el riesgo de que estas sustancias lleguen al sistema público de alcantarillado. </w:t>
      </w:r>
    </w:p>
    <w:p w14:paraId="1148D3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E212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 La conexión al sistema de alcantarillado de los sótanos y </w:t>
      </w:r>
      <w:proofErr w:type="spellStart"/>
      <w:r w:rsidRPr="009342F9">
        <w:rPr>
          <w:rFonts w:ascii="Arial" w:eastAsia="Times New Roman" w:hAnsi="Arial" w:cs="Arial"/>
          <w:color w:val="000000"/>
          <w:lang w:eastAsia="es-CO"/>
        </w:rPr>
        <w:t>semi-sótanos</w:t>
      </w:r>
      <w:proofErr w:type="spellEnd"/>
      <w:r w:rsidRPr="009342F9">
        <w:rPr>
          <w:rFonts w:ascii="Arial" w:eastAsia="Times New Roman" w:hAnsi="Arial" w:cs="Arial"/>
          <w:color w:val="000000"/>
          <w:lang w:eastAsia="es-CO"/>
        </w:rPr>
        <w:t xml:space="preserve"> podrá realizarse previo el cumplimiento de las normas técnicas fijadas por la entidad prestadora de los servicios públicos. </w:t>
      </w:r>
    </w:p>
    <w:p w14:paraId="48E5A4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ECBA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Contar con tanque de almacenamiento de agua cuando la Entidad Prestadora de Servicios Públicos lo justifique por condiciones técnicas locales. Los tanques de almacenamiento deberán disponer de los elementos necesarios para evitar los desperdicios y la contaminación del agua y deberán ajustarse a las normas establecidas por la entidad. </w:t>
      </w:r>
    </w:p>
    <w:p w14:paraId="10BD84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891F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En edificaciones de tres (3) o más pisos, contar con los sistemas necesarios para permitir la utilización eficiente de los servicios. </w:t>
      </w:r>
    </w:p>
    <w:p w14:paraId="31537A97" w14:textId="5B1A3A3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67" w:name="ver_30074969"/>
      <w:bookmarkEnd w:id="1567"/>
    </w:p>
    <w:p w14:paraId="6A92B8C3"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2.3.1.3.2.2.7. Utilización de las redes. Los particulares no pueden utilizar la red pública o aquellas entregadas a la entidad prestadora de los servicios públicos, para su administración ni realizar obras sobre éstas, salvo con autorización expresa de la entidad prestadora de los servicios públicos. En todo caso, la entidad prestadora de los servicios públicos podrá realizar extensiones, derivaciones, modificaciones u otro tipo de trabajo en las redes de acueducto y alcantarillado recibidas de terceros. </w:t>
      </w:r>
    </w:p>
    <w:p w14:paraId="2EFF3A50" w14:textId="77777777" w:rsidR="009A3227" w:rsidRPr="009342F9" w:rsidRDefault="009A3227" w:rsidP="00FC79C1">
      <w:pPr>
        <w:spacing w:after="0" w:line="240" w:lineRule="auto"/>
        <w:jc w:val="both"/>
        <w:rPr>
          <w:rFonts w:ascii="Arial" w:eastAsia="Times New Roman" w:hAnsi="Arial" w:cs="Arial"/>
          <w:color w:val="000000"/>
          <w:lang w:eastAsia="es-CO"/>
        </w:rPr>
      </w:pPr>
    </w:p>
    <w:p w14:paraId="5EBD74E3" w14:textId="326E48B0" w:rsidR="009A3227" w:rsidRPr="009A3227" w:rsidRDefault="009A3227" w:rsidP="009A3227">
      <w:pPr>
        <w:spacing w:after="0" w:line="240" w:lineRule="auto"/>
        <w:jc w:val="center"/>
        <w:rPr>
          <w:rFonts w:ascii="Arial" w:eastAsia="Times New Roman" w:hAnsi="Arial" w:cs="Arial"/>
          <w:b/>
          <w:bCs/>
          <w:lang w:eastAsia="es-CO"/>
        </w:rPr>
      </w:pPr>
      <w:bookmarkStart w:id="1568" w:name="ver_30074971"/>
      <w:bookmarkEnd w:id="1568"/>
      <w:r w:rsidRPr="009A3227">
        <w:rPr>
          <w:rFonts w:ascii="Arial" w:hAnsi="Arial" w:cs="Arial"/>
          <w:b/>
          <w:bCs/>
          <w:sz w:val="23"/>
          <w:szCs w:val="23"/>
          <w:shd w:val="clear" w:color="auto" w:fill="FFFFFF"/>
        </w:rPr>
        <w:t>SUBSECCIÓN 3</w:t>
      </w:r>
    </w:p>
    <w:p w14:paraId="6EA941DD" w14:textId="3DBF7120"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RÉGIMEN DE ACOMETIDAS Y MEDIDORES</w:t>
      </w:r>
    </w:p>
    <w:p w14:paraId="6E50BFA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69" w:name="ver_30074974"/>
      <w:bookmarkEnd w:id="1569"/>
    </w:p>
    <w:p w14:paraId="2AD674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2.3.1.3.2.3.8. Régimen de acometidas. La entidad prestadora de los servicios públicos establecerá las especificaciones de las acometidas de acueducto y alcantarillado, conforme a lo establecido en el Reglamento Técnico del Sector de Agua Potable y Saneamiento Básico. En todo caso, el costo de redes, equipos y demás elementos que constituyan la acometida estarán a cargo del usuario cuando se construya por primera vez. </w:t>
      </w:r>
    </w:p>
    <w:p w14:paraId="005014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3C62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Los suscriptores o usuarios deberán comunicar a la entidad prestadora de los servicios públicos, cualquier modificación, división, aumento de unidad a la cual se le presta el servicio, para que evalúe la posibilidad técnica de la prestación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y determinen las modificaciones hidráulicas que se requieran. </w:t>
      </w:r>
    </w:p>
    <w:p w14:paraId="4BB4F18C" w14:textId="2DF46C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0" w:name="ver_30074976"/>
      <w:bookmarkEnd w:id="1570"/>
    </w:p>
    <w:p w14:paraId="77A363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2.3.1.3.2.3.9. Unidad de acometida por usuario. La entidad prestadora de los servicios públicos sólo estará obligada a autorizar una acometida de acueducto y alcantarillado por unidad habitacional o unidad no residencial, salvo que por razones técnicas se requieran acometidas adicionales. La entidad prestadora de los servicios públicos podrá exigir la Independización de las acometidas cuando lo estime necesario. En edificios multifamiliares y multiusuarios, la entidad prestadora de los servicios públicos podrá autorizar acometidas para atender una o varias unidades independientes. </w:t>
      </w:r>
    </w:p>
    <w:p w14:paraId="071910A2" w14:textId="6FC96A4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1" w:name="ver_30074977"/>
      <w:bookmarkEnd w:id="1571"/>
    </w:p>
    <w:p w14:paraId="679FDA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2.3.1.3.2.3.10. Cambio de localización de la acometida. Es atribución exclusiva de la entidad prestadora de los servicios públicos, realizar cambios en la localización del medidor y de la acometida y en el diámetro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así como efectuar las independizaciones del caso, previo el pago de los costos que se generen, por parte del usuario. </w:t>
      </w:r>
    </w:p>
    <w:p w14:paraId="7A832E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A61D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por reconstrucción o modificación de un inmueble, se dificulte la identificación del sitio de entrada de la acometida, el suscriptor o usuario deberá informar a la entidad prestadora de los servicios públicos, dentro de los treinta (30) días siguientes, para que se ejecuten con cargo al usuario, los cambios del caso. En esta circunstancia cuando el suscriptor o usuario sea diferente al propietario del inmueble se regirá por lo dispuesto en el Código Civil. </w:t>
      </w:r>
    </w:p>
    <w:p w14:paraId="20CC3A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E583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por división del inmueble, alguna de sus partes que goce del servicio de acueducto o de alcantarillado, pase a dominio de otra persona; deberá hacerse constar en la respectiva escritura cuál porción se reserva el derecho al servicio. Si no lo hiciere así, el derecho al servicio quedará asignado a aquella sección del inmueble por donde se encuentre instalada la acometida. </w:t>
      </w:r>
    </w:p>
    <w:p w14:paraId="7717BD5C" w14:textId="5544FA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2" w:name="ver_30074979"/>
      <w:bookmarkEnd w:id="1572"/>
    </w:p>
    <w:p w14:paraId="64C873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2.3.1.3.2.3.11. De los medidores. Los contratos de condiciones uniformes pueden exigir que los suscriptores o usuarios adquieran, instalen, mantengan y reparen los instrumentos necesarios para medir sus consumos de agua, en tal caso, los suscriptores o usuarios podrán adquirir los bienes y servicios respectivos a quien a bien tengan y la entidad prestadora de los servicios públicos deberá aceptarlo siempre que reúnan las características técnicas a las que se refiere el inciso siguiente. </w:t>
      </w:r>
    </w:p>
    <w:p w14:paraId="78FC14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B065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prestadora de los servicios públicos podrá establecer en las condiciones uniformes del contrato las características técnicas de los medidores, las condiciones para su reemplazo y el mantenimiento que deba dárseles. </w:t>
      </w:r>
    </w:p>
    <w:p w14:paraId="7F334A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C595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 será obligación del suscriptor o usuario cerciorarse que los medidores funcionen en forma adecuada; pero sí será obligación suya hacerlos reparar o reemplazarlos, a satisfacción de la entidad prestadora de los servicios públicos, cuando se establezca que el funcionamiento no permite determinar en forma adecuada los consumos o cuando el desarrollo tecnológico ponga a su disposición instrumentos de medida más precisos. </w:t>
      </w:r>
    </w:p>
    <w:p w14:paraId="5003A1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44E5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usuario o suscriptor, pasado un período de facturación a partir de la comunicación de la necesidad del cambio no tome las acciones necesarias para reparar o remplazar los medidores, la entidad prestadora de los servicios públicos podrá hacerlo por cuenta del usuario o suscriptor. </w:t>
      </w:r>
    </w:p>
    <w:p w14:paraId="782467DD" w14:textId="50D6282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3" w:name="ver_30074981"/>
      <w:bookmarkEnd w:id="1573"/>
    </w:p>
    <w:p w14:paraId="27B183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2.3.1.3.2.3.12. De la obligatoriedad de los medidores de acueducto. De ser técnicamente posible cada acometida deberá contar con su correspondiente medidor de acueducto, el cual será instalado en cumplimiento de los programas de </w:t>
      </w:r>
      <w:proofErr w:type="spellStart"/>
      <w:r w:rsidRPr="009342F9">
        <w:rPr>
          <w:rFonts w:ascii="Arial" w:eastAsia="Times New Roman" w:hAnsi="Arial" w:cs="Arial"/>
          <w:color w:val="000000"/>
          <w:lang w:eastAsia="es-CO"/>
        </w:rPr>
        <w:t>micromedición</w:t>
      </w:r>
      <w:proofErr w:type="spellEnd"/>
      <w:r w:rsidRPr="009342F9">
        <w:rPr>
          <w:rFonts w:ascii="Arial" w:eastAsia="Times New Roman" w:hAnsi="Arial" w:cs="Arial"/>
          <w:color w:val="000000"/>
          <w:lang w:eastAsia="es-CO"/>
        </w:rPr>
        <w:t xml:space="preserve"> establecidos por la entidad prestadora de los servicios públicos de conformidad con la regulación expedida por la Comisión de Regulación de Agua Potable y Saneamiento Básico. Para el caso de edificios de propiedad horizontal o condominios, de ser técnicamente posible, cada uno de los inmuebles que lo constituyan deberá tener su medidor individual. </w:t>
      </w:r>
    </w:p>
    <w:p w14:paraId="6019DB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1939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prestadora de los servicios públicos determinará el sitio de colocación de los medidores, procurando que sea de fácil acceso para efecto de su mantenimiento y lectura y podrá instalar los medidores a los inmuebles que no lo tienen, en este caso el costo del medidor correrá por cuenta del suscriptor o usuario. </w:t>
      </w:r>
    </w:p>
    <w:p w14:paraId="71B42D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4338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entidad prestadora de los servicios públicos debe ofrecer financiamiento a los suscriptores de uso residencial de los estratos 1, 2 y 3, para cubrir los costos del medidor, su instalación, obra civil, o reemplazo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en caso de daño. Esta financiación debe ser de por lo menos treinta (36) (sic) meses, dando libertad al usuario de pactar períodos más cortos si así lo desea. Este cobro se hará junto con la factura de acueducto. </w:t>
      </w:r>
    </w:p>
    <w:p w14:paraId="35EB04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0D3C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usuarios temporales, la entidad prestadora de los servicios públicos podrá exigir una ubicación fija y visible de una cámara para el contador, con el fin de verificar la lectura y la revisión de control. </w:t>
      </w:r>
    </w:p>
    <w:p w14:paraId="5ADB71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A428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prestadora de los servicios públicos podrá exigir la instalación de medidores o estructuras de aforo de aguas residuales, para aquellos usuarios que se abastecen de aguas provenientes de fuentes alternas pero que utilizan el servicio de alcantarillado. </w:t>
      </w:r>
    </w:p>
    <w:p w14:paraId="47ABE0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CBB6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prestadora de los servicios públicos dará garantía de buen servicio del medidor por un lapso no inferior a tres (3) años, cuando el mismo sea suministrado directamente por la entidad. A igual disposición se someten las acometidas. En caso de falla del medidor dentro del período de garantía, el costo de reparación o reposición será asumido por la entidad prestadora del servicio, sin poder trasladarlo al usuario. Igualmente, no podrán cambiarse los medidores hasta tanto no se determine que su funcionamiento está por fuera del rango de error admisible. </w:t>
      </w:r>
    </w:p>
    <w:p w14:paraId="4C7977E9" w14:textId="570B9B7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4" w:name="ver_30074983"/>
      <w:bookmarkEnd w:id="1574"/>
    </w:p>
    <w:p w14:paraId="6AFA13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2.3.1.3.2.3.13. De los medidores generales o de control. En el caso de edificios o unidades inmobiliarias cerradas podrá existir un medidor de control inmediatamente aguas abajo de la acometida. Deben existir medidores individuales en cada una de las unidades habitacionales o no residenciales que conforman el edificio o las unidades inmobiliarias o áreas comunes. </w:t>
      </w:r>
    </w:p>
    <w:p w14:paraId="16C1E7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DDE4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áreas comunes de edificios o unidades inmobiliarias cerradas deben disponer de medición que permitan facturar los consumos correspondientes. De no ser técnicamente posible la medición individual del consumo de áreas comunes, se debe instalar un medidor general en la acometida y calcular el consumo de las áreas comunes como la diferencia entre el volumen registrado por el medidor general y la suma de los consumos registrados por los medidores individuales. </w:t>
      </w:r>
    </w:p>
    <w:p w14:paraId="50C22A82" w14:textId="02F80DB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5" w:name="ver_30074986"/>
      <w:bookmarkEnd w:id="1575"/>
    </w:p>
    <w:p w14:paraId="43E592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2.3.1.3.2.3.14. Medidores para grandes consumidores no residenciales. Los grandes consumidores no residenciales, deberán instalar equipos de medición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lineamientos que expedida la Comisión de Regulación de Agua Potable y Saneamiento Básico. </w:t>
      </w:r>
    </w:p>
    <w:p w14:paraId="1DFFEB94" w14:textId="692BD9F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6" w:name="ver_30074987"/>
      <w:bookmarkEnd w:id="1576"/>
    </w:p>
    <w:p w14:paraId="7DFD5D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2.3.1.3.2.3.15. Medidores para multiusuario. Los suscriptores o usuarios de edificios catalogados como multiusuarios sometidos al régimen de propiedad horizontal, que cuenten con un medidor colectivo, podrán solicitar a la entidad prestadora de los servicios públicos la instalación de medidores individuales. En este caso, los suscriptores o usuarios deberán realizar a su cargo todas las obras requeridas por la entidad prestadora de los servicios públicos para la instalación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w:t>
      </w:r>
    </w:p>
    <w:p w14:paraId="7C08A8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4790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entidad prestadora de los servicios </w:t>
      </w:r>
      <w:proofErr w:type="gramStart"/>
      <w:r w:rsidRPr="009342F9">
        <w:rPr>
          <w:rFonts w:ascii="Arial" w:eastAsia="Times New Roman" w:hAnsi="Arial" w:cs="Arial"/>
          <w:color w:val="000000"/>
          <w:lang w:eastAsia="es-CO"/>
        </w:rPr>
        <w:t>públicos,</w:t>
      </w:r>
      <w:proofErr w:type="gramEnd"/>
      <w:r w:rsidRPr="009342F9">
        <w:rPr>
          <w:rFonts w:ascii="Arial" w:eastAsia="Times New Roman" w:hAnsi="Arial" w:cs="Arial"/>
          <w:color w:val="000000"/>
          <w:lang w:eastAsia="es-CO"/>
        </w:rPr>
        <w:t xml:space="preserve"> podrá autorizar la Independización del servicio en el caso de que la mayoría de los copropietarios la solicite, previo un acuerdo de pago de los saldos vigentes a la fecha de la Independización y la ejecución por los beneficiarios de las adecuaciones técnicas requeridas. </w:t>
      </w:r>
    </w:p>
    <w:p w14:paraId="57335F85" w14:textId="33E5F5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7" w:name="ver_30074989"/>
      <w:bookmarkEnd w:id="1577"/>
    </w:p>
    <w:p w14:paraId="68E454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2.3.1.3.2.3.16. Cambio de medidor. La entidad prestadora de los servicios </w:t>
      </w:r>
      <w:proofErr w:type="gramStart"/>
      <w:r w:rsidRPr="009342F9">
        <w:rPr>
          <w:rFonts w:ascii="Arial" w:eastAsia="Times New Roman" w:hAnsi="Arial" w:cs="Arial"/>
          <w:color w:val="000000"/>
          <w:lang w:eastAsia="es-CO"/>
        </w:rPr>
        <w:t>públicos,</w:t>
      </w:r>
      <w:proofErr w:type="gramEnd"/>
      <w:r w:rsidRPr="009342F9">
        <w:rPr>
          <w:rFonts w:ascii="Arial" w:eastAsia="Times New Roman" w:hAnsi="Arial" w:cs="Arial"/>
          <w:color w:val="000000"/>
          <w:lang w:eastAsia="es-CO"/>
        </w:rPr>
        <w:t xml:space="preserve"> podrá cambiar el medidor cuando éste no tenga el diámetro adecuado para el servicio que se presta. En tales casos, el suscriptor o usuario pagará a la entidad prestadora de los servicios públicos, según la diferencia entre el valor del medidor nuevo y el valor del medidor retirado, a los precios vigentes, así como de los materiales derivados de tales obras, a los precios vigentes, sea en su contra o a su favor en un plazo máximo de seis (6) meses. </w:t>
      </w:r>
    </w:p>
    <w:p w14:paraId="1A887F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8361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a juicio de la empresa el medidor no registre adecuadamente el consumo, la empresa podrá retirarlo temporalmente para verificar su estado. Si como resultado de esta actuación se determina una falla en el instrumento de medida, se dará al suscriptor o usuario la opción de repararlo, si técnica y económicamente esta resulta procedente. </w:t>
      </w:r>
    </w:p>
    <w:p w14:paraId="2848CC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DB14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caso de requerirse el cambio del medidor, el suscriptor o usuario tendrá la opción de adquirirlo a quien a bien tenga, evento en el </w:t>
      </w:r>
      <w:proofErr w:type="gramStart"/>
      <w:r w:rsidRPr="009342F9">
        <w:rPr>
          <w:rFonts w:ascii="Arial" w:eastAsia="Times New Roman" w:hAnsi="Arial" w:cs="Arial"/>
          <w:color w:val="000000"/>
          <w:lang w:eastAsia="es-CO"/>
        </w:rPr>
        <w:t>cual</w:t>
      </w:r>
      <w:proofErr w:type="gramEnd"/>
      <w:r w:rsidRPr="009342F9">
        <w:rPr>
          <w:rFonts w:ascii="Arial" w:eastAsia="Times New Roman" w:hAnsi="Arial" w:cs="Arial"/>
          <w:color w:val="000000"/>
          <w:lang w:eastAsia="es-CO"/>
        </w:rPr>
        <w:t xml:space="preserve"> si éste reúne las características técnicas establecidas en el contrato de condiciones uniformes, la empresa deberá aceptarlo, o la empresa podrá suministrarlo previa autorización del suscriptor. </w:t>
      </w:r>
    </w:p>
    <w:p w14:paraId="6E9F5C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BD2E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todo caso, cuando el medidor sea retirado para su reemplazo, éste será entregado al suscriptor, en su condición de propietario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salvo indicación expresa de éste en contrario. </w:t>
      </w:r>
    </w:p>
    <w:p w14:paraId="70437401" w14:textId="6AED38E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78" w:name="ver_30074990"/>
      <w:bookmarkEnd w:id="1578"/>
    </w:p>
    <w:p w14:paraId="66C633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2.3.1.3.2.3.17. Mantenimiento de las acometidas y medidores. En ningún caso se permite derivar acometidas desde la red matriz o de la red local sin autorización previa de la entidad prestadora de los servicios públicos. </w:t>
      </w:r>
    </w:p>
    <w:p w14:paraId="5CAC56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FCB7C" w14:textId="006756DF"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costo de reparación o reposición de las acometidas y medidores estará a cargo de los suscriptores o usuarios, una vez expirado el período de garantía en los términos del artículo 15 de este capítulo. </w:t>
      </w:r>
    </w:p>
    <w:p w14:paraId="177C5E70" w14:textId="77777777" w:rsidR="00377DAA" w:rsidRPr="009342F9" w:rsidRDefault="00377DAA" w:rsidP="00FC79C1">
      <w:pPr>
        <w:spacing w:after="0" w:line="240" w:lineRule="auto"/>
        <w:jc w:val="both"/>
        <w:rPr>
          <w:rFonts w:ascii="Arial" w:eastAsia="Times New Roman" w:hAnsi="Arial" w:cs="Arial"/>
          <w:color w:val="000000"/>
          <w:lang w:eastAsia="es-CO"/>
        </w:rPr>
      </w:pPr>
    </w:p>
    <w:p w14:paraId="73AE43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 obligación del suscriptor o usuario mantener la cámara o cajilla de los medidores limpia de escombros, materiales, basuras u otros elementos. </w:t>
      </w:r>
    </w:p>
    <w:p w14:paraId="2BC68087" w14:textId="50CDC0B9" w:rsidR="00F74103" w:rsidRPr="009342F9" w:rsidRDefault="00FC79C1" w:rsidP="00377DAA">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579" w:name="ver_30074991"/>
      <w:bookmarkEnd w:id="1579"/>
    </w:p>
    <w:p w14:paraId="5866733F" w14:textId="23310CD8"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4</w:t>
      </w:r>
    </w:p>
    <w:p w14:paraId="6D601804"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MANTENIMIENTO DE LAS INSTALACIONES DOMICILIARIAS</w:t>
      </w:r>
    </w:p>
    <w:p w14:paraId="1A86536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80" w:name="ver_30074992"/>
      <w:bookmarkEnd w:id="1580"/>
    </w:p>
    <w:p w14:paraId="2E3988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2.3.1.3.2.4.18. Mantenimiento de las instalaciones domiciliarias. El mantenimiento de las redes internas de acueducto y alcantarillado no es responsabilidad de la entidad prestadora de los servicios públicos, pero ésta podrá revisar tales instalaciones y exigir las adecuaciones y reparaciones que estime necesarias para la correcta utilización del servicio. </w:t>
      </w:r>
    </w:p>
    <w:p w14:paraId="7044F5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781C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Cada usuario del servicio deberá mantener en buen estado la instalación domiciliaria del inmueble que ocupe y, en consecuencia, la entidad prestadora de los servicios públicos no asumirá responsabilidad alguna derivada de modificaciones realizadas en ella. De todas </w:t>
      </w:r>
      <w:proofErr w:type="gramStart"/>
      <w:r w:rsidRPr="009342F9">
        <w:rPr>
          <w:rFonts w:ascii="Arial" w:eastAsia="Times New Roman" w:hAnsi="Arial" w:cs="Arial"/>
          <w:color w:val="000000"/>
          <w:lang w:eastAsia="es-CO"/>
        </w:rPr>
        <w:t>formas</w:t>
      </w:r>
      <w:proofErr w:type="gramEnd"/>
      <w:r w:rsidRPr="009342F9">
        <w:rPr>
          <w:rFonts w:ascii="Arial" w:eastAsia="Times New Roman" w:hAnsi="Arial" w:cs="Arial"/>
          <w:color w:val="000000"/>
          <w:lang w:eastAsia="es-CO"/>
        </w:rPr>
        <w:t xml:space="preserve"> los usuarios deben preservar la presión mínima definida en el Reglamento Técnico del Sector de Agua Potable y Saneamiento Básico. </w:t>
      </w:r>
    </w:p>
    <w:p w14:paraId="3AE38A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517E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el suscriptor o usuario lo solicite o cuando se presenten consumos de agua excesivos e injustificados, la entidad prestadora de los servicios públicos deberá efectuar una revisión de las redes internas a fin de establecer si hay deterioro en ellas y, de ser el caso, podrá hacer las sugerencias que considere oportunas para su reparación. </w:t>
      </w:r>
    </w:p>
    <w:p w14:paraId="79EAB5A5" w14:textId="7DB50FF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81" w:name="ver_30074994"/>
      <w:bookmarkEnd w:id="1581"/>
    </w:p>
    <w:p w14:paraId="3C4761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2.3.1.3.2.4.19. Mantenimiento de las redes públicas. La entidad prestadora de los servicios públicos está en la obligación de hacer el mantenimiento y reparación de las redes públicas de acueducto y alcantarillado. Así mismo deberá contar con un archivo referente a la fecha de construcción de las redes, especificaciones técnicas y demás información necesaria para el mantenimiento y reposición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49911EC4" w14:textId="727CED79" w:rsidR="00F74103"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82" w:name="ver_30074996"/>
      <w:bookmarkEnd w:id="1582"/>
    </w:p>
    <w:p w14:paraId="2A9686C1" w14:textId="77777777" w:rsidR="002A08F3" w:rsidRPr="009342F9" w:rsidRDefault="002A08F3" w:rsidP="00FC79C1">
      <w:pPr>
        <w:spacing w:after="0" w:line="240" w:lineRule="auto"/>
        <w:jc w:val="both"/>
        <w:rPr>
          <w:rFonts w:ascii="Arial" w:eastAsia="Times New Roman" w:hAnsi="Arial" w:cs="Arial"/>
          <w:color w:val="000000"/>
          <w:lang w:eastAsia="es-CO"/>
        </w:rPr>
      </w:pPr>
    </w:p>
    <w:p w14:paraId="10688F0F" w14:textId="793D8E83"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5</w:t>
      </w:r>
    </w:p>
    <w:p w14:paraId="1644F583"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CAUSALES DE SUSPENSIÓN DE LOS SERVICIOS</w:t>
      </w:r>
    </w:p>
    <w:p w14:paraId="6E8B6BDE"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583" w:name="ver_30074998"/>
      <w:bookmarkEnd w:id="1583"/>
    </w:p>
    <w:p w14:paraId="75B616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2.3.1.3.2.5.20. Suspensión de común acuerdo. En desarrollo del artículo 138 de la Ley 142 de 1994, podrán suspenderse los servicios de acueducto y alcantarillado cuando lo solicite un suscriptor o usuario, si convienen en ello la entidad prestadora de los servicios públicos y los terceros que puedan resultar afectados. De la misma manera podrán las partes terminar el contrato. </w:t>
      </w:r>
    </w:p>
    <w:p w14:paraId="7745964D" w14:textId="77777777" w:rsidR="00377DAA" w:rsidRDefault="00377DAA" w:rsidP="00FC79C1">
      <w:pPr>
        <w:spacing w:after="0" w:line="240" w:lineRule="auto"/>
        <w:jc w:val="both"/>
        <w:rPr>
          <w:rFonts w:ascii="Arial" w:eastAsia="Times New Roman" w:hAnsi="Arial" w:cs="Arial"/>
          <w:color w:val="000000"/>
          <w:lang w:eastAsia="es-CO"/>
        </w:rPr>
      </w:pPr>
      <w:bookmarkStart w:id="1584" w:name="ver_30075000"/>
      <w:bookmarkEnd w:id="1584"/>
    </w:p>
    <w:p w14:paraId="15EDE69D" w14:textId="1AEC535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2.3.1.3.2.5.21. Comunicación de la suspensión. La entidad prestadora de los servicios públicos deberá informar a la comunidad los términos y motivos de la suspensión de los servicios de acueducto y alcantarillado, con una anticipación no inferior a veinticuatro (24) horas de la suspensión. </w:t>
      </w:r>
    </w:p>
    <w:p w14:paraId="74477758" w14:textId="47BD3D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85" w:name="ver_30075001"/>
      <w:bookmarkEnd w:id="1585"/>
    </w:p>
    <w:p w14:paraId="74BA4E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2.3.1.3.2.5.22. Suspensión en interés del servicio. No es falla en la prestación del servicio la suspensión que haga la entidad prestadora de los servicios públicos con los siguientes fines: </w:t>
      </w:r>
    </w:p>
    <w:p w14:paraId="2A5E7A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8A38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Realizar reparaciones técnicas, mantenimientos periódicos y racionamientos por motivos de fuerza mayor, siempre que de ello se dé aviso amplio y oportuno a los suscriptores o usuarios. </w:t>
      </w:r>
    </w:p>
    <w:p w14:paraId="22A0AF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742E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Que se haya empleado toda la diligencia posible dentro de las circunstancias para que el suscriptor o usuario pueda hacer valer sus derechos. </w:t>
      </w:r>
    </w:p>
    <w:p w14:paraId="491648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DE1E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entidad prestadora de los servicios públicos deberá informar a la comunidad los términos de la suspensión del servicio, con una anticipación no inferior a veinticuatro (24) horas, salvo en caso fortuito o de fuerza mayor. </w:t>
      </w:r>
    </w:p>
    <w:p w14:paraId="12B407B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86" w:name="ver_30075003"/>
      <w:bookmarkEnd w:id="1586"/>
      <w:r w:rsidRPr="009342F9">
        <w:rPr>
          <w:rFonts w:ascii="Arial" w:eastAsia="Times New Roman" w:hAnsi="Arial" w:cs="Arial"/>
          <w:color w:val="000000"/>
          <w:lang w:eastAsia="es-CO"/>
        </w:rPr>
        <w:t>Artículo 2.3.1.3.2.5.23. Suspensión por incumplimiento del contrato de condiciones uniformes. El incumplimiento del contrato por parte del suscriptor o usuario da lugar a la suspensión unilateral del servicio por parte de la entidad prestadora de los servicios públicos, en los siguientes eventos: </w:t>
      </w:r>
    </w:p>
    <w:p w14:paraId="1F9960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1831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falta de pago por el término que fije la entidad prestadora de los servicios públicos, sin exceder en todo caso de tres (3) períodos de facturación del servicio, salvo que exista reclamación o recurso interpuesto. La reincidencia de esta conducta en un período de dos (2) años, dará lugar al corte del servicio. </w:t>
      </w:r>
    </w:p>
    <w:p w14:paraId="6D28E5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F215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alteración inconsulta y unilateral, por parte del usuario o suscriptor, de las condiciones contractuales de prestación de los servicios que el presente decreto reglamenta. </w:t>
      </w:r>
    </w:p>
    <w:p w14:paraId="6636E2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AA47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Realizar conexiones fraudulentas o sin autorización de la entidad prestadora de los servicios públicos. </w:t>
      </w:r>
    </w:p>
    <w:p w14:paraId="3998EA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61CF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Dar al servicio público domiciliario un uso distinto del declarado o convenido con la entidad prestadora de los servicios públicos. </w:t>
      </w:r>
    </w:p>
    <w:p w14:paraId="555DD8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34DD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Proporcionar un servicio público domiciliario a otro inmueble o usuario distinto del beneficiario del servicio. </w:t>
      </w:r>
    </w:p>
    <w:p w14:paraId="631426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107C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Realizar modificaciones en las acometidas o conexiones, sin autorización previa de la Entidad Prestadora de los Servicios Públicos. </w:t>
      </w:r>
    </w:p>
    <w:p w14:paraId="6E8235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5493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Aumentar, sin autorización de la entidad prestadora de los servicios públicos, los diámetros de las acometidas, la capacidad instalada y el número de derivaciones. </w:t>
      </w:r>
    </w:p>
    <w:p w14:paraId="0B9F78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D5D5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Adulterar las conexiones y/o aparatos de medición o de control, o alterar su normal funcionamiento. </w:t>
      </w:r>
    </w:p>
    <w:p w14:paraId="495DC8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EFFF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Dañar o retirar el aparato de medida; retirar, romper o adulterar cualquiera de los sellos instalados en los equipos de medida, protección, control o gabinete, o cuando se verifique que los existentes no correspondan a los reglamentados por la entidad prestadora de los servicios públicos. </w:t>
      </w:r>
    </w:p>
    <w:p w14:paraId="6B2159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6237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Efectuar, sin autorización, una reconexión cuando el servicio ha sido suspendido. </w:t>
      </w:r>
    </w:p>
    <w:p w14:paraId="47EA3D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5237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Cancelar facturas con cheques que no sean pagados por el banco respectivo, salvo que exista causa justificada de no pago, sin perjuicio de las acciones legales pertinentes, o cuando se cancele el servicio con una cuenta de cobro adulterada. </w:t>
      </w:r>
    </w:p>
    <w:p w14:paraId="6D23E7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77A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Interferir en la utilización, operación o mantenimiento de las líneas, redes y demás equipos necesarios para suministrar el servicio público domiciliario, sean de propiedad de la entidad prestadora de los servicios públicos o de los suscriptores. </w:t>
      </w:r>
    </w:p>
    <w:p w14:paraId="2AB342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075D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Impedir a los funcionarios, autorizados por la entidad prestadora de los servicios públicos y debidamente identificados, la inspección de las instalaciones internas, equipos de medida o de lectura de los medidores. </w:t>
      </w:r>
    </w:p>
    <w:p w14:paraId="478BC0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52C9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No permitir el traslado del equipo de medición, la reparación o cambio justificado del mismo, cuando ello sea necesario para garantizar una correcta medición. </w:t>
      </w:r>
    </w:p>
    <w:p w14:paraId="1E1B31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5403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No ejecutar dentro del plazo fijado, la adecuación de las instalaciones internas a las normas vigentes y requeridas por razones técnicas o por seguridad en el suministro del servicio. </w:t>
      </w:r>
    </w:p>
    <w:p w14:paraId="7625D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6F2E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 Conectar equipos a las acometidas y redes sin la autorización de la entidad prestadora de los servicios públicos. </w:t>
      </w:r>
    </w:p>
    <w:p w14:paraId="356A1A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8530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Efectuar sin autorización de la entidad prestadora de los servicios públicos una reconexión cuando el servicio se encuentre suspendido. </w:t>
      </w:r>
    </w:p>
    <w:p w14:paraId="0AB2BF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711A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18. Cuando el urbanizador destine un inmueble a un fin distinto del previsto en la respectiva licencia de construcción y/o urbanización, o cuando se construya un inmueble careciendo de ésta, estando los usuarios o suscriptores obligados a obtener la respectiva licencia. </w:t>
      </w:r>
    </w:p>
    <w:p w14:paraId="3C0FD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BB3A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19. Interconectar las tuberías de acueducto atendidas por la entidad prestadora de los servicios públicos con cualquier otra fuente de agua. </w:t>
      </w:r>
    </w:p>
    <w:p w14:paraId="17CA27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5B33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servicio a las pilas públicas, fuentes públicas ornamentales y parques </w:t>
      </w:r>
      <w:proofErr w:type="gramStart"/>
      <w:r w:rsidRPr="009342F9">
        <w:rPr>
          <w:rFonts w:ascii="Arial" w:eastAsia="Times New Roman" w:hAnsi="Arial" w:cs="Arial"/>
          <w:color w:val="000000"/>
          <w:lang w:eastAsia="es-CO"/>
        </w:rPr>
        <w:t>públicos,</w:t>
      </w:r>
      <w:proofErr w:type="gramEnd"/>
      <w:r w:rsidRPr="009342F9">
        <w:rPr>
          <w:rFonts w:ascii="Arial" w:eastAsia="Times New Roman" w:hAnsi="Arial" w:cs="Arial"/>
          <w:color w:val="000000"/>
          <w:lang w:eastAsia="es-CO"/>
        </w:rPr>
        <w:t xml:space="preserve"> se suspenderá cuando se realicen derivaciones para otros fines. </w:t>
      </w:r>
    </w:p>
    <w:p w14:paraId="07DD8021" w14:textId="77777777" w:rsidR="00377DAA" w:rsidRDefault="00377DAA" w:rsidP="00FC79C1">
      <w:pPr>
        <w:spacing w:after="0" w:line="240" w:lineRule="auto"/>
        <w:jc w:val="both"/>
        <w:rPr>
          <w:rFonts w:ascii="Arial" w:eastAsia="Times New Roman" w:hAnsi="Arial" w:cs="Arial"/>
          <w:color w:val="000000"/>
          <w:lang w:eastAsia="es-CO"/>
        </w:rPr>
      </w:pPr>
      <w:bookmarkStart w:id="1587" w:name="ver_30075005"/>
      <w:bookmarkEnd w:id="1587"/>
    </w:p>
    <w:p w14:paraId="31E1A089" w14:textId="330953B8"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2.3.1.3.2.5.24. Derechos de los usuarios. Cuando ocurren fallas continuas en la prestación del servicio durante quince (15) días o más, dentro de un mismo período de facturación, la entidad prestadora de los servicios públicos no podrá facturar el cargo fijo de dicho período. </w:t>
      </w:r>
    </w:p>
    <w:p w14:paraId="6366C22B" w14:textId="5F5623B0" w:rsidR="00FC79C1" w:rsidRPr="009342F9" w:rsidRDefault="00FC79C1" w:rsidP="00F74103">
      <w:pPr>
        <w:spacing w:after="0" w:line="240" w:lineRule="auto"/>
        <w:jc w:val="center"/>
        <w:rPr>
          <w:rFonts w:ascii="Arial" w:eastAsia="Times New Roman" w:hAnsi="Arial" w:cs="Arial"/>
          <w:b/>
          <w:bCs/>
          <w:color w:val="000000"/>
          <w:lang w:eastAsia="es-CO"/>
        </w:rPr>
      </w:pPr>
      <w:bookmarkStart w:id="1588" w:name="ver_30075007"/>
      <w:bookmarkEnd w:id="1588"/>
      <w:r w:rsidRPr="009342F9">
        <w:rPr>
          <w:rFonts w:ascii="Arial" w:eastAsia="Times New Roman" w:hAnsi="Arial" w:cs="Arial"/>
          <w:b/>
          <w:bCs/>
          <w:color w:val="000000"/>
          <w:lang w:eastAsia="es-CO"/>
        </w:rPr>
        <w:t>SUBSECCION 6</w:t>
      </w:r>
    </w:p>
    <w:p w14:paraId="7833E7B3"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CAUSALES DE CORTE Y TERMINACIÓN DEL CONTRATO</w:t>
      </w:r>
    </w:p>
    <w:p w14:paraId="7A4CB66F"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589" w:name="ver_30075009"/>
      <w:bookmarkEnd w:id="1589"/>
    </w:p>
    <w:p w14:paraId="6BFFBC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2.3.1.3.2.6.25. De las causales de corte de los servicios. Son causales de corte del servicio, la reincidencia en las causales de suspensión establecidas en la subsección 5ta del presente decreto, durante un período no superior a dos (2) años. Adicionalmente, el incumplimiento reiterado del contrato de prestación de servicios, en las condiciones de tipo y frecuencia que determine la entidad prestadora de los servicios públicos, siempre y cuando no constituya una causal de suspensión del servicio. </w:t>
      </w:r>
    </w:p>
    <w:p w14:paraId="06A37575" w14:textId="3B423C0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90" w:name="ver_30075011"/>
      <w:bookmarkEnd w:id="1590"/>
    </w:p>
    <w:p w14:paraId="47DDC8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2.3.1.3.2.6.26. De las causales de terminación del contrato y corte del servicio. La entidad prestadora de los servicios </w:t>
      </w:r>
      <w:proofErr w:type="gramStart"/>
      <w:r w:rsidRPr="009342F9">
        <w:rPr>
          <w:rFonts w:ascii="Arial" w:eastAsia="Times New Roman" w:hAnsi="Arial" w:cs="Arial"/>
          <w:color w:val="000000"/>
          <w:lang w:eastAsia="es-CO"/>
        </w:rPr>
        <w:t>públicos,</w:t>
      </w:r>
      <w:proofErr w:type="gramEnd"/>
      <w:r w:rsidRPr="009342F9">
        <w:rPr>
          <w:rFonts w:ascii="Arial" w:eastAsia="Times New Roman" w:hAnsi="Arial" w:cs="Arial"/>
          <w:color w:val="000000"/>
          <w:lang w:eastAsia="es-CO"/>
        </w:rPr>
        <w:t xml:space="preserve"> solamente podrá incluir en el contrato de condiciones uniformes las siguientes causales de terminación del contrato y corte del servicio: </w:t>
      </w:r>
    </w:p>
    <w:p w14:paraId="226DE6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2D97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falta de pago de tres (3) facturas de servicios o la reincidencia en una causal de suspensión dentro de un período de dos (2) años. </w:t>
      </w:r>
    </w:p>
    <w:p w14:paraId="092084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8981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Cuando se verifique la instalación de acometidas fraudulentas por reincidencia en el número de veces que establezca la Entidad Prestadora de los Servicios en virtud de este decreto. </w:t>
      </w:r>
    </w:p>
    <w:p w14:paraId="192948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C8D8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demolición del inmueble en el cual se prestaba el servicio, sin perjuicio de los derechos de la entidad prestadora de los servicios públicos a realizar los cobros a que haya lugar. </w:t>
      </w:r>
    </w:p>
    <w:p w14:paraId="37377D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CCE9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suspensión del servicio por un período continúo superior a seis (6) meses, excepto cuando la suspensión haya sido solicitada por el suscriptor, y/o cuando la suspensión obedezca a causas provocadas por la entidad prestadora de los servicios públicos. </w:t>
      </w:r>
    </w:p>
    <w:p w14:paraId="5E165C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DA7E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reconexión del servicio no autorizada, por más de dos (2) veces consecutivas, sin que se haya eliminado la causa que dio origen a la suspensión. </w:t>
      </w:r>
    </w:p>
    <w:p w14:paraId="4B231E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59DE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 adulteración por más de dos (2) veces de las conexiones, aparatos de medición, equipos de control y sellos, o alteraciones que impidan el funcionamiento normal de los mismos. </w:t>
      </w:r>
    </w:p>
    <w:p w14:paraId="1BB105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3023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Cuando el constructor o urbanizador haga uso indebido de la conexión temporal. (Modificado por el Decreto 229 de 2002, artículo 8º).  </w:t>
      </w:r>
    </w:p>
    <w:p w14:paraId="149738FE" w14:textId="269B37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91" w:name="ver_30075012"/>
      <w:bookmarkEnd w:id="1591"/>
    </w:p>
    <w:p w14:paraId="08721C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2.3.1.3.2.6.27. De la obligación de los constructores o urbanizadores. El constructor o urbanizador deberá informar a la entidad prestadora de los servicios públicos la terminación de la conexión temporal, so pena de la sanción establecida en el contrato que se lleva a cabo entre las partes para la conexión temporal, para que éste inicie la facturación individual del inmueble o de los inmuebles que se someten al reglamento de propiedad horizontal. </w:t>
      </w:r>
    </w:p>
    <w:p w14:paraId="1CBC25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E939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de Servicios Públicos Domiciliarios, sancionará a la entidad prestadora de los servicios públicos, cuando a pesar de ser informada por el constructor o urbanizador responsable, no tome las medidas para la medición y la facturación de los usuarios o suscriptores. </w:t>
      </w:r>
    </w:p>
    <w:p w14:paraId="6BE5028F" w14:textId="0151429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92" w:name="ver_30075013"/>
      <w:bookmarkEnd w:id="1592"/>
    </w:p>
    <w:p w14:paraId="4BA013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2.3.1.3.2.6.28. Del restablecimiento del servicio en caso de corte. Para el restablecimiento del servicio, el interesado deberá cumplir con los requisitos para las solicitudes nuevas y pagar las deudas pendientes que a nombre de éste y del respectivo inmueble existan, así como las sanciones pecuniarias, los intereses moratorios de ley y las tarifas de reinstalación. </w:t>
      </w:r>
    </w:p>
    <w:p w14:paraId="3538CDE2" w14:textId="657B1C3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93" w:name="ver_30075014"/>
      <w:bookmarkEnd w:id="1593"/>
    </w:p>
    <w:p w14:paraId="5F3F37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2.3.1.3.2.6.29. Del restablecimiento del servicio en caso de suspensión. Para restablecer el suministro del servicio es necesario que se elimine la causa que originó la suspensión, se cancelen las tarifas de reconexión y reinstalación, así como los demás pagos a que hubiere lugar. </w:t>
      </w:r>
    </w:p>
    <w:p w14:paraId="1736D4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7DA5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reanudación del servicio deberá realizarse a más tardar dentro de los dos (2) días hábiles siguientes al pago, so pena de perder la empresa a favor del suscriptor y/o usuario el valor de la sanción por reconexión, el cual se deberá abonar a la cuenta de cobro inmediatamente posterior. </w:t>
      </w:r>
    </w:p>
    <w:p w14:paraId="4852C9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02E5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no podrá cobrarse suma alguna por concepto de reconexión, cuando el servicio no hubiere sido efectivamente suspendido. </w:t>
      </w:r>
    </w:p>
    <w:p w14:paraId="61A8DB63" w14:textId="5222CDA6"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94" w:name="ver_30075015"/>
      <w:bookmarkEnd w:id="1594"/>
    </w:p>
    <w:p w14:paraId="5CDE4DB7" w14:textId="5AA0B0BB"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7</w:t>
      </w:r>
    </w:p>
    <w:p w14:paraId="57584B02" w14:textId="77777777"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DE LOS SERVICIOS COMUNITARIOS</w:t>
      </w:r>
    </w:p>
    <w:p w14:paraId="654CAF3A" w14:textId="77777777" w:rsidR="005C5EEB" w:rsidRPr="009342F9" w:rsidRDefault="005C5EEB" w:rsidP="00F74103">
      <w:pPr>
        <w:spacing w:after="0" w:line="240" w:lineRule="auto"/>
        <w:jc w:val="center"/>
        <w:rPr>
          <w:rFonts w:ascii="Arial" w:eastAsia="Times New Roman" w:hAnsi="Arial" w:cs="Arial"/>
          <w:b/>
          <w:bCs/>
          <w:color w:val="000000"/>
          <w:lang w:eastAsia="es-CO"/>
        </w:rPr>
      </w:pPr>
    </w:p>
    <w:p w14:paraId="71426A49"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SUBSUBSECCION 1</w:t>
      </w:r>
    </w:p>
    <w:p w14:paraId="1BF45534"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PILAS PÚBLICAS</w:t>
      </w:r>
    </w:p>
    <w:p w14:paraId="077567E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95" w:name="ver_30075016"/>
      <w:bookmarkEnd w:id="1595"/>
    </w:p>
    <w:p w14:paraId="3E201C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2.3.1.3.2.7.1.30. Solicitud del servicio. A solicitud de la respectiva Junta de Acción Comunal o Entidad Asociativa legalmente constituida, la entidad prestadora de los servicios públicos instalará pilas públicas para atender las necesidades de asentamientos subnormales, sin urbanizador responsable y distante de una red local de acueducto. </w:t>
      </w:r>
    </w:p>
    <w:p w14:paraId="4EE5E4A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96" w:name="ver_30075017"/>
      <w:bookmarkEnd w:id="1596"/>
    </w:p>
    <w:p w14:paraId="6481D2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2.3.1.3.2.7.1.31. Costo de instalación. El costo de instalación, dotación, medidor, mantenimiento y consumo de la pila </w:t>
      </w:r>
      <w:proofErr w:type="gramStart"/>
      <w:r w:rsidRPr="009342F9">
        <w:rPr>
          <w:rFonts w:ascii="Arial" w:eastAsia="Times New Roman" w:hAnsi="Arial" w:cs="Arial"/>
          <w:color w:val="000000"/>
          <w:lang w:eastAsia="es-CO"/>
        </w:rPr>
        <w:t>pública</w:t>
      </w:r>
      <w:proofErr w:type="gramEnd"/>
      <w:r w:rsidRPr="009342F9">
        <w:rPr>
          <w:rFonts w:ascii="Arial" w:eastAsia="Times New Roman" w:hAnsi="Arial" w:cs="Arial"/>
          <w:color w:val="000000"/>
          <w:lang w:eastAsia="es-CO"/>
        </w:rPr>
        <w:t xml:space="preserve"> así como el drenaje de sus aguas, estará a cargo de la respectiva junta de acción comunal o entidad asociativa. </w:t>
      </w:r>
    </w:p>
    <w:p w14:paraId="63661D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45499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97" w:name="ver_30075018"/>
      <w:bookmarkEnd w:id="1597"/>
      <w:r w:rsidRPr="009342F9">
        <w:rPr>
          <w:rFonts w:ascii="Arial" w:eastAsia="Times New Roman" w:hAnsi="Arial" w:cs="Arial"/>
          <w:color w:val="000000"/>
          <w:lang w:eastAsia="es-CO"/>
        </w:rPr>
        <w:t>Artículo 2.3.1.3.2.7.1.32. Registro de las pilas públicas. La entidad prestadora de los servicios públicos mantendrá actualizado el registro de las pilas públicas y de los medidores colectivos en servicio, con los datos sobre su ubicación y características. </w:t>
      </w:r>
    </w:p>
    <w:p w14:paraId="4C20FA63" w14:textId="6BDCF479"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598" w:name="ver_30075019"/>
      <w:bookmarkEnd w:id="1598"/>
    </w:p>
    <w:p w14:paraId="0377EAB3" w14:textId="25F53C8F"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SUBSUBSECCIÓN 2</w:t>
      </w:r>
    </w:p>
    <w:p w14:paraId="2A738C53"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HIDRANTES</w:t>
      </w:r>
    </w:p>
    <w:p w14:paraId="2DDB27F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599" w:name="ver_30075020"/>
      <w:bookmarkEnd w:id="1599"/>
    </w:p>
    <w:p w14:paraId="4B980F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2.3.1.3.2.7.2.33. Instalación de hidrantes públicos. Los hidrantes deben instalarse de acuerdo con las normas que para el efecto determine la Oficina de Planeación Municipal respectiva o el reglamento interno de prestación del servicio adoptado por la entidad, según lo establecido en el parágrafo del artículo 2.3.1.3.1.1.1 del presente Capítulo. </w:t>
      </w:r>
    </w:p>
    <w:p w14:paraId="239AA8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3D8E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Debe consultarse con el cuerpo de bomberos local con el fin de definir y estandarizar el tipo y diámetro de las conexiones para manguera que va a utilizar. </w:t>
      </w:r>
    </w:p>
    <w:p w14:paraId="779D64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2B74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hidrantes públicos serán instalados oficiosamente por la entidad prestadora de los servicios públicos o a solicitud del interesado, conforme a las determinaciones que en cuanto a su ubicación adopte la Oficina de Planeación, para lo cual definirá las especificaciones y forma de conexión de acuerdo con lo establecido por el Reglamento Técnico del Sector de Agua Potable y Saneamiento Básico. </w:t>
      </w:r>
    </w:p>
    <w:p w14:paraId="5A2C82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8487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un suscriptor o usuario solicite la instalación de un hidrante público, los costos de las obras y equipos requeridos serán asumidos por éste. Aunque por razón de interés social, la entidad prestadora de los servicios públicos podrá asumir estos costos. </w:t>
      </w:r>
    </w:p>
    <w:p w14:paraId="1EF06EA8" w14:textId="439BE1B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0" w:name="ver_30075021"/>
      <w:bookmarkEnd w:id="1600"/>
    </w:p>
    <w:p w14:paraId="08D1E7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2.3.1.3.2.7.2.34. Costo de instalación de los hidrantes públicos. Los hidrantes públicos forman parte integral de la red de acueducto y sus costos de instalación se distribuirán en forma similar a como se distribuyen los costos de las redes locales, salvo lo dispuesto en el inciso final del artículo anterior. </w:t>
      </w:r>
    </w:p>
    <w:p w14:paraId="542AAB41" w14:textId="0D16049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1" w:name="ver_30075022"/>
      <w:bookmarkEnd w:id="1601"/>
    </w:p>
    <w:p w14:paraId="03F8CA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2.3.1.3.2.7.2.35. Uso de los hidrantes públicos. Los hidrantes públicos sólo podrán ser utilizados por parte de la entidad prestadora de los servicios públicos y el cuerpo de bomberos. Sin embargo, por motivo de interés general, la entidad prestadora de los servicios públicos podrá autorizar su uso para otros fines, debiendo para ello definir con la entidad solicitante el mecanismo de estimación de los consumos respectivos y los cobros correspondientes. </w:t>
      </w:r>
    </w:p>
    <w:p w14:paraId="742E71BF" w14:textId="3987D88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2" w:name="ver_30075023"/>
      <w:bookmarkEnd w:id="1602"/>
    </w:p>
    <w:p w14:paraId="34CE9F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2.3.1.3.2.7.2.36. Condiciones para la instalación de hidrantes privados. La instalación de una red interna de hidrantes para un inmueble estará sujeta a las siguientes condiciones: </w:t>
      </w:r>
    </w:p>
    <w:p w14:paraId="75DA24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B862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sea independiente de las instalaciones internas de acueducto del inmueble; </w:t>
      </w:r>
    </w:p>
    <w:p w14:paraId="58AD74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5029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Que tenga acometida diferente con las de las instalaciones internas de acueducto del inmueble. </w:t>
      </w:r>
    </w:p>
    <w:p w14:paraId="4B5EF8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61DF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Que esté provista de medidor; </w:t>
      </w:r>
    </w:p>
    <w:p w14:paraId="66B8F5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BBE3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 Que el solicitante cubra los costos de la red y la tarifa de conexión correspondiente a una unidad habitacional en el caso residencial o a una instalación de diámetro de media (1/2) pulgada en el caso no residencial. De todas </w:t>
      </w:r>
      <w:proofErr w:type="gramStart"/>
      <w:r w:rsidRPr="009342F9">
        <w:rPr>
          <w:rFonts w:ascii="Arial" w:eastAsia="Times New Roman" w:hAnsi="Arial" w:cs="Arial"/>
          <w:color w:val="000000"/>
          <w:lang w:eastAsia="es-CO"/>
        </w:rPr>
        <w:t>formas</w:t>
      </w:r>
      <w:proofErr w:type="gramEnd"/>
      <w:r w:rsidRPr="009342F9">
        <w:rPr>
          <w:rFonts w:ascii="Arial" w:eastAsia="Times New Roman" w:hAnsi="Arial" w:cs="Arial"/>
          <w:color w:val="000000"/>
          <w:lang w:eastAsia="es-CO"/>
        </w:rPr>
        <w:t xml:space="preserve"> la instalación debe realizarse bajo la supervisión de la entidad prestadora de los servicios públicos; </w:t>
      </w:r>
    </w:p>
    <w:p w14:paraId="230891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D49A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Todo consumo originado y registrado en los hidrantes privados que hayan sido causados para atender emergencias y catástrofes naturales, no deberá ocasionar cargo al usuario; previa justificación de la entidad competente. </w:t>
      </w:r>
    </w:p>
    <w:p w14:paraId="356ABBA4" w14:textId="113F38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3" w:name="ver_30075024"/>
      <w:bookmarkEnd w:id="1603"/>
    </w:p>
    <w:p w14:paraId="5AAD5F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2.3.1.3.2.7.2.37. Mantenimiento de los hidrantes. La conservación y reparación de los hidrantes públicos será por cuenta de la entidad prestadora de los servicios públicos, para lo cual el cuerpo de bomberos deberá mantenerla informada de los daños, escapes y condiciones de funcionamiento en los que se encuentre cada uno de ellos. </w:t>
      </w:r>
    </w:p>
    <w:p w14:paraId="432D7A01" w14:textId="107E912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4" w:name="ver_30075025"/>
      <w:bookmarkEnd w:id="1604"/>
    </w:p>
    <w:p w14:paraId="42AE4D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2.3.1.3.2.7.2.38. Facturación del consumo a través de hidrantes. El consumo realizado a través de la red interna de hidrantes del inmueble no dará lugar a cobro alguno cuando se demuestre que el agua fue utilizada para apagar incendios. En caso contrario, el consumo registrado en el medidor de la red interna de hidrantes del inmueble se liquidará con base en las tarifas autorizadas para servicio comercial. </w:t>
      </w:r>
    </w:p>
    <w:p w14:paraId="35E0FF8B" w14:textId="6583D359"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5" w:name="ver_30075026"/>
      <w:bookmarkEnd w:id="1605"/>
    </w:p>
    <w:p w14:paraId="27B07908" w14:textId="283289E6"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SUBSUBSECCION 3</w:t>
      </w:r>
    </w:p>
    <w:p w14:paraId="381FF96E"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RIEGO DE PARQUES PÚBLICOS</w:t>
      </w:r>
    </w:p>
    <w:p w14:paraId="3DB0BC6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06" w:name="ver_30075027"/>
      <w:bookmarkEnd w:id="1606"/>
    </w:p>
    <w:p w14:paraId="403904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2.3.1.3.2.7.3.39. Registro y control. La entidad prestadora de los servicios públicos mantendrá un censo completo de las acometidas para riego y llevará un registro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w:t>
      </w:r>
    </w:p>
    <w:p w14:paraId="1D8E8A86" w14:textId="5536CF1D"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7" w:name="ver_30075028"/>
      <w:bookmarkEnd w:id="1607"/>
    </w:p>
    <w:p w14:paraId="1EC0D437" w14:textId="13B839D0"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SECCION 3</w:t>
      </w:r>
    </w:p>
    <w:p w14:paraId="60C9AD0F" w14:textId="77777777" w:rsidR="005C5EEB" w:rsidRPr="009342F9" w:rsidRDefault="005C5EEB" w:rsidP="00F74103">
      <w:pPr>
        <w:spacing w:after="0" w:line="240" w:lineRule="auto"/>
        <w:jc w:val="center"/>
        <w:rPr>
          <w:rFonts w:ascii="Arial" w:eastAsia="Times New Roman" w:hAnsi="Arial" w:cs="Arial"/>
          <w:b/>
          <w:bCs/>
          <w:color w:val="000000"/>
          <w:lang w:eastAsia="es-CO"/>
        </w:rPr>
      </w:pPr>
    </w:p>
    <w:p w14:paraId="669A12D3"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1</w:t>
      </w:r>
    </w:p>
    <w:p w14:paraId="3FD1287B"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VARIAS</w:t>
      </w:r>
    </w:p>
    <w:p w14:paraId="560ACBE0"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608" w:name="ver_30075029"/>
      <w:bookmarkEnd w:id="1608"/>
    </w:p>
    <w:p w14:paraId="773C3E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2.3.1.3.3.1.40. Sujeción al régimen. Por el hecho de solicitar el servicio de acueducto y alcantarillado, el usuario acepta las condiciones establecidas en el reglamento interno de la entidad. La entidad prestadora de los servicios públicos deberá informar al usuario al momento de recibir el formulario de solicitud del servicio sobre las condiciones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01DD2D18" w14:textId="1CAC4D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09" w:name="ver_30075030"/>
      <w:bookmarkEnd w:id="1609"/>
    </w:p>
    <w:p w14:paraId="1D179E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2.3.1.3.3.1.41. Cumplimiento de normas ambientales. Las entidades prestadoras de los servicios públicos domiciliarios de acueducto y alcantarillado, así como sus usuarios o suscriptores, deberán cumplir las normas ambientales vigentes. </w:t>
      </w:r>
    </w:p>
    <w:p w14:paraId="48B80C6F" w14:textId="4C6BD3C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0" w:name="ver_30075031"/>
      <w:bookmarkEnd w:id="1610"/>
    </w:p>
    <w:p w14:paraId="57C1ED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2.3.1.3.3.1.42. La difusión del reglamento. La entidad prestadora de los servicios públicos deberá tomar las medidas necesarias para que sus usuarios conozcan el contenido del presente reglamento, así como de su reglamento interno. </w:t>
      </w:r>
    </w:p>
    <w:p w14:paraId="3E99A29D" w14:textId="6342F41B"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1" w:name="ver_30075032"/>
      <w:bookmarkEnd w:id="1611"/>
    </w:p>
    <w:p w14:paraId="3F394D66" w14:textId="006505BC"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4</w:t>
      </w:r>
    </w:p>
    <w:p w14:paraId="145B15C1"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CRITERIOS PARA EL USO DE LOS BIOSÓLIDOS GENERADOS EN PLANTAS DE TRATAMIENTO DE AGUAS RESIDUALES MUNICIPALES.</w:t>
      </w:r>
    </w:p>
    <w:p w14:paraId="055E3C7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12" w:name="ver_30075033"/>
      <w:bookmarkEnd w:id="1612"/>
    </w:p>
    <w:p w14:paraId="0B4299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 Objeto. El presente capítulo tiene por objeto establecer los criterios para el uso de los Biosólidos producidos a partir de los lodos generados en las plantas de tratamiento de aguas residuales municipales. </w:t>
      </w:r>
    </w:p>
    <w:p w14:paraId="150CFE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8A3B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Este Capítulo no aplica a los lodos que tengan características de peligrosidad. </w:t>
      </w:r>
    </w:p>
    <w:p w14:paraId="377FBE7F" w14:textId="2F46601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3" w:name="ver_30075034"/>
      <w:bookmarkEnd w:id="1613"/>
    </w:p>
    <w:p w14:paraId="3ABBEC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2.3.1.4.2. Ámbito de aplicación. El presente Capítulo aplica a todas las personas prestadoras del servicio público domiciliario de alcantarillado en el componente de tratamiento de aguas residuales municipales como productores de </w:t>
      </w:r>
      <w:proofErr w:type="gramStart"/>
      <w:r w:rsidRPr="009342F9">
        <w:rPr>
          <w:rFonts w:ascii="Arial" w:eastAsia="Times New Roman" w:hAnsi="Arial" w:cs="Arial"/>
          <w:color w:val="000000"/>
          <w:lang w:eastAsia="es-CO"/>
        </w:rPr>
        <w:t>biosólidos</w:t>
      </w:r>
      <w:proofErr w:type="gramEnd"/>
      <w:r w:rsidRPr="009342F9">
        <w:rPr>
          <w:rFonts w:ascii="Arial" w:eastAsia="Times New Roman" w:hAnsi="Arial" w:cs="Arial"/>
          <w:color w:val="000000"/>
          <w:lang w:eastAsia="es-CO"/>
        </w:rPr>
        <w:t xml:space="preserve"> así como a los distribuidores y a los usuarios de los mismos en el territorio nacional. </w:t>
      </w:r>
    </w:p>
    <w:p w14:paraId="663AFE6E" w14:textId="1306067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4" w:name="ver_30075035"/>
      <w:bookmarkEnd w:id="1614"/>
    </w:p>
    <w:p w14:paraId="003FB5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2.3.1.4.3. Caracterización de los biosólidos. Los biosólidos deberán caracterizarse de conformidad con lo dispuesto en la Tabla 1: </w:t>
      </w:r>
    </w:p>
    <w:p w14:paraId="272B6C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EA58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Tabla 1. Variables de caracterización de Biosólidos para su uso </w:t>
      </w:r>
    </w:p>
    <w:p w14:paraId="043EE3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9CF8E6" w14:textId="395F38E0"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782FDC16" wp14:editId="6ADE2F3A">
            <wp:extent cx="5469255" cy="2682875"/>
            <wp:effectExtent l="0" t="0" r="0" b="317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pic:nvPicPr>
                  <pic:blipFill>
                    <a:blip r:embed="rId27">
                      <a:extLst>
                        <a:ext uri="{28A0092B-C50C-407E-A947-70E740481C1C}">
                          <a14:useLocalDpi xmlns:a14="http://schemas.microsoft.com/office/drawing/2010/main" val="0"/>
                        </a:ext>
                      </a:extLst>
                    </a:blip>
                    <a:stretch>
                      <a:fillRect/>
                    </a:stretch>
                  </pic:blipFill>
                  <pic:spPr>
                    <a:xfrm>
                      <a:off x="0" y="0"/>
                      <a:ext cx="5469255" cy="268287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500596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68AB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Como variable alterna al de Virus Entéricos, se podrá utilizar el de Fagos Somáticos. </w:t>
      </w:r>
    </w:p>
    <w:p w14:paraId="2D370278" w14:textId="1CA2214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5" w:name="ver_30075036"/>
      <w:bookmarkEnd w:id="1615"/>
    </w:p>
    <w:p w14:paraId="32666E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2.3.1.4.4. Valores máximos permisibles para la categorización de los biosólidos. Los biosólidos deberán cumplir con los valores máximos permisibles establecidos en la tabla 2 y se clasifican en una de las siguientes categorías: Categoría A y Categoría B. </w:t>
      </w:r>
    </w:p>
    <w:p w14:paraId="1E9A40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12568A" w14:textId="25525A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Tabla 2. Valores máximos permisibles de categorización de biosólidos para su uso.   </w:t>
      </w:r>
    </w:p>
    <w:p w14:paraId="118EB21E" w14:textId="079E4E73"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5F1B332C" wp14:editId="0BB13382">
            <wp:extent cx="5460367" cy="5900335"/>
            <wp:effectExtent l="0" t="0" r="6985" b="571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pic:cNvPicPr/>
                  </pic:nvPicPr>
                  <pic:blipFill>
                    <a:blip r:embed="rId28">
                      <a:extLst>
                        <a:ext uri="{28A0092B-C50C-407E-A947-70E740481C1C}">
                          <a14:useLocalDpi xmlns:a14="http://schemas.microsoft.com/office/drawing/2010/main" val="0"/>
                        </a:ext>
                      </a:extLst>
                    </a:blip>
                    <a:stretch>
                      <a:fillRect/>
                    </a:stretch>
                  </pic:blipFill>
                  <pic:spPr>
                    <a:xfrm>
                      <a:off x="0" y="0"/>
                      <a:ext cx="5460367" cy="590033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2A53F5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FA35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efectos del cumplimiento de los valores máximos para la variable de Coliformes Fecales definidos dentro de los criterios de uso microbiológicos para las diferentes categorías de biosólidos, se realizarán ensayos de laboratorio a partir de la media geométrica de los resultados de análisis de por lo menos siete (7) muestras tomadas en cada lote de producción, para establecer las condiciones de calidad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26DD9B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AC2D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se utilice como parámetro alterno al de Virus Entéricos el de Fagos Somáticos el valor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para los Biosólidos Categoría A deberá ser menor a ·5,00 E (+4) UFC por gramo de biosólido (base seca). </w:t>
      </w:r>
    </w:p>
    <w:p w14:paraId="4E51B6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C72E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efecto de la reducción de la capacidad de fermentación, atracción de vectores y patógenos, se deberá cumplir con al menos una de las opciones enumerados en el Anexo 1. </w:t>
      </w:r>
    </w:p>
    <w:p w14:paraId="075091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E754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biosólidos que no cumplan con los valores máximos permisibles establecidos para su clasificación en las Categorías A y S, podrán usarse en: </w:t>
      </w:r>
    </w:p>
    <w:p w14:paraId="1DB370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E376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En la operación de rellenos sanitarios como cobertura diaria. </w:t>
      </w:r>
    </w:p>
    <w:p w14:paraId="3C459B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5F4A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En la disposición conjunta con residuos sólidos municipales en rellenos sanitarios y de manera independiente en sitios autorizados. </w:t>
      </w:r>
    </w:p>
    <w:p w14:paraId="43CCC1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3577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En procesos de valorización energética. </w:t>
      </w:r>
    </w:p>
    <w:p w14:paraId="1B468D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B3F4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biosólidos que no se usen de acuerdo con lo aquí dispuesto, deberán disponerse o ser tratados hasta cumplir con los valores establecidos en las categorías A y B para viabilizar su uso. </w:t>
      </w:r>
    </w:p>
    <w:p w14:paraId="1EB35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D669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Para prevenir la distribución y uso de material que no cumpla con los valores máximos permisibles definidos en la Tabla 2 del presente decreto, el productor deberá establecer y aplicar un mecanismo de correlación entre la caracterización de las aguas residuales afluentes y la caracterización de los biosólidos. Cuando se detecte la presencia anómala de sustancias de interés sanitario en las aguas residuales afluentes, se aplicarán las medidas previstas en el plan de prevención y gestión del riesgo. </w:t>
      </w:r>
    </w:p>
    <w:p w14:paraId="0EF25851" w14:textId="4931EF8D" w:rsidR="00FC79C1" w:rsidRPr="009342F9"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6" w:name="ver_30075038"/>
      <w:bookmarkEnd w:id="1616"/>
    </w:p>
    <w:p w14:paraId="0232E3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2.3.1.4.5. Tasa Máxima Anual de Aplicación (TMAA). Los valores límites de metales que se podrán introducir en el suelo por el uso de biosólidos de Categoría A o B, son los establecidos en las siguientes Tablas. </w:t>
      </w:r>
    </w:p>
    <w:p w14:paraId="753D82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CFCF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Tabla 3. Tasa Máxima Anual de Aplicación. </w:t>
      </w:r>
    </w:p>
    <w:p w14:paraId="66651B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E5D0B7" w14:textId="7B8CC2D8"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31871080" wp14:editId="47BAC934">
            <wp:extent cx="5391787" cy="3950970"/>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pic:cNvPicPr/>
                  </pic:nvPicPr>
                  <pic:blipFill>
                    <a:blip r:embed="rId29">
                      <a:extLst>
                        <a:ext uri="{28A0092B-C50C-407E-A947-70E740481C1C}">
                          <a14:useLocalDpi xmlns:a14="http://schemas.microsoft.com/office/drawing/2010/main" val="0"/>
                        </a:ext>
                      </a:extLst>
                    </a:blip>
                    <a:stretch>
                      <a:fillRect/>
                    </a:stretch>
                  </pic:blipFill>
                  <pic:spPr>
                    <a:xfrm>
                      <a:off x="0" y="0"/>
                      <a:ext cx="5391787" cy="395097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3E84D9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8654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usuarios deberán tener en cuenta el tipo de suelo y de cultivo para definir la tasa agronómica de conformidad con lo que determine el ICA y en todo caso, no se deberán sobrepasar las tasas anteriormente indicadas. </w:t>
      </w:r>
    </w:p>
    <w:p w14:paraId="017041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86C2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El productor de </w:t>
      </w:r>
      <w:proofErr w:type="gramStart"/>
      <w:r w:rsidRPr="009342F9">
        <w:rPr>
          <w:rFonts w:ascii="Arial" w:eastAsia="Times New Roman" w:hAnsi="Arial" w:cs="Arial"/>
          <w:color w:val="000000"/>
          <w:lang w:eastAsia="es-CO"/>
        </w:rPr>
        <w:t>biosólidos,</w:t>
      </w:r>
      <w:proofErr w:type="gramEnd"/>
      <w:r w:rsidRPr="009342F9">
        <w:rPr>
          <w:rFonts w:ascii="Arial" w:eastAsia="Times New Roman" w:hAnsi="Arial" w:cs="Arial"/>
          <w:color w:val="000000"/>
          <w:lang w:eastAsia="es-CO"/>
        </w:rPr>
        <w:t xml:space="preserve"> deberá establecer en la ficha técnica la Tasa Anual de Aplicación de Biosólidos (TAAB) para no exceder los parámetros establecidos en la tabla tres (3), correspondiente a la Tasa Máxima Anual de Aplicación (TMAA). El procedimiento para determinar la Tasa Anual de Aplicación de Biosólidos (TAAB) se establecen en el Anexo 2 del presente capítulo. </w:t>
      </w:r>
    </w:p>
    <w:p w14:paraId="2EE08E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D80B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No se deben sobrepasar la tasa acumulativa de aplicación de la tabla 4 para cada uno de los parámetros establecidos. De igual forma no debe exceder la Tasa Anual de Aplicación de Biosólidos (TAAB) calculada para el biosólidos. </w:t>
      </w:r>
    </w:p>
    <w:p w14:paraId="2A9EBD7C" w14:textId="41D37A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7" w:name="ver_30075039"/>
      <w:bookmarkEnd w:id="1617"/>
    </w:p>
    <w:p w14:paraId="26D7F7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2.3.1.4.6. Almacenamiento. Los biosólidos que cumplan con lo establecido en el presente capítulo podrán ser almacenados hasta por un período máximo de seis (6) meses, en condiciones que garanticen el control de las emisiones de gases, manejo de lixiviados y el control a la proliferación de vectores. El sitio de almacenamiento deberá contar con un sistema de gestión de aguas residuales. </w:t>
      </w:r>
    </w:p>
    <w:p w14:paraId="462E29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05B8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almacenamiento no será un requisito para la caracterización de los biosólidos. </w:t>
      </w:r>
    </w:p>
    <w:p w14:paraId="054E0CE2" w14:textId="1069E3E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8" w:name="ver_30075040"/>
      <w:bookmarkEnd w:id="1618"/>
    </w:p>
    <w:p w14:paraId="1E50DD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2.3.1.4.7. Alternativas de uso de los biosólidos. De acuerdo con la categoría y clasificación, los biosólidos pueden destinarse para los siguientes usos: </w:t>
      </w:r>
    </w:p>
    <w:p w14:paraId="1F4FF4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54D5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Categoría A.  </w:t>
      </w:r>
    </w:p>
    <w:p w14:paraId="268E74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08C7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En zonas verdes tales como cementerios, separadores viales, campos de golf y lotes vacíos. </w:t>
      </w:r>
    </w:p>
    <w:p w14:paraId="65DCA9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4DDA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Como producto para uso en áreas privadas tales como jardines, antejardines, patios, plantas ornamentales y arborización. </w:t>
      </w:r>
    </w:p>
    <w:p w14:paraId="0EC9C9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30F5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En agricultura. </w:t>
      </w:r>
    </w:p>
    <w:p w14:paraId="675148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4BD1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Los mismos usos de la Categoría B. </w:t>
      </w:r>
    </w:p>
    <w:p w14:paraId="5BA66B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842C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Categoría B.  </w:t>
      </w:r>
    </w:p>
    <w:p w14:paraId="5B9E1F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282A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En agricultura, se aplicará al suelo. </w:t>
      </w:r>
    </w:p>
    <w:p w14:paraId="0BF380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95FF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En plantaciones forestales. </w:t>
      </w:r>
    </w:p>
    <w:p w14:paraId="708235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3D29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En la recuperación, restauración o mejoramiento de suelos degradados. </w:t>
      </w:r>
    </w:p>
    <w:p w14:paraId="1B7D40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2380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Como insumo en procesos de elaboración de abonos o fertilizantes orgánicos o productos acondicionadores para suelos a través de tratamientos físicos, químicos y biológicos que modifiquen su calidad original. Los procesos de elaboración y características de los productos finales y su uso, queda sujeto a la regulación establecida por el ICA. ‘. </w:t>
      </w:r>
    </w:p>
    <w:p w14:paraId="001014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E7CF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Para remediación de suelos contaminados, lechos biológicos para el tratamiento de emisiones y vertimientos, soporte físico y sustrato biológico en sistemas de filtración, absorción y adsorción. </w:t>
      </w:r>
    </w:p>
    <w:p w14:paraId="6F02C4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3315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Como insumo en la fabricación de materiales de construcción. </w:t>
      </w:r>
    </w:p>
    <w:p w14:paraId="3ACA5D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75B6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En la estabilización de taludes de proyectos de la red vial nacional, red vial secundaria o terciaria. </w:t>
      </w:r>
    </w:p>
    <w:p w14:paraId="3EEF2E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E40B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h) En la operación de rellenos sanitarios tomo: cobertura diaria, cobertura final de cierre y de clausura de plataformas y en actividades de </w:t>
      </w:r>
      <w:proofErr w:type="spellStart"/>
      <w:r w:rsidRPr="009342F9">
        <w:rPr>
          <w:rFonts w:ascii="Arial" w:eastAsia="Times New Roman" w:hAnsi="Arial" w:cs="Arial"/>
          <w:color w:val="000000"/>
          <w:lang w:eastAsia="es-CO"/>
        </w:rPr>
        <w:t>revegetalización</w:t>
      </w:r>
      <w:proofErr w:type="spellEnd"/>
      <w:r w:rsidRPr="009342F9">
        <w:rPr>
          <w:rFonts w:ascii="Arial" w:eastAsia="Times New Roman" w:hAnsi="Arial" w:cs="Arial"/>
          <w:color w:val="000000"/>
          <w:lang w:eastAsia="es-CO"/>
        </w:rPr>
        <w:t xml:space="preserve"> y paisajismo. </w:t>
      </w:r>
    </w:p>
    <w:p w14:paraId="5FA590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B05C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i) Actividades de </w:t>
      </w:r>
      <w:proofErr w:type="spellStart"/>
      <w:r w:rsidRPr="009342F9">
        <w:rPr>
          <w:rFonts w:ascii="Arial" w:eastAsia="Times New Roman" w:hAnsi="Arial" w:cs="Arial"/>
          <w:color w:val="000000"/>
          <w:lang w:eastAsia="es-CO"/>
        </w:rPr>
        <w:t>revegetalización</w:t>
      </w:r>
      <w:proofErr w:type="spellEnd"/>
      <w:r w:rsidRPr="009342F9">
        <w:rPr>
          <w:rFonts w:ascii="Arial" w:eastAsia="Times New Roman" w:hAnsi="Arial" w:cs="Arial"/>
          <w:color w:val="000000"/>
          <w:lang w:eastAsia="es-CO"/>
        </w:rPr>
        <w:t xml:space="preserve"> y paisajismo de escombreras. </w:t>
      </w:r>
    </w:p>
    <w:p w14:paraId="21DECF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C960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En procesos de valorización energética. </w:t>
      </w:r>
    </w:p>
    <w:p w14:paraId="70AC5832" w14:textId="74E5C7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19" w:name="ver_30075041"/>
      <w:bookmarkEnd w:id="1619"/>
    </w:p>
    <w:p w14:paraId="1EC070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2.3.1.4.8. Restricciones para el uso del suelo después de la aplicación de los biosólidos categoría B. Se establecen las siguientes restricciones para el uso del suelo en el cual se apliquen biosólidos categoría B: </w:t>
      </w:r>
    </w:p>
    <w:p w14:paraId="57BACF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ABFA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No se podrán aplicar biosólidos en cultivos hortícolas y frutícolas durante el período de vegetación (formación de tallos y hojas), con la excepción de los cultivos de árboles frutales. </w:t>
      </w:r>
    </w:p>
    <w:p w14:paraId="44B2D6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E481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No se podrán aplicar biosólidos durante un período de un (1) año antes de la cosecha y durante la cosecha misma de cultivos hortícolas o frutícolas que estén en contacto directo con el suelo y que se consuman en estado crudo. </w:t>
      </w:r>
    </w:p>
    <w:p w14:paraId="283898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312F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En cultivos de raíz, sólo se permitirá cosechar después de veinte (20) meses, si los biosólidos permanecieron sobre el suelo por cuatro (4) meses o más, antes de su incorporación al terreno. </w:t>
      </w:r>
    </w:p>
    <w:p w14:paraId="5FED02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9191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En cultivos de raíz, sólo se permitirá cosechar después de tres (3) años, si los biosólidos permanecieron sobre el suelo menos de cuatro (4) meses, antes de su incorporación a.1 terreno. </w:t>
      </w:r>
    </w:p>
    <w:p w14:paraId="457554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29D5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Forraje para ganado y cultivos agroindustriales no destinados a consumo humano directo, deberán considerar que la última aplicación de biosólidos al suelo debe hacerse por lo menos tres (3) meses antes de la cosecha. </w:t>
      </w:r>
    </w:p>
    <w:p w14:paraId="7CED83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CB41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Solo se podrán poner a pastar animales domésticos después de tres (3) meses de la última aplicación de biosólidos al terreno. </w:t>
      </w:r>
    </w:p>
    <w:p w14:paraId="169804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E8C9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En suelos de uso forestal, restringiendo el acceso al área durante el mes siguiente a la última aplicación. </w:t>
      </w:r>
    </w:p>
    <w:p w14:paraId="1A2387B1" w14:textId="7E6999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0" w:name="ver_30075042"/>
      <w:bookmarkEnd w:id="1620"/>
    </w:p>
    <w:p w14:paraId="60195A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2.3.1.4.9. Inaplicación de los biosólidos en el suelo. No se </w:t>
      </w:r>
      <w:proofErr w:type="gramStart"/>
      <w:r w:rsidRPr="009342F9">
        <w:rPr>
          <w:rFonts w:ascii="Arial" w:eastAsia="Times New Roman" w:hAnsi="Arial" w:cs="Arial"/>
          <w:color w:val="000000"/>
          <w:lang w:eastAsia="es-CO"/>
        </w:rPr>
        <w:t>aplicaran</w:t>
      </w:r>
      <w:proofErr w:type="gramEnd"/>
      <w:r w:rsidRPr="009342F9">
        <w:rPr>
          <w:rFonts w:ascii="Arial" w:eastAsia="Times New Roman" w:hAnsi="Arial" w:cs="Arial"/>
          <w:color w:val="000000"/>
          <w:lang w:eastAsia="es-CO"/>
        </w:rPr>
        <w:t xml:space="preserve"> biosólidos: </w:t>
      </w:r>
    </w:p>
    <w:p w14:paraId="47A952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DC2E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En Playas, páramos y cuerpos de agua. </w:t>
      </w:r>
    </w:p>
    <w:p w14:paraId="2AF9F5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52F9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En suelos saturados como vegas. </w:t>
      </w:r>
    </w:p>
    <w:p w14:paraId="5429C7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D2DC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En suelos cuyo nivel freático máximo se encuentre a menos de un (1) metro de profundidad con respecto a la superficie del terreno y en aquellos suelos en los que se genere un efecto de nivel freático colgante. </w:t>
      </w:r>
    </w:p>
    <w:p w14:paraId="714F17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4B8D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En zonas aledañas a fuentes de captación subterráneas de agua para consumo humano o animal, en un radio inferior de cien (100) metros. </w:t>
      </w:r>
    </w:p>
    <w:p w14:paraId="27824E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07ED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En zonas aledañas a fuentes superficiales de captación de agua para consumo humano o animal, en una franja mínima de treinta (30) metros medidos en paralelas a las líneas de mareas máximas. En el caso de los nacimientos de fuentes de agua, en una extensión de por lo menos cien (100) metros a la redonda, medidos a partir de su periferia. </w:t>
      </w:r>
    </w:p>
    <w:p w14:paraId="4440ED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F57F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f) En </w:t>
      </w:r>
      <w:proofErr w:type="gramStart"/>
      <w:r w:rsidRPr="009342F9">
        <w:rPr>
          <w:rFonts w:ascii="Arial" w:eastAsia="Times New Roman" w:hAnsi="Arial" w:cs="Arial"/>
          <w:color w:val="000000"/>
          <w:lang w:eastAsia="es-CO"/>
        </w:rPr>
        <w:t>la zonas</w:t>
      </w:r>
      <w:proofErr w:type="gramEnd"/>
      <w:r w:rsidRPr="009342F9">
        <w:rPr>
          <w:rFonts w:ascii="Arial" w:eastAsia="Times New Roman" w:hAnsi="Arial" w:cs="Arial"/>
          <w:color w:val="000000"/>
          <w:lang w:eastAsia="es-CO"/>
        </w:rPr>
        <w:t xml:space="preserve"> de rondas. </w:t>
      </w:r>
    </w:p>
    <w:p w14:paraId="2A2C5E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2215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Suelos con alto riesgo de inundación. </w:t>
      </w:r>
    </w:p>
    <w:p w14:paraId="4D919A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DF63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Clase B, a menos de trescientos (300) metros de distancia de áreas residenciales urbanas, hospitales, locales de expendio de alimentos, escuelas, y parques. Valores inferiores deberán ser soportados en estudios de impacto ante las Autoridades Ambientales Competentes</w:t>
      </w:r>
      <w:proofErr w:type="gramStart"/>
      <w:r w:rsidRPr="009342F9">
        <w:rPr>
          <w:rFonts w:ascii="Arial" w:eastAsia="Times New Roman" w:hAnsi="Arial" w:cs="Arial"/>
          <w:color w:val="000000"/>
          <w:lang w:eastAsia="es-CO"/>
        </w:rPr>
        <w:t>. .</w:t>
      </w:r>
      <w:proofErr w:type="gramEnd"/>
      <w:r w:rsidRPr="009342F9">
        <w:rPr>
          <w:rFonts w:ascii="Arial" w:eastAsia="Times New Roman" w:hAnsi="Arial" w:cs="Arial"/>
          <w:color w:val="000000"/>
          <w:lang w:eastAsia="es-CO"/>
        </w:rPr>
        <w:t> </w:t>
      </w:r>
    </w:p>
    <w:p w14:paraId="460981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C33F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En suelo rural a menos de 100 metros de viviendas aisladas. </w:t>
      </w:r>
    </w:p>
    <w:p w14:paraId="5E68C7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CABD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En terrenos agrícolas en tasas mayores a la tasa agronómica, considerando la clase de cultivos en que sean empleados. </w:t>
      </w:r>
    </w:p>
    <w:p w14:paraId="20D92D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A68B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k) En suelos donde se encuentren especies de fauna y flora amenazados para la aplicación de biosólidos de categoría B. </w:t>
      </w:r>
    </w:p>
    <w:p w14:paraId="29035DDA" w14:textId="231D11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1" w:name="ver_30075043"/>
      <w:bookmarkEnd w:id="1621"/>
    </w:p>
    <w:p w14:paraId="013440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2.3.1.4.10. Mezcla. La mezcla de biosólidos con materiales de complemento, deberán cumplir con los valores máximos permisibles para la categorización de los biosólidos establecidos en el artículo 2.3.1.4.4 del presente capítulo. </w:t>
      </w:r>
    </w:p>
    <w:p w14:paraId="4CAB77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1714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materiales de complemento deberán caracterizarse antes mezclarse con los biosólidos. </w:t>
      </w:r>
    </w:p>
    <w:p w14:paraId="21625BFC" w14:textId="6696B85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2" w:name="ver_30075044"/>
      <w:bookmarkEnd w:id="1622"/>
    </w:p>
    <w:p w14:paraId="556F8B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2.3.1.4.11. Disposición final de biosólidos. Los biosólidos que no sean objeto de uso deberán ser dispuestos cumpliendo con la normatividad vigente. </w:t>
      </w:r>
    </w:p>
    <w:p w14:paraId="3338DD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8556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caso de disposición final en rellenos sanitarios los operadores recibirán los biosólidos. Estos deberán cumplir con las condiciones para su manipulación y disposición final. </w:t>
      </w:r>
    </w:p>
    <w:p w14:paraId="35453633" w14:textId="52A07A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3" w:name="ver_30075045"/>
      <w:bookmarkEnd w:id="1623"/>
    </w:p>
    <w:p w14:paraId="3B3D09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2.3.1.4.12. Obligaciones de los productores. Los productores de biosólidos deberán cumplir, entre otras, las siguientes obligaciones: </w:t>
      </w:r>
    </w:p>
    <w:p w14:paraId="2F9BF4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0628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Caracterizar por lotes los biosólidos de acuerdo con los métodos certificados internacionales, nacionales y reglamentaciones técnicas vigentes. </w:t>
      </w:r>
    </w:p>
    <w:p w14:paraId="404AA5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CC99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Tener a disposición de las autoridades competentes, información detallada sobre la caracterización y las cantidades de biosólidos producidos y entregados. </w:t>
      </w:r>
    </w:p>
    <w:p w14:paraId="6631DD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1686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Contar con un plan de prevención y gestión del riesgo. </w:t>
      </w:r>
    </w:p>
    <w:p w14:paraId="5526F0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EAEA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 Reportar al Sistema Único de Información – SUI – la información sobre cantidades generadas y caracterizaciones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de acuerdo con lo que determine la Superintendencia de Servicios Públicos Domiciliarios. </w:t>
      </w:r>
    </w:p>
    <w:p w14:paraId="3C421D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7ED7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La caracterización de los biosólidos de las que trata este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deberá realizarse en un laboratorio acreditado por el IDEAM, en aquellos casos en los cuales la información de éstos vaya dirigida a las autoridades ambientales competentes para el ejercicio de sus funciones. </w:t>
      </w:r>
    </w:p>
    <w:p w14:paraId="502AD8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BAC3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aquellos casos en los cuales la información vaya dirigida a las autoridades agropecuarias, la caracterización de los biosólidos deberá realizarse en un laboratorio acreditado por el Organismo Nacional de Acreditación de Colombia ONAC. </w:t>
      </w:r>
    </w:p>
    <w:p w14:paraId="7E938EAB" w14:textId="3C44A3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4" w:name="ver_30075046"/>
      <w:bookmarkEnd w:id="1624"/>
    </w:p>
    <w:p w14:paraId="7DD537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2.3.1.4.13. Registro de productor y/o distribuidor de biosólidos como insumo agrícola. El registro de Productor y/o Distribuidor de biosólidos como insumo agrícola, deberá realizarse ante el ICA, de conformidad con las normas vigentes sobre la materia, cumpliendo los parámetros, criterios de calidad, requerimientos, valores máximos permisibles y valores límites definidos en el presente capítulo. </w:t>
      </w:r>
    </w:p>
    <w:p w14:paraId="77CB5D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C7A0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registro ante el ICA, de que trata el presente artículo, es requisito previo para el uso como insumo agrícola. </w:t>
      </w:r>
    </w:p>
    <w:p w14:paraId="0F3EFF70" w14:textId="78DC56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5" w:name="ver_30075047"/>
      <w:bookmarkEnd w:id="1625"/>
    </w:p>
    <w:p w14:paraId="7EDA33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2.3.1.4.14. Registro de productor de biosólidos para usos ambientales. El registro del productor de biosólidos para los usos ambientales de que tratan los literales b, c, e, i de la categoría B del artículo 2.3.1.4.7 del presente capítulo, deberá realizarse ante la autoridad ambiental competente. </w:t>
      </w:r>
    </w:p>
    <w:p w14:paraId="14069C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9F9A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Ambiente y Desarrollo Sostenible establecerá el contenido del registro de información de biosólidos de uso ambiental del que trata el presente artículo. </w:t>
      </w:r>
    </w:p>
    <w:p w14:paraId="71FC4F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8119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Mientras se expide el registro, el productor deberá informar semestralmente a la autoridad ambiental competente sobre la categoría y cantidad de los biosólidos que está produciendo y lo relacionado con su distribución. </w:t>
      </w:r>
    </w:p>
    <w:p w14:paraId="4F185A38" w14:textId="5A9F09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6" w:name="ver_30075048"/>
      <w:bookmarkEnd w:id="1626"/>
    </w:p>
    <w:p w14:paraId="7449EE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2.3.1.4.15. Ficha técnica e instructivo para biosólidos en usos diferentes al agrícola. La ficha técnica y el instructivo de uso de biosólidos, que deberá elaborar el productor y que acompañará al producto, contendrá como mínimo la siguiente información: </w:t>
      </w:r>
    </w:p>
    <w:p w14:paraId="533F90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923F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Categorización del biosólido. </w:t>
      </w:r>
    </w:p>
    <w:p w14:paraId="2DAD9E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A993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Caracterización del biosólido con los respectivos valores de los parámetros. </w:t>
      </w:r>
    </w:p>
    <w:p w14:paraId="1C8D23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9957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Técnica aplicada para reducir la atracción de vectores (según el Anexo 1). </w:t>
      </w:r>
    </w:p>
    <w:p w14:paraId="2EB4FE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89D8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 Usos recomendados del biosólido,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su categorización. </w:t>
      </w:r>
    </w:p>
    <w:p w14:paraId="73343F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844E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Instrucciones sobre manipulación, almacenamiento, transporte, empaque y embalaje del biosólido. </w:t>
      </w:r>
    </w:p>
    <w:p w14:paraId="0CC32B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6612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Métodos recomendados y formas de aplicación al suelo (superficial, incorporación, inyección u otras), cuando corresponda. </w:t>
      </w:r>
    </w:p>
    <w:p w14:paraId="04F39A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68CC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g) Restricciones y prohibiciones del uso,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su categorización teniendo en cuenta lo previsto en el presente decreto. </w:t>
      </w:r>
    </w:p>
    <w:p w14:paraId="02D77617" w14:textId="435112E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7" w:name="ver_30075049"/>
      <w:bookmarkEnd w:id="1627"/>
    </w:p>
    <w:p w14:paraId="1ED9FE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2.3.1.4.16. Métodos de laboratorio y frecuencias de análisis. Para la toma de muestras y la determinación de los valores máximos permisibles establecidos en este capítulo, se deberán seguir los métodos de análisis definidos por el Instituto Colombiano Agropecuario -ICA para los efectos de uso agrícola. </w:t>
      </w:r>
    </w:p>
    <w:p w14:paraId="2C05BD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3988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los casos en que la información vaya dirigida a las autoridades ambientales competentes, se podrán tomar como referencia básica los métodos de muestreo y análisis reconocidos internacionalmente (EPA </w:t>
      </w:r>
      <w:proofErr w:type="spellStart"/>
      <w:r w:rsidRPr="009342F9">
        <w:rPr>
          <w:rFonts w:ascii="Arial" w:eastAsia="Times New Roman" w:hAnsi="Arial" w:cs="Arial"/>
          <w:color w:val="000000"/>
          <w:lang w:eastAsia="es-CO"/>
        </w:rPr>
        <w:t>Environmental</w:t>
      </w:r>
      <w:proofErr w:type="spellEnd"/>
      <w:r w:rsidRPr="009342F9">
        <w:rPr>
          <w:rFonts w:ascii="Arial" w:eastAsia="Times New Roman" w:hAnsi="Arial" w:cs="Arial"/>
          <w:color w:val="000000"/>
          <w:lang w:eastAsia="es-CO"/>
        </w:rPr>
        <w:t xml:space="preserve"> </w:t>
      </w:r>
      <w:proofErr w:type="spellStart"/>
      <w:r w:rsidRPr="009342F9">
        <w:rPr>
          <w:rFonts w:ascii="Arial" w:eastAsia="Times New Roman" w:hAnsi="Arial" w:cs="Arial"/>
          <w:color w:val="000000"/>
          <w:lang w:eastAsia="es-CO"/>
        </w:rPr>
        <w:t>Protection</w:t>
      </w:r>
      <w:proofErr w:type="spellEnd"/>
      <w:r w:rsidRPr="009342F9">
        <w:rPr>
          <w:rFonts w:ascii="Arial" w:eastAsia="Times New Roman" w:hAnsi="Arial" w:cs="Arial"/>
          <w:color w:val="000000"/>
          <w:lang w:eastAsia="es-CO"/>
        </w:rPr>
        <w:t xml:space="preserve"> Agency </w:t>
      </w:r>
      <w:proofErr w:type="spellStart"/>
      <w:r w:rsidRPr="009342F9">
        <w:rPr>
          <w:rFonts w:ascii="Arial" w:eastAsia="Times New Roman" w:hAnsi="Arial" w:cs="Arial"/>
          <w:color w:val="000000"/>
          <w:lang w:eastAsia="es-CO"/>
        </w:rPr>
        <w:t>part</w:t>
      </w:r>
      <w:proofErr w:type="spellEnd"/>
      <w:r w:rsidRPr="009342F9">
        <w:rPr>
          <w:rFonts w:ascii="Arial" w:eastAsia="Times New Roman" w:hAnsi="Arial" w:cs="Arial"/>
          <w:color w:val="000000"/>
          <w:lang w:eastAsia="es-CO"/>
        </w:rPr>
        <w:t xml:space="preserve"> 503, ASTM -American </w:t>
      </w:r>
      <w:proofErr w:type="spellStart"/>
      <w:r w:rsidRPr="009342F9">
        <w:rPr>
          <w:rFonts w:ascii="Arial" w:eastAsia="Times New Roman" w:hAnsi="Arial" w:cs="Arial"/>
          <w:color w:val="000000"/>
          <w:lang w:eastAsia="es-CO"/>
        </w:rPr>
        <w:t>Society</w:t>
      </w:r>
      <w:proofErr w:type="spellEnd"/>
      <w:r w:rsidRPr="009342F9">
        <w:rPr>
          <w:rFonts w:ascii="Arial" w:eastAsia="Times New Roman" w:hAnsi="Arial" w:cs="Arial"/>
          <w:color w:val="000000"/>
          <w:lang w:eastAsia="es-CO"/>
        </w:rPr>
        <w:t xml:space="preserve"> </w:t>
      </w:r>
      <w:proofErr w:type="spellStart"/>
      <w:r w:rsidRPr="009342F9">
        <w:rPr>
          <w:rFonts w:ascii="Arial" w:eastAsia="Times New Roman" w:hAnsi="Arial" w:cs="Arial"/>
          <w:color w:val="000000"/>
          <w:lang w:eastAsia="es-CO"/>
        </w:rPr>
        <w:t>for</w:t>
      </w:r>
      <w:proofErr w:type="spellEnd"/>
      <w:r w:rsidRPr="009342F9">
        <w:rPr>
          <w:rFonts w:ascii="Arial" w:eastAsia="Times New Roman" w:hAnsi="Arial" w:cs="Arial"/>
          <w:color w:val="000000"/>
          <w:lang w:eastAsia="es-CO"/>
        </w:rPr>
        <w:t xml:space="preserve"> </w:t>
      </w:r>
      <w:proofErr w:type="spellStart"/>
      <w:r w:rsidRPr="009342F9">
        <w:rPr>
          <w:rFonts w:ascii="Arial" w:eastAsia="Times New Roman" w:hAnsi="Arial" w:cs="Arial"/>
          <w:color w:val="000000"/>
          <w:lang w:eastAsia="es-CO"/>
        </w:rPr>
        <w:t>testing</w:t>
      </w:r>
      <w:proofErr w:type="spellEnd"/>
      <w:r w:rsidRPr="009342F9">
        <w:rPr>
          <w:rFonts w:ascii="Arial" w:eastAsia="Times New Roman" w:hAnsi="Arial" w:cs="Arial"/>
          <w:color w:val="000000"/>
          <w:lang w:eastAsia="es-CO"/>
        </w:rPr>
        <w:t xml:space="preserve"> and </w:t>
      </w:r>
      <w:proofErr w:type="spellStart"/>
      <w:r w:rsidRPr="009342F9">
        <w:rPr>
          <w:rFonts w:ascii="Arial" w:eastAsia="Times New Roman" w:hAnsi="Arial" w:cs="Arial"/>
          <w:color w:val="000000"/>
          <w:lang w:eastAsia="es-CO"/>
        </w:rPr>
        <w:t>Materials</w:t>
      </w:r>
      <w:proofErr w:type="spellEnd"/>
      <w:r w:rsidRPr="009342F9">
        <w:rPr>
          <w:rFonts w:ascii="Arial" w:eastAsia="Times New Roman" w:hAnsi="Arial" w:cs="Arial"/>
          <w:color w:val="000000"/>
          <w:lang w:eastAsia="es-CO"/>
        </w:rPr>
        <w:t>, APHA -AWWA -</w:t>
      </w:r>
      <w:proofErr w:type="spellStart"/>
      <w:r w:rsidRPr="009342F9">
        <w:rPr>
          <w:rFonts w:ascii="Arial" w:eastAsia="Times New Roman" w:hAnsi="Arial" w:cs="Arial"/>
          <w:color w:val="000000"/>
          <w:lang w:eastAsia="es-CO"/>
        </w:rPr>
        <w:t>WEFStandard</w:t>
      </w:r>
      <w:proofErr w:type="spellEnd"/>
      <w:r w:rsidRPr="009342F9">
        <w:rPr>
          <w:rFonts w:ascii="Arial" w:eastAsia="Times New Roman" w:hAnsi="Arial" w:cs="Arial"/>
          <w:color w:val="000000"/>
          <w:lang w:eastAsia="es-CO"/>
        </w:rPr>
        <w:t xml:space="preserve"> </w:t>
      </w:r>
      <w:proofErr w:type="spellStart"/>
      <w:r w:rsidRPr="009342F9">
        <w:rPr>
          <w:rFonts w:ascii="Arial" w:eastAsia="Times New Roman" w:hAnsi="Arial" w:cs="Arial"/>
          <w:color w:val="000000"/>
          <w:lang w:eastAsia="es-CO"/>
        </w:rPr>
        <w:t>Methods</w:t>
      </w:r>
      <w:proofErr w:type="spellEnd"/>
      <w:r w:rsidRPr="009342F9">
        <w:rPr>
          <w:rFonts w:ascii="Arial" w:eastAsia="Times New Roman" w:hAnsi="Arial" w:cs="Arial"/>
          <w:color w:val="000000"/>
          <w:lang w:eastAsia="es-CO"/>
        </w:rPr>
        <w:t xml:space="preserve">, NTC-Normas Técnicas Colombianas, ISO-IEC-International </w:t>
      </w:r>
      <w:proofErr w:type="spellStart"/>
      <w:r w:rsidRPr="009342F9">
        <w:rPr>
          <w:rFonts w:ascii="Arial" w:eastAsia="Times New Roman" w:hAnsi="Arial" w:cs="Arial"/>
          <w:color w:val="000000"/>
          <w:lang w:eastAsia="es-CO"/>
        </w:rPr>
        <w:t>Electrotechnical</w:t>
      </w:r>
      <w:proofErr w:type="spellEnd"/>
      <w:r w:rsidRPr="009342F9">
        <w:rPr>
          <w:rFonts w:ascii="Arial" w:eastAsia="Times New Roman" w:hAnsi="Arial" w:cs="Arial"/>
          <w:color w:val="000000"/>
          <w:lang w:eastAsia="es-CO"/>
        </w:rPr>
        <w:t xml:space="preserve"> </w:t>
      </w:r>
      <w:proofErr w:type="spellStart"/>
      <w:r w:rsidRPr="009342F9">
        <w:rPr>
          <w:rFonts w:ascii="Arial" w:eastAsia="Times New Roman" w:hAnsi="Arial" w:cs="Arial"/>
          <w:color w:val="000000"/>
          <w:lang w:eastAsia="es-CO"/>
        </w:rPr>
        <w:t>Commission</w:t>
      </w:r>
      <w:proofErr w:type="spellEnd"/>
      <w:r w:rsidRPr="009342F9">
        <w:rPr>
          <w:rFonts w:ascii="Arial" w:eastAsia="Times New Roman" w:hAnsi="Arial" w:cs="Arial"/>
          <w:color w:val="000000"/>
          <w:lang w:eastAsia="es-CO"/>
        </w:rPr>
        <w:t xml:space="preserve"> y los métodos publicados aplicados a biosólidos establecidos por el Instituto de Hidrología, Meteorología y Estudios Ambientales IDEAM). </w:t>
      </w:r>
    </w:p>
    <w:p w14:paraId="0144F0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D163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usos diferentes al agrícola, el productor deberá realizar la caracterización por lotes. Si la caracterización por lotes resulta con una frecuencia menor a la establecida en la Tabla 5, se aplicará lo dispuesto en dicha tabla. </w:t>
      </w:r>
    </w:p>
    <w:p w14:paraId="17EF8D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047E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Tabla 5. Producción de biosólidos y frecuencia de análisis. </w:t>
      </w:r>
    </w:p>
    <w:p w14:paraId="32324458" w14:textId="2FAE09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8" w:name="ver_30075050"/>
      <w:bookmarkEnd w:id="1628"/>
    </w:p>
    <w:p w14:paraId="4D74A8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2.3.1.4.17. Base de cálculo para los análisis de laboratorio. Los métodos de análisis de laboratorio para los parámetros de los </w:t>
      </w:r>
      <w:proofErr w:type="gramStart"/>
      <w:r w:rsidRPr="009342F9">
        <w:rPr>
          <w:rFonts w:ascii="Arial" w:eastAsia="Times New Roman" w:hAnsi="Arial" w:cs="Arial"/>
          <w:color w:val="000000"/>
          <w:lang w:eastAsia="es-CO"/>
        </w:rPr>
        <w:t>biosólidos,</w:t>
      </w:r>
      <w:proofErr w:type="gramEnd"/>
      <w:r w:rsidRPr="009342F9">
        <w:rPr>
          <w:rFonts w:ascii="Arial" w:eastAsia="Times New Roman" w:hAnsi="Arial" w:cs="Arial"/>
          <w:color w:val="000000"/>
          <w:lang w:eastAsia="es-CO"/>
        </w:rPr>
        <w:t xml:space="preserve"> se llevarán a cabo sobre la muestra seca, molida y tamizada, y los resultados de los análisis se expresarán en base seca. </w:t>
      </w:r>
    </w:p>
    <w:p w14:paraId="7A351E0A" w14:textId="2920031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29" w:name="ver_30075051"/>
      <w:bookmarkEnd w:id="1629"/>
    </w:p>
    <w:p w14:paraId="62CE6C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2.3.1.4.18. Laboratorios. Los laboratorios que realicen muestreo y análisis físicos, químicos y microbiológicos a los que se refiere el presente capítulo tendrán plazo de un (1) año, contado a partir del 10 de julio de 2014 para que sean autorizados ante el ICA para la realización de ensayos de tipo agrícola. </w:t>
      </w:r>
    </w:p>
    <w:p w14:paraId="241435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4A80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la misma manera, contarán con un periodo de dos (2) años, contados a partir del 10 de julio de 2014 para que sean acreditados ante el IDEAM para los muestreos y ensayos de laboratorio cuyos resultados vayan dirigidos a las autoridades ambientales competentes. Una vez vencido el plazo establecido en el presente artículo, no se aceptarán resultados de laboratorios que no cuenten con la debida acreditación. </w:t>
      </w:r>
    </w:p>
    <w:p w14:paraId="63401C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9C9F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toma de muestras debe ser realizada por personal certificado por el SENA en competencias laborales para desarrollar dicha labor. En el período de transición, mientras se certifica el personal de que trata el presente artículo, esta actividad se podrá continuar realizando siempre y cuando se cumpla con estándares internacionales y las empresas demuestren que el personal que realiza dicha labor ha sido capacitado para tal fin. </w:t>
      </w:r>
    </w:p>
    <w:p w14:paraId="37DC3A84" w14:textId="1D5B3D2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30" w:name="ver_30075052"/>
      <w:bookmarkEnd w:id="1630"/>
    </w:p>
    <w:p w14:paraId="16BDA722" w14:textId="7777777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2.3.1.4.19. Fomento al uso de biosólidos. Los municipios, distritos, áreas metropolitanas, departamentos y las entidades públicas del orden nacional que adelanten acciones de recuperación, mejoramiento o restauración de suelos degradados, escombreras, cierre y clausura de rellenos sanitarios podrán promover el uso de los biosólidos, de acuerdo con las alternativas de uso establecidas en el presente capítulo. </w:t>
      </w:r>
    </w:p>
    <w:p w14:paraId="79ACB37E" w14:textId="77777777" w:rsidR="00452CA3" w:rsidRDefault="00452CA3" w:rsidP="00FC79C1">
      <w:pPr>
        <w:spacing w:after="0" w:line="240" w:lineRule="auto"/>
        <w:jc w:val="both"/>
        <w:rPr>
          <w:rFonts w:ascii="Arial" w:eastAsia="Times New Roman" w:hAnsi="Arial" w:cs="Arial"/>
          <w:color w:val="000000"/>
          <w:lang w:eastAsia="es-CO"/>
        </w:rPr>
      </w:pPr>
    </w:p>
    <w:p w14:paraId="43A53655" w14:textId="77777777" w:rsidR="00452CA3" w:rsidRPr="009342F9" w:rsidRDefault="00452CA3" w:rsidP="00FC79C1">
      <w:pPr>
        <w:spacing w:after="0" w:line="240" w:lineRule="auto"/>
        <w:jc w:val="both"/>
        <w:rPr>
          <w:rFonts w:ascii="Arial" w:eastAsia="Times New Roman" w:hAnsi="Arial" w:cs="Arial"/>
          <w:color w:val="000000"/>
          <w:lang w:eastAsia="es-CO"/>
        </w:rPr>
      </w:pPr>
    </w:p>
    <w:p w14:paraId="3C3941E9" w14:textId="77777777" w:rsidR="00377DAA" w:rsidRDefault="00FC79C1" w:rsidP="00377DAA">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3C9712" w14:textId="5ED2133F" w:rsidR="00FC79C1" w:rsidRPr="009342F9" w:rsidRDefault="00FC79C1" w:rsidP="00377DAA">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ANEXO 1</w:t>
      </w:r>
    </w:p>
    <w:p w14:paraId="2E7C50C1" w14:textId="3628AEDD"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REQUERIMIENTOS PARA LA REDUCCIÓN DE LA CAPACIDAD DE FERMENTACIÓN, ATRACCIÓN DE VECTORES Y PATÓGENOS</w:t>
      </w:r>
    </w:p>
    <w:p w14:paraId="7232C3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9486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 reducción de la capacidad de fermentación, atracción de vectores y patógenos se deberá cumplir con una de las nueve (9) opciones definidas. </w:t>
      </w:r>
    </w:p>
    <w:p w14:paraId="7CF3F6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466B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Ensayos:  </w:t>
      </w:r>
    </w:p>
    <w:p w14:paraId="469F4C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3E49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1: Reducción del contenido de sólidos volátiles. Reducir mínimo a un 38% el contenido de sólidos volátiles en los lodos, mediante digestión aeróbica o anaeróbica. Para biosólidos generados en lagunas de tratamiento, la reducción será calculada y comparada, a partir de los sólidos volátiles presentes en el agua, en el afluente a la planta. </w:t>
      </w:r>
    </w:p>
    <w:p w14:paraId="388B7B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09EF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2: Digestión adicional de los lodos digeridos anaeróbicamente. En el caso de que no resulte factible reducir al 38% el contenido de sólidos volátiles mediante la Opción 1, se deberá demostrar en una unidad a escala de laboratorio, que una porción de los biosólidos, que previamente fueron digeridos, con una digestión anaeróbica por cuarenta (40) días adicionales, a una temperatura entre 30°C y 37°C, su reducción del contenido de sólidos volátiles es menor de 17%. </w:t>
      </w:r>
    </w:p>
    <w:p w14:paraId="4A3B3C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8DA1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3: Digestión adicional de los biosólidos digeridos aeróbicamente. Esta prueba solamente es aplicable a los biosólidos con alto contenido de humedad digeridos aeróbicamente. Se considera que los biosólidos digeridos aeróbicamente con 2% de sólidos o menos, han logrado la reducción de atracción de vectores si después de treinta (30) días de digestión aeróbica en una prueba de laboratorio a 20°C, su reducción del contenido de sólidos volátiles es menor de 15%. </w:t>
      </w:r>
    </w:p>
    <w:p w14:paraId="1D709D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59CB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4: Tasa específica de absorción de oxígeno (TEAO) para biosólidos digeridos aeróbicamente. Esta prueba solamente es aplicable a los biosólidos con alto contenido de humedad, o sea aquel que puede comportarse como un líquido, los cuales han sido digeridos aeróbicamente. Se demuestra si la TEAO de los biosólidos que son aplicados, determinada a 20°C, es igual o menor de 1,5 mg de O2 /hora - g de sólidos totales (base seca). </w:t>
      </w:r>
    </w:p>
    <w:p w14:paraId="03D333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7994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Procesos:  </w:t>
      </w:r>
    </w:p>
    <w:p w14:paraId="4B533A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FE5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5: Procesos aeróbicos a más de 40°C. Aplica primordialmente a biosólidos compostados que contienen agentes abultadores orgánicos parcialmente descompuestos. Los biosólidos deben ser tratados aeróbicamente por catorce (14) días o más, tiempo durante el cual la temperatura deberá rebasar siempre los 40°C y el promedio deberá ser mayor de 45°C. </w:t>
      </w:r>
    </w:p>
    <w:p w14:paraId="02FCE2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7FC8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6: Adición de materia alcalina. Adicionar suficiente materia alcalina para: </w:t>
      </w:r>
    </w:p>
    <w:p w14:paraId="533033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30F6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Elevar el pH hasta por lo menos el valor de 12, a 25°C, y, sin añadir más materia alcalina, mantenerlo por dos (2) horas; luego - Mantener el pH por lo menos en 11,5 sin la adición de más materia alcalina durante otras veintidós (22) horas. </w:t>
      </w:r>
    </w:p>
    <w:p w14:paraId="206683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E0EB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7: Reducción del contenido de humedad en biosólidos que no contienen sólidos sin estabilizar. Incrementar el contenido de sólidos al 75% en los biosólidos cuando estos no contienen lodos no estabilizados del tratamiento primario. En el caso de que los biosólidos contengan lodos no estabilizados del tratamiento primario, se debe incrementar el contenido de sólidos al 90%. El incremento en el contenido de sólidos debe conseguirse removiéndoles agua y no mediante la dilución con sólidos inertes. </w:t>
      </w:r>
    </w:p>
    <w:p w14:paraId="2AAFC3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F115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Aplicación:  </w:t>
      </w:r>
    </w:p>
    <w:p w14:paraId="42DE9E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85FB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8: Inyección de biosólidos al suelo. Inyectar los biosólidos por debajo de la superficie del terreno, de tal manera que no se observe encharcamiento sobre la superficie una (1) hora después de la inyección. Si los biosólidos son categoría A con respecto a patógenos, deben ser inyectados dentro de las ocho (8) horas siguientes al descargue para su aplicación. </w:t>
      </w:r>
    </w:p>
    <w:p w14:paraId="3C1D4B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E8EF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Opción 9: Incorporación de biosólidos al suelo. Incorporar al suelo los biosólidos dentro de las seis (6) horas posteriores a su descarga o aplicación sobre el terreno. La incorporación se consigue arando o mediante algún otro método que mezcle los biosólidos con el suelo. Si los biosólidos son categoría A con respecto a patógenos, el tiempo entre la aplicación y el procesado no debe exceder de las ocho (8) horas al igual que en el caso de la inyección. </w:t>
      </w:r>
    </w:p>
    <w:p w14:paraId="65400F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B29A67" w14:textId="51C929A1" w:rsidR="00FC79C1" w:rsidRPr="009342F9"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ANEXO 2</w:t>
      </w:r>
    </w:p>
    <w:p w14:paraId="443F6C35" w14:textId="4536928F"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DETERMINACIÓN DE LA TASA ANUAL DE APLICACIÓN DE BIOSÓLIDOS</w:t>
      </w:r>
    </w:p>
    <w:p w14:paraId="5026FB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792A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procedimiento para determinar la Tasa Anual de Aplicación de Biosólidos (TAAB) se describe a continuación. </w:t>
      </w:r>
    </w:p>
    <w:p w14:paraId="7D553E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44AE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Analizar una muestra de los biosólidos para determinar la concentración de cada </w:t>
      </w:r>
      <w:proofErr w:type="gramStart"/>
      <w:r w:rsidRPr="009342F9">
        <w:rPr>
          <w:rFonts w:ascii="Arial" w:eastAsia="Times New Roman" w:hAnsi="Arial" w:cs="Arial"/>
          <w:color w:val="000000"/>
          <w:lang w:eastAsia="es-CO"/>
        </w:rPr>
        <w:t>uno</w:t>
      </w:r>
      <w:proofErr w:type="gramEnd"/>
      <w:r w:rsidRPr="009342F9">
        <w:rPr>
          <w:rFonts w:ascii="Arial" w:eastAsia="Times New Roman" w:hAnsi="Arial" w:cs="Arial"/>
          <w:color w:val="000000"/>
          <w:lang w:eastAsia="es-CO"/>
        </w:rPr>
        <w:t xml:space="preserve"> de las variables que figuran en la tabla No 3 del presente decreto. </w:t>
      </w:r>
    </w:p>
    <w:p w14:paraId="47E465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258A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Usando las concentraciones de contaminantes del paso 1 y la TMAA de la Tabla No 3, calcular la TAAB para cada contaminante utilizando la ecuación (1). </w:t>
      </w:r>
    </w:p>
    <w:p w14:paraId="5B425D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FC98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TAAB para el uso del biosólido, es la TAAB más baja calculada en el Paso 2. </w:t>
      </w:r>
    </w:p>
    <w:p w14:paraId="44603B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relación entre la TMAA para un parámetro y la TAAB para alguna categoría de biosólido, se muestra en la ecuación 1. </w:t>
      </w:r>
    </w:p>
    <w:p w14:paraId="1938711D" w14:textId="59A156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581D22"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631" w:name="ver_30176724"/>
      <w:bookmarkEnd w:id="1631"/>
      <w:r w:rsidRPr="009342F9">
        <w:rPr>
          <w:rFonts w:ascii="Arial" w:eastAsia="Times New Roman" w:hAnsi="Arial" w:cs="Arial"/>
          <w:b/>
          <w:bCs/>
          <w:color w:val="000000"/>
          <w:lang w:eastAsia="es-CO"/>
        </w:rPr>
        <w:t>CAPÍTULO 5</w:t>
      </w:r>
    </w:p>
    <w:p w14:paraId="406272A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DE LAS INVERSIONES AMBIENTALES</w:t>
      </w:r>
    </w:p>
    <w:p w14:paraId="5B4E4BC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32" w:name="ver_30176725"/>
      <w:bookmarkEnd w:id="1632"/>
    </w:p>
    <w:p w14:paraId="65BF34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2.3.1.5.1. Objeto. El presente capítulo tiene por objeto establecer el mecanismo para la inclusión de costos adicionales a los establecidos por las normas ambientales, destinados a garantizar la adecuada protección de las cuencas y fuentes de agua, por parte de las personas prestadoras de los servicios públicos de acueducto y alcantarillado.  </w:t>
      </w:r>
    </w:p>
    <w:p w14:paraId="6D964149" w14:textId="1D6F5CAF"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33" w:name="ver_30176727"/>
      <w:bookmarkEnd w:id="1633"/>
    </w:p>
    <w:p w14:paraId="385385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2.3.1.5.2 Ámbito de aplicación. El presente Capítulo aplica a todas las personas prestadoras de los servicios públicos domiciliarios de acueducto y alcantarillado en el territorio nacional, a la Comisión de Regulación de Agua potable y Saneamiento Básico y a la Superintendencia de Servicios Públicos Domiciliarios. </w:t>
      </w:r>
    </w:p>
    <w:p w14:paraId="7731B23B"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4678CF8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34" w:name="ver_30176729"/>
      <w:bookmarkEnd w:id="1634"/>
      <w:r w:rsidRPr="009342F9">
        <w:rPr>
          <w:rFonts w:ascii="Arial" w:eastAsia="Times New Roman" w:hAnsi="Arial" w:cs="Arial"/>
          <w:color w:val="000000"/>
          <w:lang w:eastAsia="es-CO"/>
        </w:rPr>
        <w:t>Artículo 2.3.1.5.3 Inversiones ambientales. Para los efectos del presente capitulo, se permitirá reconocer los costos de protección de las fuentes de agua tendientes a garantizar la adecuada protección de las cuencas y fuentes de agua.  </w:t>
      </w:r>
    </w:p>
    <w:p w14:paraId="23BDD6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D87E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Ministerio de Vivienda, Ciudad y Territorio señalará a través de acto administrativo de carácter general, las inversiones que permitan reconocer los costos de que trata el presente artículo.  </w:t>
      </w:r>
    </w:p>
    <w:p w14:paraId="407C98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00E0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costos así reconocidos deberán estar articulados con los instrumentos de planificación ambiental del recurso hídrico.  </w:t>
      </w:r>
    </w:p>
    <w:p w14:paraId="479F37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22C8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También se podrán reconocer las inversiones en las modalidades de pagos por servicios ambientales, enfocadas directamente a garantizar la adecuada protección de las cuencas y fuentes de agua, de acuerdo con las reglas contenidas en el Decreto-ley 870 de 2017 y sus normas reglamentarias.  </w:t>
      </w:r>
    </w:p>
    <w:p w14:paraId="4B8143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0623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Las inversiones que en el marco de este decreto se realicen en monitoreo de cuencas y fuentes abastecedoras de agua, serán coordinadas con el Instituto de Hidrología, Meteorología y estudios Ambientales (</w:t>
      </w:r>
      <w:proofErr w:type="spellStart"/>
      <w:r w:rsidRPr="009342F9">
        <w:rPr>
          <w:rFonts w:ascii="Arial" w:eastAsia="Times New Roman" w:hAnsi="Arial" w:cs="Arial"/>
          <w:color w:val="000000"/>
          <w:lang w:eastAsia="es-CO"/>
        </w:rPr>
        <w:t>Ideam</w:t>
      </w:r>
      <w:proofErr w:type="spellEnd"/>
      <w:r w:rsidRPr="009342F9">
        <w:rPr>
          <w:rFonts w:ascii="Arial" w:eastAsia="Times New Roman" w:hAnsi="Arial" w:cs="Arial"/>
          <w:color w:val="000000"/>
          <w:lang w:eastAsia="es-CO"/>
        </w:rPr>
        <w:t xml:space="preserve">). La información generada por dicho </w:t>
      </w:r>
      <w:proofErr w:type="gramStart"/>
      <w:r w:rsidRPr="009342F9">
        <w:rPr>
          <w:rFonts w:ascii="Arial" w:eastAsia="Times New Roman" w:hAnsi="Arial" w:cs="Arial"/>
          <w:color w:val="000000"/>
          <w:lang w:eastAsia="es-CO"/>
        </w:rPr>
        <w:t>monitoreo,</w:t>
      </w:r>
      <w:proofErr w:type="gramEnd"/>
      <w:r w:rsidRPr="009342F9">
        <w:rPr>
          <w:rFonts w:ascii="Arial" w:eastAsia="Times New Roman" w:hAnsi="Arial" w:cs="Arial"/>
          <w:color w:val="000000"/>
          <w:lang w:eastAsia="es-CO"/>
        </w:rPr>
        <w:t xml:space="preserve"> deberá ser reportada al </w:t>
      </w:r>
      <w:proofErr w:type="spellStart"/>
      <w:r w:rsidRPr="009342F9">
        <w:rPr>
          <w:rFonts w:ascii="Arial" w:eastAsia="Times New Roman" w:hAnsi="Arial" w:cs="Arial"/>
          <w:color w:val="000000"/>
          <w:lang w:eastAsia="es-CO"/>
        </w:rPr>
        <w:t>Ideam</w:t>
      </w:r>
      <w:proofErr w:type="spellEnd"/>
      <w:r w:rsidRPr="009342F9">
        <w:rPr>
          <w:rFonts w:ascii="Arial" w:eastAsia="Times New Roman" w:hAnsi="Arial" w:cs="Arial"/>
          <w:color w:val="000000"/>
          <w:lang w:eastAsia="es-CO"/>
        </w:rPr>
        <w:t>. </w:t>
      </w:r>
    </w:p>
    <w:p w14:paraId="359972AC" w14:textId="3BB5801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35" w:name="ver_30176730"/>
      <w:bookmarkEnd w:id="1635"/>
    </w:p>
    <w:p w14:paraId="5AD0FC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2.3.1.5.4 Incorporación de los costos relacionados con las inversiones ambientales. Los costos encaminados a garantizar la adecuada protección de las cuencas y fuentes de </w:t>
      </w:r>
      <w:proofErr w:type="gramStart"/>
      <w:r w:rsidRPr="009342F9">
        <w:rPr>
          <w:rFonts w:ascii="Arial" w:eastAsia="Times New Roman" w:hAnsi="Arial" w:cs="Arial"/>
          <w:color w:val="000000"/>
          <w:lang w:eastAsia="es-CO"/>
        </w:rPr>
        <w:t>agua,</w:t>
      </w:r>
      <w:proofErr w:type="gramEnd"/>
      <w:r w:rsidRPr="009342F9">
        <w:rPr>
          <w:rFonts w:ascii="Arial" w:eastAsia="Times New Roman" w:hAnsi="Arial" w:cs="Arial"/>
          <w:color w:val="000000"/>
          <w:lang w:eastAsia="es-CO"/>
        </w:rPr>
        <w:t xml:space="preserve"> serán incorporados en las tarifas de los servicios públicos domiciliarios de acueducto y alcantarillado, siguiendo los criterios definidos por la Comisión de Regulación de Agua Potable y Saneamiento Básico.  </w:t>
      </w:r>
    </w:p>
    <w:p w14:paraId="1E63BC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3F5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Ministerio de Vivienda, Ciudad y Territorio señalará el lapso en que la Comisión de Regulación de Agua Potable y Saneamiento Básico (CRA), deberá expedir la regulación necesaria para incorporar los costos de que trata el presente capítulo.  </w:t>
      </w:r>
    </w:p>
    <w:p w14:paraId="6018C0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A549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Una vez la Comisión de Regulación de Agua Potable y Saneamiento Básico (CRA), expida la regulación señalada en el parágrafo anterior, la Superintendencia de Servicios Públicos Domiciliarios definirá el mecanismo de inspección, vigilancia y control.  </w:t>
      </w:r>
    </w:p>
    <w:p w14:paraId="66E5B0C9" w14:textId="3D004EA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626BC7"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636" w:name="ver_30075053"/>
      <w:bookmarkEnd w:id="1636"/>
      <w:r w:rsidRPr="009342F9">
        <w:rPr>
          <w:rFonts w:ascii="Arial" w:eastAsia="Times New Roman" w:hAnsi="Arial" w:cs="Arial"/>
          <w:b/>
          <w:bCs/>
          <w:color w:val="000000"/>
          <w:lang w:eastAsia="es-CO"/>
        </w:rPr>
        <w:t>TÍTULO 2</w:t>
      </w:r>
    </w:p>
    <w:p w14:paraId="42CD6AB0" w14:textId="77777777"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SERVICIO PÚBLICO DE ASEO</w:t>
      </w:r>
    </w:p>
    <w:p w14:paraId="49975E12" w14:textId="77777777" w:rsidR="005C5EEB" w:rsidRPr="009342F9" w:rsidRDefault="005C5EEB" w:rsidP="00F74103">
      <w:pPr>
        <w:spacing w:after="0" w:line="240" w:lineRule="auto"/>
        <w:jc w:val="center"/>
        <w:rPr>
          <w:rFonts w:ascii="Arial" w:eastAsia="Times New Roman" w:hAnsi="Arial" w:cs="Arial"/>
          <w:b/>
          <w:bCs/>
          <w:color w:val="000000"/>
          <w:lang w:eastAsia="es-CO"/>
        </w:rPr>
      </w:pPr>
    </w:p>
    <w:p w14:paraId="5D82C105"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7C33C9E9"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DEFINICIONES</w:t>
      </w:r>
    </w:p>
    <w:p w14:paraId="69D5DB77"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637" w:name="ver_30137376"/>
      <w:bookmarkStart w:id="1638" w:name="ver_30110803"/>
      <w:bookmarkStart w:id="1639" w:name="ver_30110805"/>
      <w:bookmarkEnd w:id="1637"/>
    </w:p>
    <w:p w14:paraId="4C514C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2.3.2.1.1. Definiciones. Adóptense las siguientes definiciones: </w:t>
      </w:r>
    </w:p>
    <w:p w14:paraId="65FA70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C8A5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Aforo. Es el resultado de las mediciones puntuales, que realiza un aforador debidamente autorizado por la persona prestadora, respecto de la cantidad de residuos sólidos que produce y presenta un usuario de manera individual o conjunta al prestador del servicio de aseo. </w:t>
      </w:r>
    </w:p>
    <w:p w14:paraId="5EAEDD54" w14:textId="23684E2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6DD6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Aforo extraordinario de aseo para multiusuarios. Es el resultado de las mediciones puntuales realizadas por la persona prestadora del servicio público de aseo, de oficio o a petición del multiusuario, cuando alguno de ellos considere que ha variado la cantidad de residuos producidos con respecto al aforo vigente. </w:t>
      </w:r>
    </w:p>
    <w:p w14:paraId="5D32E0A5" w14:textId="520613F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E0FB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Aforo ordinario de aseo para multiusuarios. Es el resultado de las mediciones puntuales realizadas por la persona prestadora del servicio público de aseo, para categorizar y cobrar como multiusuarios a aquellos suscriptores que optaron por </w:t>
      </w:r>
      <w:proofErr w:type="gramStart"/>
      <w:r w:rsidRPr="009342F9">
        <w:rPr>
          <w:rFonts w:ascii="Arial" w:eastAsia="Times New Roman" w:hAnsi="Arial" w:cs="Arial"/>
          <w:color w:val="000000"/>
          <w:lang w:eastAsia="es-CO"/>
        </w:rPr>
        <w:t>ésta</w:t>
      </w:r>
      <w:proofErr w:type="gramEnd"/>
      <w:r w:rsidRPr="009342F9">
        <w:rPr>
          <w:rFonts w:ascii="Arial" w:eastAsia="Times New Roman" w:hAnsi="Arial" w:cs="Arial"/>
          <w:color w:val="000000"/>
          <w:lang w:eastAsia="es-CO"/>
        </w:rPr>
        <w:t xml:space="preserve"> opción tarifaria. </w:t>
      </w:r>
    </w:p>
    <w:p w14:paraId="691A44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269C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Aforo permanente de aseo. Es el que realiza la persona prestadora del servicio público de aseo a los suscriptores grandes productores o pequeños productores de residuos sólidos, cuando efectúa la recolección de los residuos presentados por el usuario. </w:t>
      </w:r>
    </w:p>
    <w:p w14:paraId="6ADDCB0B" w14:textId="6542F8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C344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Almacenamiento de residuos sólidos. Es la acción del usuario de guardar temporalmente los residuos sólidos en depósitos, recipientes o cajas de almacenamiento, retornables o desechables, para su recolección por la persona prestadora con fines de aprovechamiento o de disposición final. </w:t>
      </w:r>
    </w:p>
    <w:p w14:paraId="465EF8C5" w14:textId="2778E5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7A6E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Aprovechamiento. Actividad complementaria del servicio público de aseo que comprende la recolección de residuos aprovechables, el transporte selectivo hasta la estación de clasificación y aprovechamiento o hasta la planta de aprovechamiento, así como su clasificación y pesaje por parte de la persona prestadora.  </w:t>
      </w:r>
    </w:p>
    <w:p w14:paraId="1C198881" w14:textId="3B6ACEF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9685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Área de prestación de servicio. Corresponde a la zona geográfica del municipio o distrito debidamente delimitada donde la persona prestadora ofrece y presta el servicio de aseo. Esta deberá consignarse en el contrato de condiciones uniformes. </w:t>
      </w:r>
    </w:p>
    <w:p w14:paraId="3A8BAF17" w14:textId="7B1CA6F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C8CA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Área pública. Es aquella destinada al uso, recreo o tránsito público, como parques, plazas, plazoletas y playas salvo aquellas con restricciones de acceso. </w:t>
      </w:r>
    </w:p>
    <w:p w14:paraId="1FE5C0A1" w14:textId="2DEE975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1BB2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9. Barrido y limpieza de vías y áreas públicas. Es la actividad del servicio público de aseo que consiste en el conjunto de acciones tendientes a dejar las áreas y </w:t>
      </w:r>
      <w:proofErr w:type="gramStart"/>
      <w:r w:rsidRPr="009342F9">
        <w:rPr>
          <w:rFonts w:ascii="Arial" w:eastAsia="Times New Roman" w:hAnsi="Arial" w:cs="Arial"/>
          <w:color w:val="000000"/>
          <w:lang w:eastAsia="es-CO"/>
        </w:rPr>
        <w:t>la vías públicas libres</w:t>
      </w:r>
      <w:proofErr w:type="gramEnd"/>
      <w:r w:rsidRPr="009342F9">
        <w:rPr>
          <w:rFonts w:ascii="Arial" w:eastAsia="Times New Roman" w:hAnsi="Arial" w:cs="Arial"/>
          <w:color w:val="000000"/>
          <w:lang w:eastAsia="es-CO"/>
        </w:rPr>
        <w:t xml:space="preserve"> de todo residuo sólido, esparcido o acumulado, de manera que dichas áreas queden libres de papeles, hojas, arenilla y similares y de cualquier otro objeto o material susceptible de ser removido manualmente o mediante el uso de equipos mecánicos. </w:t>
      </w:r>
    </w:p>
    <w:p w14:paraId="3C4ECB5F" w14:textId="7537CB3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DCC7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Barrido y limpieza manual. Es la labor realizada manualmente para retirar de las vías y áreas públicas papeles, hojas, arenilla acumulada y cualquier otro objeto o material. </w:t>
      </w:r>
    </w:p>
    <w:p w14:paraId="47272C6A" w14:textId="5648E6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DFC9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Barrido y limpieza mecánica. Es la labor realizada mediante el uso de equipos mecánicos para retirar de las vías y áreas públicas, papeles, hojas, arenilla acumulada y cualquier otro objeto o material. </w:t>
      </w:r>
    </w:p>
    <w:p w14:paraId="73663A8D" w14:textId="31734A7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E139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Báscula. Instrumento técnico de medida mecánico o electrónico debidamente calibrado y certificado por la entidad competente, acorde con las normas vigentes que regulan la materia, para determinar el peso de los residuos sólidos. </w:t>
      </w:r>
    </w:p>
    <w:p w14:paraId="4BE81FA7" w14:textId="4EA23AF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1320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Caja de almacenamiento. Es el recipiente técnicamente apropiado, para el depósito temporal de residuos sólidos de origen comunitario, en condiciones de aislamiento que facilite el manejo o remoción por medios mecánicos o manuales. </w:t>
      </w:r>
    </w:p>
    <w:p w14:paraId="2072827A" w14:textId="16B4E1E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0456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Corte de césped. Es la actividad del servicio público de aseo que consiste en cortar el pasto ubicado en áreas verdes públicas sin restricción de acceso, mediante el uso de equipos manuales o mecánicos que incluye el bordeo y plateo. Comprende la recolección y transporte del material obtenido hasta los sitios de aprovechamiento prioritariamente o de disposición final. </w:t>
      </w:r>
    </w:p>
    <w:p w14:paraId="0C35002F" w14:textId="7DE8635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54BD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Cuneta. Zanja, revestida o no, ubicada a cada lado de las vías, destinadas a facilitar el drenaje superficial longitudinal de las mismas y que son objeto de barrido o limpieza por parte del prestador del servicio de aseo en su área de atención. </w:t>
      </w:r>
    </w:p>
    <w:p w14:paraId="15FC7A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C482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 Estación de clasificación y aprovechamiento. Son instalaciones técnicamente diseñadas con criterios de ingeniería y eficiencia económica, dedicadas al pesaje y clasificación de los residuos sólidos aprovechables, mediante procesos manuales, mecánicos o mixtos y que cuenten con las autorizaciones ambientales a que haya lugar. </w:t>
      </w:r>
    </w:p>
    <w:p w14:paraId="667536E5" w14:textId="0D634F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C7CD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Estaciones de transferencia. Son las instalaciones dedicadas al traslado de residuos sólidos de un vehículo recolector a otro con mayor capacidad de carga, que los transporta hasta su sitio de tratamiento o disposición final. </w:t>
      </w:r>
    </w:p>
    <w:p w14:paraId="639D34EC" w14:textId="1AFB9BA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0420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18. Frecuencia del servicio. Es el número de veces en un periodo definido que se presta el servicio público de aseo en sus actividades de barrido, limpieza, recolección y transporte, corte de césped y poda de árboles. </w:t>
      </w:r>
    </w:p>
    <w:p w14:paraId="2209AA73" w14:textId="1612D68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DCCE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19. Generador o productor. Persona que produce y presenta sus residuos sólidos a la persona prestadora del servicio público de aseo para su recolección y por tanto es usuario del servicio público de aseo. </w:t>
      </w:r>
    </w:p>
    <w:p w14:paraId="6C34088A" w14:textId="24A887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3896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20. Gestión integral de residuos sólidos: Es el conjunto de actividades encaminadas a reducir la generación de residuos, a realizar el aprovechamiento teniendo en cuenta sus características, volumen, procedencia, costos, tratamiento con fines de valorización energética, posibilidades de aprovechamiento y comercialización. También incluye el tratamiento y disposición final de los residuos no aprovechables. </w:t>
      </w:r>
    </w:p>
    <w:p w14:paraId="354646CB" w14:textId="2762C8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16B0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Grandes generadores o productores. Son los suscriptores y/o usuarios no residenciales que generan y presentan para la recolección residuos sólidos en volumen igual o superior a un metro cúbico mensual. </w:t>
      </w:r>
    </w:p>
    <w:p w14:paraId="788B33FF" w14:textId="34C27A2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56BB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22. Inmueble desocupado. Son aquellos inmuebles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 pesar de tener las condiciones para recibir la prestación del servicio de aseo, se encuentran deshabitados o en ellos no se realiza ninguna actividad comercial, industrial o de otra índole. </w:t>
      </w:r>
    </w:p>
    <w:p w14:paraId="1A577354" w14:textId="53DE948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F015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Inquilinato. Es una edificación clasificada en estratos 1, 2 o 3, con una entrada común desde la calle, que aloja varios hogares y comparten servicios públicos domiciliarios. Para efectos del cobro del servicio de aseo el inquilinato en su conjunto se considera como un solo suscriptor. </w:t>
      </w:r>
    </w:p>
    <w:p w14:paraId="507BDC1E" w14:textId="3E3B57B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B854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24. Lavado de áreas públicas. Es la actividad de remoción de residuos sólidos en áreas públicas, mediante el empleo de agua a presión. </w:t>
      </w:r>
    </w:p>
    <w:p w14:paraId="195D74DD" w14:textId="13BF4D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58EE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25. Lixiviado. Es el líquido residual generado por la descomposición biológica de la parte orgánica o biodegradable de los residuos sólidos bajo condiciones aeróbicas o anaeróbicas y/o como resultado de la percolación de agua a través de los residuos en proceso de degradación. </w:t>
      </w:r>
    </w:p>
    <w:p w14:paraId="47519D25" w14:textId="35BBFAF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067B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26. </w:t>
      </w:r>
      <w:proofErr w:type="spellStart"/>
      <w:r w:rsidRPr="009342F9">
        <w:rPr>
          <w:rFonts w:ascii="Arial" w:eastAsia="Times New Roman" w:hAnsi="Arial" w:cs="Arial"/>
          <w:color w:val="000000"/>
          <w:lang w:eastAsia="es-CO"/>
        </w:rPr>
        <w:t>Macrorruta</w:t>
      </w:r>
      <w:proofErr w:type="spellEnd"/>
      <w:r w:rsidRPr="009342F9">
        <w:rPr>
          <w:rFonts w:ascii="Arial" w:eastAsia="Times New Roman" w:hAnsi="Arial" w:cs="Arial"/>
          <w:color w:val="000000"/>
          <w:lang w:eastAsia="es-CO"/>
        </w:rPr>
        <w:t>. Es la división geográfica de una ciudad, zona o área de prestación del servicio para la distribución de los recursos y equipos a fin de optimizar la actividad de recolección de residuos, barrido y limpieza de vías y áreas públicas y/o corte de césped y poda de árboles ubicados en las vías y áreas públicas. </w:t>
      </w:r>
    </w:p>
    <w:p w14:paraId="03D7A0FC" w14:textId="4B46EE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47844B" w14:textId="77777777"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27. </w:t>
      </w:r>
      <w:proofErr w:type="spellStart"/>
      <w:r w:rsidRPr="231E957E">
        <w:rPr>
          <w:rFonts w:ascii="Arial" w:eastAsia="Times New Roman" w:hAnsi="Arial" w:cs="Arial"/>
          <w:color w:val="000000" w:themeColor="text1"/>
          <w:lang w:eastAsia="es-CO"/>
        </w:rPr>
        <w:t>Microrruta</w:t>
      </w:r>
      <w:proofErr w:type="spellEnd"/>
      <w:r w:rsidRPr="231E957E">
        <w:rPr>
          <w:rFonts w:ascii="Arial" w:eastAsia="Times New Roman" w:hAnsi="Arial" w:cs="Arial"/>
          <w:color w:val="000000" w:themeColor="text1"/>
          <w:lang w:eastAsia="es-CO"/>
        </w:rPr>
        <w:t>. Es la descripción detallada a nivel de las calles y manzanas del trayecto de un vehículo o cuadrilla, para la prestación del servicio público de recolección de residuos; de barrido y limpieza de vías y áreas públicas; y/o corte de césped y poda de árboles ubicados en las vías y áreas públicas, dentro de una frecuencia predeterminada. </w:t>
      </w:r>
    </w:p>
    <w:p w14:paraId="66EDBA3F" w14:textId="77777777" w:rsidR="005C5EEB" w:rsidRPr="009342F9" w:rsidRDefault="005C5EEB" w:rsidP="00FC79C1">
      <w:pPr>
        <w:spacing w:after="0" w:line="240" w:lineRule="auto"/>
        <w:jc w:val="both"/>
        <w:rPr>
          <w:rFonts w:ascii="Arial" w:eastAsia="Times New Roman" w:hAnsi="Arial" w:cs="Arial"/>
          <w:color w:val="000000"/>
          <w:lang w:eastAsia="es-CO"/>
        </w:rPr>
      </w:pPr>
    </w:p>
    <w:p w14:paraId="48A9CE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28. Minimización de residuos sólidos en procesos productivos. Es la optimización de los procesos productivos tendiente a disminuir la generación de residuos sólidos. </w:t>
      </w:r>
    </w:p>
    <w:p w14:paraId="66B67674" w14:textId="2E07611C"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EB1C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29. Multiusuarios del servicio público de aseo. Son todos aquellos suscriptores agrupados en unidades inmobiliarias, centros habitacionales, conjuntos residenciales, condominios o similares bajo el régimen de propiedad horizontal vigente o concentrados en centros comerciales o similares, que se caracterizan porque presentan en forma conjunta sus residuos sólidos a la persona prestadora del servicio en los términos del presente decreto o las normas que lo modifiquen, sustituyan o adicionen y que hayan solicitado el aforo de sus residuos para que esta medición sea la base de la facturación del servicio público de aseo. La persona prestadora del servicio facturará a cada inmueble en forma individual, en un todo de acuerdo con la regulación que se expida para este fin. </w:t>
      </w:r>
    </w:p>
    <w:p w14:paraId="2BAD2845" w14:textId="006E5EEE"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EE97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30. Pequeños generadores o productores. Son los suscriptores y/o usuarios no residenciales que generan y presentan para la recolección residuos sólidos en volumen menor a un (1) metro cúbico mensual. </w:t>
      </w:r>
    </w:p>
    <w:p w14:paraId="325F1CE3" w14:textId="4BA5CF2A"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E408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Persona prestadora del servicio público de aseo. Es aquella encargada de una o varias actividades de la prestación del servicio público de aseo, en los términos del artículo 15 de la Ley 142 de 1994 y demás que la modifiquen o complementen. </w:t>
      </w:r>
    </w:p>
    <w:p w14:paraId="7E3F7741" w14:textId="2DC5B1D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CEF4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Plan de gestión integral de residuos sólidos (PGIRS). Es el instrumento de planeación municipal o regional que contiene un conjunto ordenado de objetivos, metas, programas, proyectos, actividades y recursos definidos por uno o más entes territoriales para el manejo de los residuos sólidos, basado en la política de gestión integral de los mismos, el cual se ejecutará durante un período determinado, basándose en un diagnóstico inicial, en su proyección hacia el futuro y en un plan financiero viable que permita garantizar el mejoramiento continuo del manejo de residuos y la prestación del servicio de aseo a nivel municipal o regional, evaluado a través de la medición de resultados. Corresponde a la entidad territorial la formulación, implementación, evaluación, seguimiento y control y actualización del PGIRS. </w:t>
      </w:r>
    </w:p>
    <w:p w14:paraId="0057AAA9" w14:textId="0A4142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3AC9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Poda de árboles. Es la actividad del servicio público de aseo que consiste en el corte de ramas de los árboles, ubicado en áreas públicas sin restricciones de acceso, mediante el uso de equipos manuales o mecánicos. Se incluye la recolección y transporte del material obtenido hasta las estaciones de clasificación y aprovechamiento o disposición final. </w:t>
      </w:r>
    </w:p>
    <w:p w14:paraId="1DE5191A" w14:textId="0009063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00C2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Presentación de los residuos sólidos. Es la actividad del usuario de colocar los residuos sólidos debidamente almacenados, para la recolección por parte de la persona prestadora del servicio público de aseo. La presentación debe hacerse, en el lugar e infraestructura prevista para ello, bien sea en el área pública correspondiente o en el sitio de presentación conjunta en el caso de multiusuarios y grandes productores. </w:t>
      </w:r>
    </w:p>
    <w:p w14:paraId="3CC349A7" w14:textId="76DBE22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ED62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35. Puntos críticos. Son aquellos lugares donde se acumulan residuos sólidos, generando afectación y deterioro sanitario que conlleva la afectación de la limpieza del área, por la generación de malos olores, focos de propagación de vectores, y enfermedades, entre otros. </w:t>
      </w:r>
    </w:p>
    <w:p w14:paraId="5525FE4B" w14:textId="752879A2"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9957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36. Reciclador de oficio: Persona natural que realiza de manera habitual las actividades de recuperación, recolección, transporte, o clasificación de residuos sólidos para su posterior reincorporación en el ciclo económico productivo como materia prima; que deriva el sustento propio y familiar de esta actividad”.  </w:t>
      </w:r>
    </w:p>
    <w:p w14:paraId="6EBD50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C0DB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ABBD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A3CE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37. Recolección y transporte de residuos aprovechables. Son las actividades que realiza la persona prestadora del servicio público de aseo consistente en recoger y transportar los residuos aprovechables hasta las estaciones de clasificación y aprovechamiento. </w:t>
      </w:r>
    </w:p>
    <w:p w14:paraId="0F34EFEC" w14:textId="616FE26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E4E9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38. Recolección puerta a puerta. Es el servicio de recolección de los residuos sólidos en el andén de la vía pública frente al predio del usuario. </w:t>
      </w:r>
    </w:p>
    <w:p w14:paraId="26EE2F12" w14:textId="3B7DF94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909F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39. Residuos de construcción y demolición. Es todo residuo sólido resultante de las actividades de construcción, reparación o demolición, de las obras civiles o de otras actividades conexas, complementarias o análogas. </w:t>
      </w:r>
    </w:p>
    <w:p w14:paraId="2FF98F7B" w14:textId="3572163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023F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40. Residuo sólido. Es cualquier objeto, material, sustancia o elemento principalmente sólido resultante del consumo o uso de un bien en actividades domésticas, industriales, comerciales, institucionales o de servicios, que el generador presenta para su recolección por parte de la persona prestadora del servicio público de aseo. Igualmente, se considera como residuo sólido, aquel proveniente del barrido y limpieza de áreas y vías públicas, corte de césped y poda de árboles. Los residuos sólidos que no tienen características de peligrosidad se dividen en aprovechables y no aprovechables. </w:t>
      </w:r>
    </w:p>
    <w:p w14:paraId="6B2DCEBF" w14:textId="2CAFF4EF"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615B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Residuo sólido aprovechable. Es cualquier material, objeto, sustancia o elemento sólido que no tiene valor de uso para quien lo genere, pero que es susceptible de aprovechamiento para su reincorporación a un proceso productivo. </w:t>
      </w:r>
    </w:p>
    <w:p w14:paraId="20F0E2E1" w14:textId="61D8B39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3C9B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42. Residuo sólido especial. Es todo residuo sólido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por su naturaleza, composición, tamaño, volumen y peso, necesidades de transporte, condiciones de almacenaje y compactación, no puede ser recolectado, manejado, tratado o dispuesto normalmente por la persona prestadora del servicio público de aseo. El precio del servicio de recolección, transporte y disposición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será pactado libremente entre la persona prestadora y el usuario, sin perjuicio de los que sean objeto de regulación del Sistema de Gestión Posconsumo. </w:t>
      </w:r>
    </w:p>
    <w:p w14:paraId="047E1AB6" w14:textId="6A6E93C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D36B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43. Residuo sólido ordinario. Es todo residuo sólido de características no peligrosas que por su naturaleza, composición, tamaño, volumen y peso es recolectado, manejado, tratado o dispuesto normalmente por la persona prestadora del servicio público de aseo. El precio del servicio de recolección, transporte y disposición final de estos residuos se fija de acuerdo con la metodología adoptada por la Comisión de Regulación de Agua Potable y Saneamiento Básico. </w:t>
      </w:r>
    </w:p>
    <w:p w14:paraId="6DD657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F1A9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residuos provenientes de las actividades de barrido y limpieza de vías y áreas públicas, corte de césped y poda de árboles ubicados en vías y áreas públicas serán considerados como residuos ordinarios para efectos tarifarios. </w:t>
      </w:r>
    </w:p>
    <w:p w14:paraId="3B632DB9" w14:textId="332121B1"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DDF1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44. Separación en la fuente. Es la clasificación de los residuos sólidos, en aprovechables y no aprovechables por parte de los usuarios en el sitio donde se generan, de acuerdo con lo establecido en el PGIRS, para ser presentados para su recolección y transporte a las estaciones de clasificación y aprovechamiento, o de disposición final de los mismos, según sea el caso. </w:t>
      </w:r>
    </w:p>
    <w:p w14:paraId="54C45799" w14:textId="11E6E3D0"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615FBA" w14:textId="77777777" w:rsidR="00FC79C1"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45. Sistema de pesaje. Es el conjunto ordenado y sistemático de equipos, elementos y maquinaria que se utilizan para la determinación certera del peso de los residuos objeto de gestión en una o varias de las actividades del servicio público de aseo y que proporciona información con datos medibles y verificables. </w:t>
      </w:r>
    </w:p>
    <w:p w14:paraId="5E4FCE09" w14:textId="77777777" w:rsidR="005C5EEB" w:rsidRPr="009342F9" w:rsidRDefault="005C5EEB" w:rsidP="00FC79C1">
      <w:pPr>
        <w:spacing w:after="0" w:line="240" w:lineRule="auto"/>
        <w:jc w:val="both"/>
        <w:rPr>
          <w:rFonts w:ascii="Arial" w:eastAsia="Times New Roman" w:hAnsi="Arial" w:cs="Arial"/>
          <w:color w:val="000000"/>
          <w:lang w:eastAsia="es-CO"/>
        </w:rPr>
      </w:pPr>
    </w:p>
    <w:p w14:paraId="4E50D3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46. Transferencia. Es la actividad complementaria del servicio público de aseo realizada al interior de una estación de transferencia, la cual consiste en trasladar los residuos sólidos de un vehículo recolector de menor capacidad a un vehículo de transporte a granel por medios mecánicos, previniendo el contacto manual y el esparcimiento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con una mínima exposición al aire libre de los residuos. </w:t>
      </w:r>
    </w:p>
    <w:p w14:paraId="4A184308" w14:textId="4EBF4C1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D079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47. Trasbordo. Es la actividad de trasladar los residuos sólidos recolectados, de un vehículo a otro de mayor capacidad, evitando el contacto manual y el esparcimiento de los residuos principalmente sólidos. </w:t>
      </w:r>
    </w:p>
    <w:p w14:paraId="30A4E18A" w14:textId="2A4B4F4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6D3E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48. Unidad de almacenamiento. Es el área definida y cerrada, en la que se ubican las cajas de almacenamiento o similares para que el usuario almacene temporalmente los residuos sólidos, mientras son presentados a la persona prestadora del servicio público de aseo para su recolección y transporte. </w:t>
      </w:r>
    </w:p>
    <w:p w14:paraId="59318A9E" w14:textId="18FEA97E"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9FC4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49. Unidad habitacional. Apartamento o casa de vivienda independiente con acceso a la vía pública o a las zonas comunes del conjunto multifamiliar y separada de las otras viviendas, de tal forma que sus ocupantes puedan acceder sin pasar por las áreas privadas de otras viviendas. </w:t>
      </w:r>
    </w:p>
    <w:p w14:paraId="29BD3809" w14:textId="2FB7A74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1B6D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50. Unidad independiente. Apartamento, casa de vivienda, local u oficina independiente con acceso a la vía pública o a las zonas comunes de la unidad inmobiliaria. </w:t>
      </w:r>
    </w:p>
    <w:p w14:paraId="6FEF31D6" w14:textId="143A20D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57C9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51. Usuario no residencial. Es la persona natural o jurídica que produce residuos sólidos derivados de la actividad comercial, industrial y los oficiales que se benefician con la prestación del servicio público de aseo. </w:t>
      </w:r>
    </w:p>
    <w:p w14:paraId="261F3052" w14:textId="051725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8D8C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52. Usuario residencial. Es la persona que produce residuos sólidos derivados de la actividad residencial y se beneficia con la prestación del servicio público de aseo. Se considera usuario residencial del servicio público de aseo a los ubicados en locales que ocupen menos de veinte (20) metros cuadrados de área, exceptuando los que produzcan más de un (1) metro cúbico mensual. </w:t>
      </w:r>
    </w:p>
    <w:p w14:paraId="5DA822A1" w14:textId="1F5528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456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53. Vehículo recolector. Es el vehículo utilizado en las actividades de recolección de los residuos sólidos desde los lugares de presentación y su transporte hasta las estaciones de clasificación y aprovechamiento, plantas de aprovechamiento, estaciones de transferencia o hasta el sitio de disposición final. </w:t>
      </w:r>
    </w:p>
    <w:p w14:paraId="1B0C7BA9" w14:textId="77E168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F0BF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55. Vía pública. Son las áreas destinadas al tránsito público, vehicular o peatonal, o afectadas por él, que componen la infraestructura vial de la ciudad y que comprende: avenidas, calles, carreras, transversales, diagonales, calzadas, separadores viales, puentes vehiculares y peatonales o cualquier otra combinación de los mismos elementos que puedan extenderse entre una y otra línea de las edificaciones. </w:t>
      </w:r>
    </w:p>
    <w:p w14:paraId="06627224" w14:textId="67D78DA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C175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56. Área de aislamiento. Corresponde al área perimetral de un relleno sanitario, ubicada en su entorno, en donde se establecerán plantaciones que permitan la reducción de impactos sobre este. Es decir, corresponde al área de transición entre el área en donde se realizará la disposición final de residuos sólidos, mediante la tecnología de relleno sanitario, y su entorno. </w:t>
      </w:r>
    </w:p>
    <w:p w14:paraId="2CEDF448" w14:textId="76A8AB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C146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57. Caracterización de los residuos. Actividad para determinar las características </w:t>
      </w:r>
      <w:proofErr w:type="gramStart"/>
      <w:r w:rsidRPr="009342F9">
        <w:rPr>
          <w:rFonts w:ascii="Arial" w:eastAsia="Times New Roman" w:hAnsi="Arial" w:cs="Arial"/>
          <w:color w:val="000000"/>
          <w:lang w:eastAsia="es-CO"/>
        </w:rPr>
        <w:t>físico químicas</w:t>
      </w:r>
      <w:proofErr w:type="gramEnd"/>
      <w:r w:rsidRPr="009342F9">
        <w:rPr>
          <w:rFonts w:ascii="Arial" w:eastAsia="Times New Roman" w:hAnsi="Arial" w:cs="Arial"/>
          <w:color w:val="000000"/>
          <w:lang w:eastAsia="es-CO"/>
        </w:rPr>
        <w:t>, cualitativas y cuantitativas de los residuos sólidos, que permitan identificar el potencial de tratamiento según sus contenidos y propiedades. </w:t>
      </w:r>
    </w:p>
    <w:p w14:paraId="74CB95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248C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58. Celda de seguridad. Infraestructura que podrá ser ubicada en las áreas donde se realizará la disposición final de residuos sólidos, mediante la tecnología de relleno sanitario, donde se confinarán y aislarán del ambiente los residuos peligrosos previo cumplimiento de las normas ambientales y sanitarias en materia de residuos peligrosos. </w:t>
      </w:r>
    </w:p>
    <w:p w14:paraId="7B2BA147" w14:textId="0134A6A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D70E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59. Celda. Es uno de los elementos de la infraestructura del relleno sanitario, donde se descargan, distribuyen y compactan los residuos sólidos; de acuerdo con los diseños y el Reglamento Operativo adoptado por la persona prestadora de la actividad de disposición final. </w:t>
      </w:r>
    </w:p>
    <w:p w14:paraId="7C4B08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9A2F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60. Chimenea. Estructura de ventilación que permite la salida de los gases producidos por la biodegradación de los residuos sólidos. </w:t>
      </w:r>
    </w:p>
    <w:p w14:paraId="15420D71" w14:textId="0E92E27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0A74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 Cobertura diaria. Capa de material natural, sintética o mixta con que se cubren los residuos depositados, distribuidos y compactados en el frente de operación, la cual debe garantizar que los residuos no queden expuestos al finalizar la jornada diaria de descarga.  </w:t>
      </w:r>
    </w:p>
    <w:p w14:paraId="062BF0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AD10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 Cobertura final. Revestimiento de material natural y/o sintético que confina el total de las capas de que consta un relleno sanitario, para facilitar el drenaje superficial, interceptar las aguas filtrantes y soportar la vegetación superficial. </w:t>
      </w:r>
    </w:p>
    <w:p w14:paraId="7F23A58C" w14:textId="1B15925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92DC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63. Compactación. Proceso mediante el cual en la celda se incrementa el peso específico de los residuos sólidos, con el cual se garantiza homogeneidad en la densidad del material y estabilidad de la celda. </w:t>
      </w:r>
    </w:p>
    <w:p w14:paraId="1554F73A" w14:textId="4F2B64CE"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9D1C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64. Contrato de acceso al servicio público de aseo en la actividad complementaria de disposición final. Son los contratos de prestación del servicio público de aseo en la actividad complementaria de disposición final, que celebran un operador de un relleno sanitario y las personas contratantes del acceso a dicho servicio, de acuerdo con lo establecido en la normatividad vigente y en el Reglamento Operativo de cada relleno sanitario. </w:t>
      </w:r>
    </w:p>
    <w:p w14:paraId="1F40A0E0" w14:textId="77777777" w:rsidR="00D569FF"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504FC2" w14:textId="3E09F6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65. Contratante del acceso al servicio público de aseo en la actividad complementaria de disposición final. Es todo aquel que realiza contratos de acceso al servicio público de aseo en la actividad complementaria de disposición final, con un operador de un sistema de relleno sanitario. </w:t>
      </w:r>
    </w:p>
    <w:p w14:paraId="09B9F2D8" w14:textId="2598E1C5"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A5FE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66. Disposición final de residuos sólidos. Es la actividad del servicio público de aseo, consistente en la disposición de residuos sólidos mediante la técnica de relleno sanitario. </w:t>
      </w:r>
    </w:p>
    <w:p w14:paraId="79B106B5" w14:textId="463CF8A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5B4D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67. Frente de trabajo. Sitio en el relleno sanitario donde se realizan los procesos de descargue, acomodación, compactación y cobertura de los residuos sólidos entregados para disposición final. </w:t>
      </w:r>
    </w:p>
    <w:p w14:paraId="2A177140" w14:textId="47595F6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606D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68. Gas generado en el relleno. Es el gas producido durante el proceso de fermentación anaerobia y/o aerobia, o por efectos de reacciones químicas de los residuos sólidos dispuestos. </w:t>
      </w:r>
    </w:p>
    <w:p w14:paraId="35742C6E" w14:textId="6A13AC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D936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69. Material de cobertura. Material de origen natural o sintético, utilizado para cubrir los residuos sólidos depositados en un relleno sanitario. </w:t>
      </w:r>
    </w:p>
    <w:p w14:paraId="4BAE85F6" w14:textId="77777777" w:rsidR="00D569FF"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768061" w14:textId="0DC14CD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70. Membrana. Barrera constituida por material sintético, arcillas u otros materiales de baja permeabilidad, destinadas a impermeabilizar el fondo de un relleno sanitario. </w:t>
      </w:r>
    </w:p>
    <w:p w14:paraId="1E8D8A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71. Monitoreo. Actividad consistente en efectuar observaciones, mediciones y evaluaciones continúas de una característica, elemento, parámetro o de un proceso en un sitio y período determinados, con el objeto de verificar los impactos y riesgos potenciales hacia el ambiente y la salud pública. </w:t>
      </w:r>
    </w:p>
    <w:p w14:paraId="257ADC2E" w14:textId="7059FA3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5D8C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72. Plan de trabajo y construcción. Es el documento que debe llevar diariamente el operador, en donde se detallan las actividades realizadas, fecha de inicio y de terminación, persona responsable y personal utilizado para su ejecución, cumplimiento del reglamento operativo, presupuesto, maquinaria y equipo utilizado con el respectivo rendimiento, inconvenientes y soluciones adoptadas, condiciones climáticas y cumplimiento de las medidas de control, mitigación, prevención y compensación ejecutadas. </w:t>
      </w:r>
    </w:p>
    <w:p w14:paraId="51EFF6EA" w14:textId="424A3B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E055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73. Procedimiento para acceder al servicio de disposición final. Son los requisitos, procesos y acciones establecidas en el Reglamento Operativo de cada relleno sanitario, que deberán cumplir las personas contratantes del servicio público de aseo en la actividad complementaria de disposición final y que implica el pago de una remuneración, de acuerdo con las normas regulatorias vigentes. </w:t>
      </w:r>
    </w:p>
    <w:p w14:paraId="729ED274" w14:textId="56D20DC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FC9E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74. Producción diaria per cápita. Cantidad de residuos sólidos generada por una persona, expresada en términos de kg/</w:t>
      </w:r>
      <w:proofErr w:type="spellStart"/>
      <w:r w:rsidRPr="009342F9">
        <w:rPr>
          <w:rFonts w:ascii="Arial" w:eastAsia="Times New Roman" w:hAnsi="Arial" w:cs="Arial"/>
          <w:color w:val="000000"/>
          <w:lang w:eastAsia="es-CO"/>
        </w:rPr>
        <w:t>hab</w:t>
      </w:r>
      <w:proofErr w:type="spellEnd"/>
      <w:r w:rsidRPr="009342F9">
        <w:rPr>
          <w:rFonts w:ascii="Arial" w:eastAsia="Times New Roman" w:hAnsi="Arial" w:cs="Arial"/>
          <w:color w:val="000000"/>
          <w:lang w:eastAsia="es-CO"/>
        </w:rPr>
        <w:t>-día o unidades equivalentes, de acuerdo con los aforos y el número de personas por hogar estimado por el DANE. </w:t>
      </w:r>
    </w:p>
    <w:p w14:paraId="0584DD18" w14:textId="65FAF455"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2291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75. Receptor. Persona prestadora del servicio público de aseo en la actividad complementaria de disposición final de residuos sólidos, quien los recibe para darles una disposición acorde con las normas técnicas-ambientales vigentes. </w:t>
      </w:r>
    </w:p>
    <w:p w14:paraId="2C6B3B3D" w14:textId="21E79170"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CC52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76. Reglamento operativo de los rellenos sanitarios. Corresponde al compendio de requisitos, procedimientos y acciones internas de operación y funcionamiento, aplicable al personal del operador y a las personas contratantes del acceso a cada relleno sanitario. </w:t>
      </w:r>
    </w:p>
    <w:p w14:paraId="28B1656E" w14:textId="6FC7975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8D01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77. Relleno sanitario. Solución técnica de Saneamiento Básico, resultado de procesos de Planeación, Diseño, Operación y Control para la disposición final adecuada de residuos sólidos. </w:t>
      </w:r>
    </w:p>
    <w:p w14:paraId="147601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2CA0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78. Suelo de protección. Constituido por las zonas y áreas de terrenos, en suelo rural,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por sus características geográficas, paisajísticas o ambientales, o por formar parte de las zonas de utilidad pública para la ubicación de infraestructuras para la provisión de servicios públicos domiciliarios o de las áreas de amenazas y riesgo no mitigable para la localización de asentamientos humanos, tiene restringida la posibilidad de urbanizarse. </w:t>
      </w:r>
    </w:p>
    <w:p w14:paraId="07B075B8" w14:textId="25B9CABF"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A0B6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79. Vías de acceso. Vialidad que permite ingresar a un sitio de disposición final. </w:t>
      </w:r>
    </w:p>
    <w:p w14:paraId="330A4398" w14:textId="47D9BCD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CFF1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80. Vía interior. Vialidad que permite el tránsito interno en un sitio de disposición final. </w:t>
      </w:r>
    </w:p>
    <w:p w14:paraId="312A3A0D" w14:textId="67CB87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01D3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81. Vía principal. Vías que hacen parte de la red pública de transporte que permite la intercomunicación entre las entidades territoriales. </w:t>
      </w:r>
    </w:p>
    <w:p w14:paraId="40A8B667" w14:textId="3D76B4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A6F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82. Zona de falla. Zona donde se producen desplazamientos relativos de una parte de la roca con respecto a la otra, como resultados de los esfuerzos que se generan en la corteza terrestre. </w:t>
      </w:r>
    </w:p>
    <w:p w14:paraId="4CB5E699" w14:textId="4841AC2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5C62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83. Relleno sanitario de carácter regional. Es el relleno sanitario donde se disponen residuos sólidos provenientes de otros municipios diferentes a aquel donde se encuentra ubicado el sitio de disposición final. </w:t>
      </w:r>
    </w:p>
    <w:p w14:paraId="21696AF3" w14:textId="34755BE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38C2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84. Estación de transferencia de carácter regional. Es la estación donde se transfieren residuos sólidos provenientes de otros municipios diferentes a aquel donde se encuentra ubicada esta infraestructura. </w:t>
      </w:r>
    </w:p>
    <w:p w14:paraId="707A05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33EA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85. Organización de Recicladores de Oficio Formalizados: organizaciones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cualquiera de las figuras jurídicas permitidas por la normatividad vigente, incluyan dentro de su objeto social la prestación del servicio público de aseo en la actividad de aprovechamiento, se registren ante la Superintendencia de Servicios Públicos Domiciliarios (SSPD) y estén constituidas en su totalidad por recicladores de oficio. </w:t>
      </w:r>
    </w:p>
    <w:p w14:paraId="26B19F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3991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86. Rechazos: Material resultado de la clasificación de residuos aprovechables en la Estación de Clasificación y Aprovechamiento (ECA), cuyas características no permiten su efectivo aprovechamiento y que deben ser tratados o dispuestos en el relleno sanitario. </w:t>
      </w:r>
    </w:p>
    <w:p w14:paraId="4681B3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D889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87. Residuos efectivamente aprovechados. Residuos sólidos que han sido clasificados y pesados en una Estación de Clasificación y Aprovechamiento (ECA) por la persona prestadora de la actividad y han sido comercializados para su incorporación a una cadena productiva, contando con el soporte de venta a un comercializador o a la industria”. </w:t>
      </w:r>
    </w:p>
    <w:p w14:paraId="260E0D64"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247732"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88. Tratamiento. Es la actividad del servicio público de aseo, alternativa o complementaria a la disposición final, en la cual se propende por la obtención de beneficios ambientales, sanitarios o económicos, al procesar los residuos sólidos a través de operaciones y procesos mediante los cuales se modifican las características físicas, biológicas o químicas para potencializar su uso. Incluye las técnicas de tratamiento mecánico, biológico y térmico. Dentro de los beneficios se consideran la separación de los residuos sólidos en sus componentes individuales para que puedan utilizarse o tratarse posteriormente, la reducción de la cantidad de residuos sólidos a disponer y/o la recuperación de materiales o recursos valorizados. </w:t>
      </w:r>
    </w:p>
    <w:p w14:paraId="05FD5FAE"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4C579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89. Bitácora. Es el documento en el que la persona prestadora registrará diariamente y en detalle las actividades realizadas, fecha de inicio y de terminación, el responsable y personal utilizado para su ejecución, cumplimiento del Reglamento Operativo, presupuesto, maquinaria y equipo utilizado con el respectivo rendimiento, inconvenientes y soluciones adoptadas, condiciones climáticas y cumplimiento de las medidas de control, mitigación, prevención y compensación ejecutadas. </w:t>
      </w:r>
    </w:p>
    <w:p w14:paraId="5FCA5E8E"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9A47B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90. Documento Técnico de Estudios y Diseños. Documento sectorial que contiene de manera detallada y concisa todas las especificaciones para la realización de la obra, organización de medios, personas, materiales y métodos constructivos. Incluye objetivos, memorias de cálculo, especificaciones técnicas, presupuesto, cronograma, planos de cada una de las estructuras propuestas para la construcción del relleno sanitario. </w:t>
      </w:r>
    </w:p>
    <w:p w14:paraId="46BE71C1"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1EC22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91. Instalaciones para tratamientos Complementarios y Alternativos Complementarios. Son soluciones técnicas de manejo y valorización de residuos con potencial de recuperación e incorporación a ciclo productivo, tendiente a disminuir su disposición final en rellenos sanitarios. </w:t>
      </w:r>
    </w:p>
    <w:p w14:paraId="1E0BC949"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35AAF2"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92. Polígono. Superficie de terreno delimitada por la entidad territorial en el marco del POT, EOT, PBOT, con usos de suelo compatibles a la ubicación de infraestructura para la prestación de las actividades de disposición final y tratamiento alternativa y complementaria de residuos sólidos. </w:t>
      </w:r>
    </w:p>
    <w:p w14:paraId="36EBCCF2"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22414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93. Reglamento Operativo del tratamiento y la disposición final. Instrumento de gestión, adoptado por el prestador, que establece el flujo de proceso, procedimientos, responsabilidades, normas internas y manuales de operación y de control requeridos para cumplir estándares de operación definidos en el diseño. Su objetivo es garantizar la prestación del servicio público en las actividades complementarias de tratamiento y disposición final. El Reglamento Operativo no será sujeto de aprobación por ninguna autoridad. </w:t>
      </w:r>
    </w:p>
    <w:p w14:paraId="302DE5DB"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D7BF7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94. Minería de rellenos. Proceso de extracción, trituración, homogenización y estabilización de residuos sólidos con el cual se reduce la cantidad de masa enterrada en los sitios de disposición final. </w:t>
      </w:r>
    </w:p>
    <w:p w14:paraId="4ED978A5"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F63D2B"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95. Vida Útil de Diseño. Es la capacidad del relleno sanitario, expresada en unidad de tiempo, calculada a partir de la relación del volumen máximo (m3) de diseño y la tasa de disposición. </w:t>
      </w:r>
    </w:p>
    <w:p w14:paraId="0C954B54"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778B8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96. Vida útil remanente. Es la capacidad del relleno sanitario, expresada en unidad de tiempo, resultado de la relación entre el volumen remanente y la tasa de disposición </w:t>
      </w:r>
    </w:p>
    <w:p w14:paraId="29854E4E"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7A19C3B3"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640" w:name="ver_30075055"/>
      <w:bookmarkEnd w:id="1638"/>
      <w:bookmarkEnd w:id="1639"/>
      <w:bookmarkEnd w:id="1640"/>
      <w:r w:rsidRPr="009342F9">
        <w:rPr>
          <w:rFonts w:ascii="Arial" w:eastAsia="Times New Roman" w:hAnsi="Arial" w:cs="Arial"/>
          <w:b/>
          <w:bCs/>
          <w:color w:val="000000"/>
          <w:lang w:eastAsia="es-CO"/>
        </w:rPr>
        <w:t>CAPÍTULO 2</w:t>
      </w:r>
    </w:p>
    <w:p w14:paraId="4975A12A"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TRANSPORTE Y RECOLECCIÓN DE RESIDUOS APROVECHABLES Y NO APROVECHABLES</w:t>
      </w:r>
    </w:p>
    <w:p w14:paraId="40B49AE7"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641" w:name="ver_30075056"/>
      <w:bookmarkEnd w:id="1641"/>
    </w:p>
    <w:p w14:paraId="6BA777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 Ámbito de aplicación. El presente capítulo aplica al servicio público de aseo de que trata la Ley 142 de 1994, a las personas prestadoras de residuos aprovechables y no aprovechables, a los usuarios, a la Superintendencia de Servicios Públicos Domiciliarios, a la Comisión de Regulación de Agua Potable y Saneamiento Básico, a las entidades territoriales y demás entidades con funciones sobre este servicio. </w:t>
      </w:r>
    </w:p>
    <w:p w14:paraId="129392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54DA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Este capítulo no aplica a la actividad disposición final, la cual se regirá por lo dispuesto en el capítulo 3 de este Título. </w:t>
      </w:r>
    </w:p>
    <w:p w14:paraId="4C56D0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8BB5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Tampoco aplica a la gestión de residuos peligrosos, la cual se rige por lo dispuesto en las normas ambientales. </w:t>
      </w:r>
    </w:p>
    <w:p w14:paraId="70CF6609" w14:textId="6CAA03C8" w:rsidR="00F74103" w:rsidRPr="009342F9" w:rsidRDefault="00FC79C1" w:rsidP="00D569FF">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642" w:name="ver_30075057"/>
      <w:bookmarkEnd w:id="1642"/>
    </w:p>
    <w:p w14:paraId="0FAAE477" w14:textId="0B91BB69"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2A0B656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ASPECTOS GENERALES EN LA PRESTACIÓN DEL SERVICIO DE ASEO</w:t>
      </w:r>
    </w:p>
    <w:p w14:paraId="123DCE6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43" w:name="ver_30075058"/>
      <w:bookmarkEnd w:id="1643"/>
    </w:p>
    <w:p w14:paraId="6824F3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2.3.2.2.1.2. Principios básicos para la prestación del servicio de aseo. En la prestación del servicio público de aseo, y en el marco de la Gestión Integral de Residuos Sólidos, se observarán los siguientes principios: prestación eficiente a toda la población con continuidad, calidad y cobertura; obtener economías de escala comprobables; garantizar la participación de los usuarios en la gestión y fiscalización de la prestación; desarrollar una cultura de la no basura; fomentar el aprovechamiento; minimizar y mitigar el impacto en la salud y en el ambiente que se pueda causar por la generación de los residuos sólidos. </w:t>
      </w:r>
    </w:p>
    <w:p w14:paraId="685205CA" w14:textId="7D7F24A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44" w:name="ver_30075059"/>
      <w:bookmarkEnd w:id="1644"/>
    </w:p>
    <w:p w14:paraId="2DB517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2.3.2.2.1.3. Calidad del servicio de aseo. El servicio público de aseo deberá prestarse en todas sus actividades con calidad y continuidad acorde con lo definido en el presente capítulo, en la regulación vigente, en el programa de prestación del servicio y en el PGIRS con el fin de mantener limpias las áreas atendidas y lograr el aprovechamiento de residuos. </w:t>
      </w:r>
    </w:p>
    <w:p w14:paraId="175E48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00A4E7"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En caso que</w:t>
      </w:r>
      <w:proofErr w:type="gramEnd"/>
      <w:r w:rsidRPr="009342F9">
        <w:rPr>
          <w:rFonts w:ascii="Arial" w:eastAsia="Times New Roman" w:hAnsi="Arial" w:cs="Arial"/>
          <w:color w:val="000000"/>
          <w:lang w:eastAsia="es-CO"/>
        </w:rPr>
        <w:t xml:space="preserve"> la condición de limpieza del área se deteriore por una causa ajena a la persona prestadora del servicio público de aseo, las autoridades de policía deberán imponer a los responsables las sanciones conforme a la ley. </w:t>
      </w:r>
    </w:p>
    <w:p w14:paraId="0EC2DF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0F8F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deberá considerar un programa de atención de fallas, emergencias y una atención oportuna al usuario. </w:t>
      </w:r>
    </w:p>
    <w:p w14:paraId="7DBE207A" w14:textId="04513BD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45" w:name="ver_30075060"/>
      <w:bookmarkEnd w:id="1645"/>
    </w:p>
    <w:p w14:paraId="01F0E5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2.3.2.2.1.4. Continuidad del servicio. El servicio público de aseo se debe prestar en todas sus actividades de manera continua e ininterrumpida, con las frecuencias mínimas establecidas en este capítulo y aquellas que por sus particularidades queden definidas en el PGIRS, salvo cuando existan razones de fuerza mayor o caso fortuito. </w:t>
      </w:r>
    </w:p>
    <w:p w14:paraId="6E566EFF" w14:textId="715EC9E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46" w:name="ver_30075062"/>
      <w:bookmarkEnd w:id="1646"/>
    </w:p>
    <w:p w14:paraId="04ED2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2.3.2.2.1.5. Responsabilidad de la prestación del servicio público de aseo. De conformidad con la ley, es responsabilidad de los municipios y distritos asegurar que se preste a todos sus habitantes el servicio público de aseo de manera eficiente. </w:t>
      </w:r>
    </w:p>
    <w:p w14:paraId="353F05CD" w14:textId="6B85629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47" w:name="ver_30075065"/>
      <w:bookmarkEnd w:id="1647"/>
    </w:p>
    <w:p w14:paraId="4DCE62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2.3.2.2.1.6. Responsabilidad en el manejo de los residuos sólidos. La responsabilidad por los impactos generados por las actividades del servicio público de aseo, incluido el aprovechamiento, recaerá en la persona prestadora a partir del momento en que deba efectuar la recolección, la cual deberá cumplir con las disposiciones del presente capítulo y demás normatividad vigente. </w:t>
      </w:r>
    </w:p>
    <w:p w14:paraId="0199A7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C262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se realice la comercialización de residuos sólidos aprovechables, la responsabilidad por los impactos causados será del agente económico que ejecute la actividad. </w:t>
      </w:r>
    </w:p>
    <w:p w14:paraId="0A7C466E" w14:textId="75A8349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48" w:name="ver_30075248"/>
      <w:bookmarkEnd w:id="1648"/>
    </w:p>
    <w:p w14:paraId="5CA6AC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2.3.2.2.1.7. Cobertura. Los municipios o </w:t>
      </w:r>
      <w:proofErr w:type="gramStart"/>
      <w:r w:rsidRPr="009342F9">
        <w:rPr>
          <w:rFonts w:ascii="Arial" w:eastAsia="Times New Roman" w:hAnsi="Arial" w:cs="Arial"/>
          <w:color w:val="000000"/>
          <w:lang w:eastAsia="es-CO"/>
        </w:rPr>
        <w:t>distritos,</w:t>
      </w:r>
      <w:proofErr w:type="gramEnd"/>
      <w:r w:rsidRPr="009342F9">
        <w:rPr>
          <w:rFonts w:ascii="Arial" w:eastAsia="Times New Roman" w:hAnsi="Arial" w:cs="Arial"/>
          <w:color w:val="000000"/>
          <w:lang w:eastAsia="es-CO"/>
        </w:rPr>
        <w:t xml:space="preserve"> deben garantizar la prestación del servicio de aseo a todos sus habitantes dentro de su territorio por parte de las personas prestadoras de servicio público de aseo independientemente del esquema adoptado para su prestación. Para ello deberá planificarse la ampliación permanente de la cobertura teniendo en cuenta, entre otros aspectos el crecimiento de la población y la producción de residuos. </w:t>
      </w:r>
    </w:p>
    <w:p w14:paraId="77DA085A" w14:textId="55B8387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49" w:name="ver_30075249"/>
      <w:bookmarkEnd w:id="1649"/>
    </w:p>
    <w:p w14:paraId="027F69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2.3.2.2.1.8. Función social y ecológica. Las personas que prestan el servicio público de aseo deben cumplir con las obligaciones de la función social y ecológica de la propiedad, de conformidad con lo dispuesto en la Constitución Política y en la ley. </w:t>
      </w:r>
    </w:p>
    <w:p w14:paraId="132383FB" w14:textId="2E43BE8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50" w:name="ver_30075250"/>
      <w:bookmarkEnd w:id="1650"/>
    </w:p>
    <w:p w14:paraId="548AEF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2.3.2.2.1.9. Economías de escala. El municipio o distrito, al adoptar el respectivo Plan de Gestión Integral de los Residuos Sólidos, deberá propender porque en la prestación del servicio de aseo se logren economías de escala teniendo en cuenta variables tales como: cantidad de residuos a manejar en cada una de las etapas de la gestión, nivel del servicio, calidad del servicio, densidad de las viviendas, innovación tecnológica de equipo, gestión administrativa, operativa y de mantenimiento del servicio, la asociación de municipios para la conformación de esquemas regionales, las condiciones y la localización de los componentes del sistema. </w:t>
      </w:r>
    </w:p>
    <w:p w14:paraId="45A8F027" w14:textId="2C26FA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51" w:name="ver_30075251"/>
      <w:bookmarkEnd w:id="1651"/>
    </w:p>
    <w:p w14:paraId="7D11E1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2.3.2.2.1.10. Programa para la Prestación del Servicio de Aseo. Las personas prestadoras del servicio público de aseo deberán formular e implementar el Programa para la Prestación del Servicio acorde con el Plan de Gestión Integral de Residuos Sólidos del municipio o distrito y/o regional según el caso, la regulación vigente y lo establecido en este capítulo. </w:t>
      </w:r>
    </w:p>
    <w:p w14:paraId="3209D9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D869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la formulación de este programa, las personas prestadoras definirán: objetivos, metas, estrategias, campañas educativas, actividades y cronogramas, costos y fuentes de financiación de acuerdo con los lineamientos definidos por el Ministerio de Vivienda, Ciudad y Territorio. Este programa igualmente deberá definir todos los aspectos operativos de los diferentes componentes del servicio que atienda el prestador, el cual deberá ser objeto de seguimiento y control por parte de la Superintendencia de Servicios Públicos. </w:t>
      </w:r>
    </w:p>
    <w:p w14:paraId="0F4384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3ED5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Programa para la Prestación del Servicio de Aseo debe revisarse y ajustarse de acuerdo con las actualizaciones del PGIRS y ser enviado a la Superintendencia de Servicios Públicos Domiciliarios para su vigilancia y control, conforme a lo establecido en el artículo 3.4 de la Ley 142 de 1994. </w:t>
      </w:r>
    </w:p>
    <w:p w14:paraId="453E37DD" w14:textId="1A2BC71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52" w:name="ver_30075252"/>
      <w:bookmarkEnd w:id="1652"/>
    </w:p>
    <w:p w14:paraId="7EF1E6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2.3.2.2.1.11. Libre competencia en el servicio público de aseo y actividades complementarias. Salvo en los casos expresamente consagrados en la Constitución Política y en la ley, existe libertad de competencia en la prestación del servicio público de aseo y sus actividades complementarias, para lo cual, quienes deseen prestarlo deberán adoptar cualquiera de las formas señaladas en el artículo 15 de la Ley 142 de 1994. </w:t>
      </w:r>
    </w:p>
    <w:p w14:paraId="211ECA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46FA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prestadores del servicio público de aseo deben someterse a la competencia sin limitaciones de entrada de nuevos competidores, salvo por lo señalado por la Constitución Política, la Ley 142 de 1994 y el presente capítulo, de tal forma que se favorezca la calidad, la eficiencia y la continuidad en la prestación del servicio en los términos establecidos en la normatividad vigente sobre la materia. </w:t>
      </w:r>
    </w:p>
    <w:p w14:paraId="4373063F" w14:textId="06969DD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53" w:name="ver_30075253"/>
      <w:bookmarkEnd w:id="1653"/>
    </w:p>
    <w:p w14:paraId="2EC37C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2.3.2.2.1.12. Permisos ambientales. Quienes presten el servicio público de aseo deberán obtener los permisos, licencias y demás autorizaciones que la índole de sus actividades requiera, de conformidad. </w:t>
      </w:r>
    </w:p>
    <w:p w14:paraId="5A5D2DF7" w14:textId="7E3EACC4"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54" w:name="ver_30075254"/>
      <w:bookmarkEnd w:id="1654"/>
    </w:p>
    <w:p w14:paraId="4408005C" w14:textId="5F8A5EA1"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SECCIÓN 2</w:t>
      </w:r>
    </w:p>
    <w:p w14:paraId="3905353E" w14:textId="77777777" w:rsidR="005C5EEB" w:rsidRPr="009342F9" w:rsidRDefault="005C5EEB" w:rsidP="00F74103">
      <w:pPr>
        <w:spacing w:after="0" w:line="240" w:lineRule="auto"/>
        <w:jc w:val="center"/>
        <w:rPr>
          <w:rFonts w:ascii="Arial" w:eastAsia="Times New Roman" w:hAnsi="Arial" w:cs="Arial"/>
          <w:b/>
          <w:bCs/>
          <w:color w:val="000000"/>
          <w:lang w:eastAsia="es-CO"/>
        </w:rPr>
      </w:pPr>
    </w:p>
    <w:p w14:paraId="0202903C"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3763F3DC"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ACTIVIDADES DEL SERVICIO PÚBLICO DE ASEO</w:t>
      </w:r>
    </w:p>
    <w:p w14:paraId="108F234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55" w:name="ver_30075255"/>
      <w:bookmarkEnd w:id="1655"/>
    </w:p>
    <w:p w14:paraId="5E4847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2.3.2.2.2.1.13. Actividades del servicio público de aseo. Para efectos de este capítulo se consideran como actividades del servicio público de aseo, las siguientes: </w:t>
      </w:r>
    </w:p>
    <w:p w14:paraId="15E855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36E8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Recolección. </w:t>
      </w:r>
    </w:p>
    <w:p w14:paraId="0E77F0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5DF2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Transporte. </w:t>
      </w:r>
    </w:p>
    <w:p w14:paraId="713535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4663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Barrido, limpieza de vías y áreas públicas. </w:t>
      </w:r>
    </w:p>
    <w:p w14:paraId="2452EA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F07A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Corte de césped, poda de árboles en las vías y áreas públicas. </w:t>
      </w:r>
    </w:p>
    <w:p w14:paraId="738ED8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1536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Transferencia. </w:t>
      </w:r>
    </w:p>
    <w:p w14:paraId="2AC701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979D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Tratamiento. </w:t>
      </w:r>
    </w:p>
    <w:p w14:paraId="667071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AC34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Aprovechamiento. </w:t>
      </w:r>
    </w:p>
    <w:p w14:paraId="236871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DD77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Disposición final. </w:t>
      </w:r>
    </w:p>
    <w:p w14:paraId="6336AF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E727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Lavado de áreas públicas. </w:t>
      </w:r>
    </w:p>
    <w:p w14:paraId="7A283594" w14:textId="18EB17B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56" w:name="ver_30075256"/>
      <w:bookmarkEnd w:id="1656"/>
    </w:p>
    <w:p w14:paraId="739C72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2.3.2.2.2.1.14. Costos asociados al servicio público de aseo. Los costos asociados al servicio público de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deberán corresponder a las actividades del servicio definidas en este capítulo. </w:t>
      </w:r>
    </w:p>
    <w:p w14:paraId="53D86C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B9D8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deberá incorporar los de limpieza de playas en áreas urbanas definidas por la entidad territorial en el PGIRS. </w:t>
      </w:r>
    </w:p>
    <w:p w14:paraId="64BC39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E86D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el caso de los residuos de construcción y </w:t>
      </w:r>
      <w:proofErr w:type="gramStart"/>
      <w:r w:rsidRPr="009342F9">
        <w:rPr>
          <w:rFonts w:ascii="Arial" w:eastAsia="Times New Roman" w:hAnsi="Arial" w:cs="Arial"/>
          <w:color w:val="000000"/>
          <w:lang w:eastAsia="es-CO"/>
        </w:rPr>
        <w:t>demolición</w:t>
      </w:r>
      <w:proofErr w:type="gramEnd"/>
      <w:r w:rsidRPr="009342F9">
        <w:rPr>
          <w:rFonts w:ascii="Arial" w:eastAsia="Times New Roman" w:hAnsi="Arial" w:cs="Arial"/>
          <w:color w:val="000000"/>
          <w:lang w:eastAsia="es-CO"/>
        </w:rPr>
        <w:t xml:space="preserve"> así como de otros residuos especiales, el usuario que solicite este servicio será quien asuma los costos asociados con el mismo. Este servicio podrá ser suministrado por la persona prestadora del servicio público de aseo de conformidad con la normatividad vigente para este tipo de residuos. </w:t>
      </w:r>
    </w:p>
    <w:p w14:paraId="26BD78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B37F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precio por la prestación del servicio público de aseo para el manejo de residuos de construcción y demolición, así como de otros residuos especiales, será pactado libremente por el usuario que lo solicite y la persona prestadora del servicio. </w:t>
      </w:r>
    </w:p>
    <w:p w14:paraId="473F7B7C" w14:textId="29EAF4C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57" w:name="ver_30075257"/>
      <w:bookmarkEnd w:id="1657"/>
    </w:p>
    <w:p w14:paraId="697114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2.3.2.2.2.1.15. Programa de gestión del riesgo. La persona prestadora del servicio público de aseo deberá estructurar y mantener actualizado un programa de gestión del riesgo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 normatividad vigente, en las diferentes actividades de la prestación del servicio, el cual deberá ser presentado a la Superintendencia de Servicios Públicos Domiciliarios. En caso de presentarse un evento de riesgo la persona prestadora del servicio deberá ejecutar las medidas de mitigación y corrección pertinentes. Así mismo, el prestador deberá garantizar la capacitación de todo su personal sobre los procedimientos a seguir en caso de presentarse cualquier evento de riesgo. </w:t>
      </w:r>
    </w:p>
    <w:p w14:paraId="323E4E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5762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Comisión de Regulación de Agua Potable y Saneamiento Básico establecerá en el marco tarifario, el reconocimiento de la gestión integral del riesgo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 normatividad vigente. </w:t>
      </w:r>
    </w:p>
    <w:p w14:paraId="4DB9955E" w14:textId="77777777" w:rsidR="00D569FF" w:rsidRDefault="00D569FF" w:rsidP="00F74103">
      <w:pPr>
        <w:spacing w:after="0" w:line="240" w:lineRule="auto"/>
        <w:jc w:val="center"/>
        <w:rPr>
          <w:rFonts w:ascii="Arial" w:eastAsia="Times New Roman" w:hAnsi="Arial" w:cs="Arial"/>
          <w:b/>
          <w:bCs/>
          <w:color w:val="000000"/>
          <w:lang w:eastAsia="es-CO"/>
        </w:rPr>
      </w:pPr>
      <w:bookmarkStart w:id="1658" w:name="ver_30075258"/>
      <w:bookmarkEnd w:id="1658"/>
    </w:p>
    <w:p w14:paraId="58C83A4B" w14:textId="6EB26AD6"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1471280A"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ALMACENAMIENTO Y PRESENTACIÓN</w:t>
      </w:r>
    </w:p>
    <w:p w14:paraId="5419C47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59" w:name="ver_30075259"/>
      <w:bookmarkEnd w:id="1659"/>
    </w:p>
    <w:p w14:paraId="7B9342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2.3.2.2.2.2.16. Obligaciones de los usuarios para el almacenamiento y la presentación de residuos sólidos. Son obligaciones de los usuarios del servicio público de aseo, en cuanto al almacenamiento y la presentación de residuos sólidos: </w:t>
      </w:r>
    </w:p>
    <w:p w14:paraId="5B71D6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32EC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Almacenar y presentar los residuos sólidos,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 dispuesto en este capítulo, en el Plan de Gestión Integral de Residuos Sólidos de los municipios o distritos, en los respectivos programas para la prestación del servicio público de aseo, aspectos que deben estar definidos en el Contrato de Servicios Públicos. </w:t>
      </w:r>
    </w:p>
    <w:p w14:paraId="71AD3D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1A3D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Realizar la separación de residuos en la fuente, tal como lo establezca el Plan de Gestión Integral de Residuos Sólidos del respectivo municipio o distrito para su adecuado almacenamiento y posterior presentación. </w:t>
      </w:r>
    </w:p>
    <w:p w14:paraId="6FA381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B628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Presentar los residuos sólidos para la recolección en recipientes retornables o desechables, de acuerdo con lo establecido en el PGIRS de forma tal que facilite la actividad de recolección por parte del prestador. Preferiblemente la presentación de los residuos para recolección se realizará en recipientes retornables. </w:t>
      </w:r>
    </w:p>
    <w:p w14:paraId="5D4435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3F9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Almacenar en los recipientes la cantidad de residuos, tanto en volumen como en peso, acorde con la tecnología utilizada para su recolección. </w:t>
      </w:r>
    </w:p>
    <w:p w14:paraId="254224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729F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Ubicar los residuos sólidos en los sitios determinados para su presentación, con una anticipación no mayor de tres (3) horas previas a la recolección de acuerdo con las frecuencias y horarios establecidos por el prestador. </w:t>
      </w:r>
    </w:p>
    <w:p w14:paraId="495BD5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0ADD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Almacenar y presentar los residuos sólidos provenientes del barrido de andenes, de manera conjunta con los residuos sólidos originados en el domicilio. </w:t>
      </w:r>
    </w:p>
    <w:p w14:paraId="32D2D6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6B2D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Presentar los residuos en área pública, salvo condiciones pactadas con el usuario cuando existan condiciones técnicas y operativas de acceso a las unidades de almacenamiento o sitio de presentación acordado. </w:t>
      </w:r>
    </w:p>
    <w:p w14:paraId="73B02F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153E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Además de lo aquí dispuesto, los generadores de residuos sólidos deberán cumplir con las obligaciones que defina la autoridad sanitaria. </w:t>
      </w:r>
    </w:p>
    <w:p w14:paraId="75B9892E" w14:textId="6FEF9D6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0" w:name="ver_30075260"/>
      <w:bookmarkEnd w:id="1660"/>
    </w:p>
    <w:p w14:paraId="69D0AF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2.3.2.2.2.2.17. Características de los recipientes retornables para almacenamiento de residuos sólidos. Los recipientes retornables, utilizados para almacenamiento y presentación de los residuos sólidos deberán tener las siguientes características básicas: </w:t>
      </w:r>
    </w:p>
    <w:p w14:paraId="05F09D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DF91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Proporcionar seguridad, higiene y facilitar el proceso de recolección de acuerdo con la tecnología utilizada por el prestador, tanto para la recolección de residuos con destino a disposición final como a procesos de aprovechamiento. </w:t>
      </w:r>
    </w:p>
    <w:p w14:paraId="6DD17C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ACF4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Tener una capacidad proporcional al peso, volumen y características de los residuos que contengan. </w:t>
      </w:r>
    </w:p>
    <w:p w14:paraId="3E221A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5AD5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Ser de material resistente, para soportar la tensión ejercida por los residuos sólidos contenidos y por su manipulación y se evite la fuga de residuos o fluidos. </w:t>
      </w:r>
    </w:p>
    <w:p w14:paraId="60C710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DB56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los casos de manipulación manual de los recipientes, este y los residuos depositados no deben superar un peso de 50 Kg. Para el caso de usuarios no residenciales, la connotación del peso del recipiente deberá estar sujeta a las normas técnicas que establezca la persona prestadora del servicio respectivo en el contrato de servicios públicos de condiciones uniformes, según la infraestructura que se utilice o esté disponible. </w:t>
      </w:r>
    </w:p>
    <w:p w14:paraId="2C95D6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5EE2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recipientes retornables para el almacenamiento de residuos sólidos en el </w:t>
      </w:r>
      <w:proofErr w:type="gramStart"/>
      <w:r w:rsidRPr="009342F9">
        <w:rPr>
          <w:rFonts w:ascii="Arial" w:eastAsia="Times New Roman" w:hAnsi="Arial" w:cs="Arial"/>
          <w:color w:val="000000"/>
          <w:lang w:eastAsia="es-CO"/>
        </w:rPr>
        <w:t>servicio,</w:t>
      </w:r>
      <w:proofErr w:type="gramEnd"/>
      <w:r w:rsidRPr="009342F9">
        <w:rPr>
          <w:rFonts w:ascii="Arial" w:eastAsia="Times New Roman" w:hAnsi="Arial" w:cs="Arial"/>
          <w:color w:val="000000"/>
          <w:lang w:eastAsia="es-CO"/>
        </w:rPr>
        <w:t xml:space="preserve"> deberán ser lavados por el usuario de tal forma que al ser presentados estén en condiciones sanitarias adecuadas. </w:t>
      </w:r>
    </w:p>
    <w:p w14:paraId="4BB1E85B" w14:textId="269C47A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1" w:name="ver_30075261"/>
      <w:bookmarkEnd w:id="1661"/>
    </w:p>
    <w:p w14:paraId="032BBA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2.3.2.2.2.2.18. Características de los recipientes no retornables. Los recipientes no retornables, utilizados para almacenamiento y presentación de los residuos sólidos deberán tener las siguientes características básicas: </w:t>
      </w:r>
    </w:p>
    <w:p w14:paraId="3F954F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1B36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Proporcionar seguridad, higiene y facilitar el proceso de recolección de acuerdo con la tecnología utilizada por el prestador, tanto para la recolección de residuos con destino a disposición final como a procesos de aprovechamiento. </w:t>
      </w:r>
    </w:p>
    <w:p w14:paraId="55195E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439A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Tener una capacidad proporcional al peso, volumen y características de los residuos que contengan. </w:t>
      </w:r>
    </w:p>
    <w:p w14:paraId="418605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93BB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 material resistente para soportar su manipulación. </w:t>
      </w:r>
    </w:p>
    <w:p w14:paraId="377AA9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C46E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Facilitar su cierre o amarre. </w:t>
      </w:r>
    </w:p>
    <w:p w14:paraId="388CD358" w14:textId="766C1AF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2" w:name="ver_30075262"/>
      <w:bookmarkEnd w:id="1662"/>
    </w:p>
    <w:p w14:paraId="0D94BB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2.3.2.2.2.2.19. Sistemas de almacenamiento colectivo de residuos sólidos. Todo usuario agrupado del servicio público de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deberá tener una unidad de almacenamiento de residuos sólidos que cumpla como mínimo con los siguientes requisitos: </w:t>
      </w:r>
    </w:p>
    <w:p w14:paraId="1DE7F4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9BEE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acabados deberán permitir su fácil limpieza e impedir la formación de ambientes propicios para el desarrollo de microrganismos. </w:t>
      </w:r>
    </w:p>
    <w:p w14:paraId="0727E4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7367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Tendrán sistemas que permitan la ventilación, tales como rejillas o ventanas, y de prevención y control de incendios, como extintores y suministro cercano de agua y drenaje. </w:t>
      </w:r>
    </w:p>
    <w:p w14:paraId="0646C5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0E12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Serán construidas de manera que se evite el acceso y proliferación de insectos, roedores y otras clases de vectores, y que impida el ingreso de animales domésticos. </w:t>
      </w:r>
    </w:p>
    <w:p w14:paraId="0AE47A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3B15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Deberán tener una adecuada ubicación y accesibilidad para los usuarios. </w:t>
      </w:r>
    </w:p>
    <w:p w14:paraId="47C3FD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Deberán contar con recipientes o cajas de almacenamiento de residuos sólidos para realizar su adecuado almacenamiento y presentación, teniendo en cuenta la generación de residuos y las frecuencias y horarios de prestación del servicio de recolección y transporte. </w:t>
      </w:r>
    </w:p>
    <w:p w14:paraId="44D7AB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DF69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usuarios serán los responsables de mantener aseadas, desinfectadas y fumigadas las unidades de almacenamiento, atendiendo los requisitos y normas para esta última actividad. </w:t>
      </w:r>
    </w:p>
    <w:p w14:paraId="35D84C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0DD2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se realicen actividades de separación, las unidades de almacenamiento deberán disponer de espacio suficiente para realizar el almacenamiento de los materiales, evitando su deterioro. </w:t>
      </w:r>
    </w:p>
    <w:p w14:paraId="1B576D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219A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El usuario agrupado podrá elegir entre la presentación de los residuos en el andén o en la unidad de almacenamiento cuando así se pacte y las condiciones técnicas así lo permitan. En todo caso, deberá contar con los recipientes suficientes para el almacenamiento, de acuerdo con la generación de residuos, y las frecuencias y horarios de prestación del servicio de aseo. </w:t>
      </w:r>
    </w:p>
    <w:p w14:paraId="18312C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8696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4°. Las plazas de mercado, cementerios, mataderos o frigoríficos, estadios, terminales de transporte deben establecer programas internos de almacenamiento y presentación de residuos, de modo que se minimice la mezcla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y se facilite el manejo y posterior aprovechamiento, en especial de los de origen orgánico. </w:t>
      </w:r>
    </w:p>
    <w:p w14:paraId="0C5D59F5" w14:textId="7E559AE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3" w:name="ver_30075263"/>
      <w:bookmarkEnd w:id="1663"/>
    </w:p>
    <w:p w14:paraId="00BC221A" w14:textId="1E8887CB" w:rsidR="00FC79C1" w:rsidRPr="009342F9" w:rsidRDefault="00FC79C1" w:rsidP="00D569F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2.3.2.2.2.2.20. Empaque de los residuos para evacuación por ductos. Los residuos sólidos que sean evacuados por </w:t>
      </w:r>
      <w:proofErr w:type="gramStart"/>
      <w:r w:rsidRPr="009342F9">
        <w:rPr>
          <w:rFonts w:ascii="Arial" w:eastAsia="Times New Roman" w:hAnsi="Arial" w:cs="Arial"/>
          <w:color w:val="000000"/>
          <w:lang w:eastAsia="es-CO"/>
        </w:rPr>
        <w:t>ductos,</w:t>
      </w:r>
      <w:proofErr w:type="gramEnd"/>
      <w:r w:rsidRPr="009342F9">
        <w:rPr>
          <w:rFonts w:ascii="Arial" w:eastAsia="Times New Roman" w:hAnsi="Arial" w:cs="Arial"/>
          <w:color w:val="000000"/>
          <w:lang w:eastAsia="es-CO"/>
        </w:rPr>
        <w:t xml:space="preserve"> serán empacados en recipientes no retornables que reúnan las características exigidas en el presente decreto y de acuerdo con el tamaño de los ductos</w:t>
      </w:r>
      <w:r w:rsidR="00D569FF">
        <w:rPr>
          <w:rFonts w:ascii="Arial" w:eastAsia="Times New Roman" w:hAnsi="Arial" w:cs="Arial"/>
          <w:color w:val="000000"/>
          <w:lang w:eastAsia="es-CO"/>
        </w:rPr>
        <w:t>.</w:t>
      </w:r>
    </w:p>
    <w:p w14:paraId="4C74E98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64" w:name="ver_30075264"/>
      <w:bookmarkEnd w:id="1664"/>
    </w:p>
    <w:p w14:paraId="3C30C9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2.3.2.2.2.2.21. Sitios de ubicación para la presentación de los residuos sólidos. La presentación de los residuos se podrá realizar, en la unidad de almacenamiento o en el andén en el caso de multiusuarios. Los demás usuarios deberán presentarlos en el andén del inmueble del generador, salvo que se pacte con el prestador otro sitio de presentación. </w:t>
      </w:r>
    </w:p>
    <w:p w14:paraId="36B1DB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36FD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presentación de los residuos </w:t>
      </w:r>
      <w:proofErr w:type="gramStart"/>
      <w:r w:rsidRPr="009342F9">
        <w:rPr>
          <w:rFonts w:ascii="Arial" w:eastAsia="Times New Roman" w:hAnsi="Arial" w:cs="Arial"/>
          <w:color w:val="000000"/>
          <w:lang w:eastAsia="es-CO"/>
        </w:rPr>
        <w:t>sólidos,</w:t>
      </w:r>
      <w:proofErr w:type="gramEnd"/>
      <w:r w:rsidRPr="009342F9">
        <w:rPr>
          <w:rFonts w:ascii="Arial" w:eastAsia="Times New Roman" w:hAnsi="Arial" w:cs="Arial"/>
          <w:color w:val="000000"/>
          <w:lang w:eastAsia="es-CO"/>
        </w:rPr>
        <w:t xml:space="preserve"> deberá cumplir lo previsto en el presente capítulo, evitando la obstrucción peatonal o vehicular y con respeto de las normas urbanísticas vigentes en el respectivo municipio o distrito, de tal manera que se facilite el acceso para los vehículos y personas encargadas de la recolección y la fácil limpieza en caso de presentarse derrames accidentales. </w:t>
      </w:r>
    </w:p>
    <w:p w14:paraId="4A396571" w14:textId="60389EB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5" w:name="ver_30075265"/>
      <w:bookmarkEnd w:id="1665"/>
    </w:p>
    <w:p w14:paraId="16F57C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2.3.2.2.2.2.22. Obligación de trasladar residuos sólidos hasta los sitios de recolección. En el caso de urbanizaciones, barrios o agrupaciones de viviendas y/o demás predios que por sus condiciones impidan la circulación de vehículos de recolección, así como en situaciones de emergencia, los usuarios están en la obligación de trasladar los residuos sólidos hasta el sitio determinado por la persona prestadora del servicio público de aseo, particularidad que deberá reflejarse en menores tarifas. </w:t>
      </w:r>
    </w:p>
    <w:p w14:paraId="62A54D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A493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estos casos, la persona prestadora del servicio público de aseo deberá determinar los sitios de recolección de los residuos, los horarios y frecuencias de recolección, de tal manera que se evite la acumulación prolongada de los residuos en el espacio público. </w:t>
      </w:r>
    </w:p>
    <w:p w14:paraId="54B1B13D" w14:textId="2122385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6" w:name="ver_30075266"/>
      <w:bookmarkEnd w:id="1666"/>
    </w:p>
    <w:p w14:paraId="3FE95D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2.3.2.2.2.2.23. Características de las cajas de almacenamiento. Las cajas de almacenamiento deben cumplir con las siguientes condiciones: </w:t>
      </w:r>
    </w:p>
    <w:p w14:paraId="76C370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AFAC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tamaño, la capacidad y el sistema de cargue y descargue de las cajas de almacenamiento, serán determinados por la persona prestadora del servicio público de aseo con el objetivo de que sean compatibles con su equipo de recolección y transporte. </w:t>
      </w:r>
    </w:p>
    <w:p w14:paraId="6872A5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4E6A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dimensiones y capacidad deben ser tales que permitan el almacenamiento de la totalidad de los residuos sólidos producidos de acuerdo con las frecuencias de recolección. </w:t>
      </w:r>
    </w:p>
    <w:p w14:paraId="085AAA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44D2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Deben estar provistas de elementos que eviten la humedad, el depósito de aguas lluvias, la dispersión de los residuos, el acceso de animales y la proliferación de vectores. </w:t>
      </w:r>
    </w:p>
    <w:p w14:paraId="004764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Debe colocarse la cantidad requerida de cajas que garanticen el almacenamiento de la totalidad de los residuos generados, acorde con la frecuencia de recolección establecida por la persona prestadora del servicio de recolección y transporte. </w:t>
      </w:r>
    </w:p>
    <w:p w14:paraId="4DE367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01FB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las cajas de almacenamiento únicamente se podrán depositar los residuos sólidos ordinarios. </w:t>
      </w:r>
    </w:p>
    <w:p w14:paraId="5BBFC85B" w14:textId="2B1651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7" w:name="ver_30075267"/>
      <w:bookmarkEnd w:id="1667"/>
    </w:p>
    <w:p w14:paraId="677620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2.3.2.2.2.2.24. Sitios de ubicación para las cajas de almacenamiento. El sitio escogido para ubicar cajas de almacenamiento para residuos </w:t>
      </w:r>
      <w:proofErr w:type="gramStart"/>
      <w:r w:rsidRPr="009342F9">
        <w:rPr>
          <w:rFonts w:ascii="Arial" w:eastAsia="Times New Roman" w:hAnsi="Arial" w:cs="Arial"/>
          <w:color w:val="000000"/>
          <w:lang w:eastAsia="es-CO"/>
        </w:rPr>
        <w:t>sólidos,</w:t>
      </w:r>
      <w:proofErr w:type="gramEnd"/>
      <w:r w:rsidRPr="009342F9">
        <w:rPr>
          <w:rFonts w:ascii="Arial" w:eastAsia="Times New Roman" w:hAnsi="Arial" w:cs="Arial"/>
          <w:color w:val="000000"/>
          <w:lang w:eastAsia="es-CO"/>
        </w:rPr>
        <w:t xml:space="preserve"> deberá permitir, como mínimo, lo siguiente: </w:t>
      </w:r>
    </w:p>
    <w:p w14:paraId="39BD45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1B44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Accesibilidad para los usuarios. </w:t>
      </w:r>
    </w:p>
    <w:p w14:paraId="0A19E7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CBF8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Accesibilidad y facilidad para el manejo y la recolección de los residuos sólidos por parte del prestador. </w:t>
      </w:r>
    </w:p>
    <w:p w14:paraId="11FE8E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BA38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Tránsito de peatones o de vehículos, según el caso. </w:t>
      </w:r>
    </w:p>
    <w:p w14:paraId="1C28A0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937B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Asegurar condiciones de higiene y de estética con el entorno. </w:t>
      </w:r>
    </w:p>
    <w:p w14:paraId="7E0476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5241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Tener la aceptación de la comunidad usuaria y de la persona prestadora del servicio público de aseo. </w:t>
      </w:r>
    </w:p>
    <w:p w14:paraId="4AAE67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D421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Su colocación dentro de una propiedad horizontal o privada debe cumplir con las normas vigentes sobre la materia. </w:t>
      </w:r>
    </w:p>
    <w:p w14:paraId="2810EB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3839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Deberán adoptarse medidas de señalización y seguridad para evitar accidentes. </w:t>
      </w:r>
    </w:p>
    <w:p w14:paraId="03FE9E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0221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Evitar el acceso de animales. </w:t>
      </w:r>
    </w:p>
    <w:p w14:paraId="56563ACA" w14:textId="2838D1C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68" w:name="ver_30075268"/>
      <w:bookmarkEnd w:id="1668"/>
    </w:p>
    <w:p w14:paraId="451A3C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2.3.2.2.2.2.25. Ubicación de cajas de almacenamiento en áreas públicas. La colocación de cajas de almacenamiento en áreas públicas debe contar con la autorización de la entidad territorial a través de la autoridad urbanística local o quien haga sus veces, atendiendo las necesidades del servicio público de aseo. </w:t>
      </w:r>
    </w:p>
    <w:p w14:paraId="328C3AEE" w14:textId="53883B14" w:rsidR="00F74103" w:rsidRPr="009342F9" w:rsidRDefault="00FC79C1" w:rsidP="00D569FF">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669" w:name="ver_30075269"/>
      <w:bookmarkEnd w:id="1669"/>
    </w:p>
    <w:p w14:paraId="48F1C785" w14:textId="43B930A6"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7E801879"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RECOLECCIÓN Y TRANSPORTE</w:t>
      </w:r>
    </w:p>
    <w:p w14:paraId="1337CE0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70" w:name="ver_30075270"/>
      <w:bookmarkEnd w:id="1670"/>
    </w:p>
    <w:p w14:paraId="5EE77D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2.3.2.2.2.3.26. Recolección separada. La recolección de los residuos sólidos ordinarios debe hacerse en forma separada de los residuos especiales. </w:t>
      </w:r>
    </w:p>
    <w:p w14:paraId="71C9F9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7B2F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los residuos ordinarios y cuando el PGIRS establezca programas de aprovechamiento, la recolección de residuos con destino a disposición final deberá realizarse de manera separada de aquellos con posibilidad de aprovechamiento, implementando procesos de separación en la fuente y presentación diferenciada de residuos. </w:t>
      </w:r>
    </w:p>
    <w:p w14:paraId="446399E5" w14:textId="40FCDC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1" w:name="ver_30075271"/>
      <w:bookmarkEnd w:id="1671"/>
    </w:p>
    <w:p w14:paraId="3C13C6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2.3.2.2.2.3.27. Requisitos de la actividad de recolección. La actividad de recolección se realizará observando entre otros los siguientes requisitos: </w:t>
      </w:r>
    </w:p>
    <w:p w14:paraId="5DB1F9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BBCD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La recolección deberá efectuarse de modo tal que se minimicen los impactos, en especial el ruido y se evite el esparcimiento de residuos en la vía pública, cumpliendo la normativa vigente. En caso de que se esparzan residuos durante la recolección, es deber de la persona prestadora realizar inmediatamente la limpieza correspondiente dejando el área libre de residuos para mantener la condición de limpieza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w:t>
      </w:r>
    </w:p>
    <w:p w14:paraId="32D12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BFA6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Para garantizar la actividad de recolección, las personas prestadoras deberán contar con los equipos y mecanismos suficientes que garanticen la suplencia en los casos de averías y el mantenimiento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Estos equipos deberán cumplir con las características de los vehículos recolectores definidas en este decreto. El servicio de recolección de residuos no podrá ser interrumpido por fallas mecánicas. </w:t>
      </w:r>
    </w:p>
    <w:p w14:paraId="5C7516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E7D6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servicio de recolección de residuos aprovechables y no aprovechables se prestará de acuerdo con lo establecido en el PGIRS, de tal forma que no se generen riesgos a la salud pública. </w:t>
      </w:r>
    </w:p>
    <w:p w14:paraId="63157D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7A7C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En las zonas en las cuales se utilice el sistema de recolección en cajas de almacenamiento, las personas prestadoras del servicio público de aseo deberán instalar las que sean necesarias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 generación de residuos, frecuencias y horarios de la prestación del servicio, para que los residuos sólidos depositados no desborden su capacidad. </w:t>
      </w:r>
    </w:p>
    <w:p w14:paraId="57F68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048C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 operación de compactación deberá efectuarse en zonas donde causen la mínima molestia a los residentes. En ningún caso esta operación podrá realizarse frente a centros educativos, hospitales, clínicas o cualquier clase de centros asistenciales. </w:t>
      </w:r>
    </w:p>
    <w:p w14:paraId="51947D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AAA5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Será responsabilidad de la persona prestadora del servicio público de aseo capacitar al personal encargado del manejo de residuos, dotarlo de equipos de protección personal, identificación, uniformes de trabajo con aditamentos reflectivos y demás </w:t>
      </w:r>
      <w:proofErr w:type="gramStart"/>
      <w:r w:rsidRPr="009342F9">
        <w:rPr>
          <w:rFonts w:ascii="Arial" w:eastAsia="Times New Roman" w:hAnsi="Arial" w:cs="Arial"/>
          <w:color w:val="000000"/>
          <w:lang w:eastAsia="es-CO"/>
        </w:rPr>
        <w:t>implementos</w:t>
      </w:r>
      <w:proofErr w:type="gramEnd"/>
      <w:r w:rsidRPr="009342F9">
        <w:rPr>
          <w:rFonts w:ascii="Arial" w:eastAsia="Times New Roman" w:hAnsi="Arial" w:cs="Arial"/>
          <w:color w:val="000000"/>
          <w:lang w:eastAsia="es-CO"/>
        </w:rPr>
        <w:t xml:space="preserve"> así como condiciones conforme a la normativa vigente en materia laboral y de salud ocupacional. </w:t>
      </w:r>
    </w:p>
    <w:p w14:paraId="558E52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FE40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Los lixiviados almacenados en el vehículo que se originen durante la recolección y transporte de los residuos sólidos ordinarios serán depositados en el sitio de disposición final para su respectivo tratamiento. </w:t>
      </w:r>
    </w:p>
    <w:p w14:paraId="67FA5A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8130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la recolección sea manual, el proceso de recolección deberá cumplir con lo dispuesto en las normas sobre seguridad industrial. </w:t>
      </w:r>
    </w:p>
    <w:p w14:paraId="5B19AD66" w14:textId="7ED4F79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2" w:name="ver_30075272"/>
      <w:bookmarkEnd w:id="1672"/>
    </w:p>
    <w:p w14:paraId="031E06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2.3.2.2.2.3.28. Sistemas de recolección. La recolección de residuos debe realizarse a partir de su presentación en la acera, unidades de almacenamiento o cajas de almacenamiento. Cuando existan, restricciones de acceso para los vehículos recolectores, el prestador, previa evaluación técnica, podrá realizar la recolección utilizando cajas de almacenamiento, o cualquier sistema alternativo que garantice su recolección. </w:t>
      </w:r>
    </w:p>
    <w:p w14:paraId="7370620E" w14:textId="619390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3" w:name="ver_30075273"/>
      <w:bookmarkEnd w:id="1673"/>
    </w:p>
    <w:p w14:paraId="396EA8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2.3.2.2.2.3.29. Recolección en zonas suburbanas, rurales y centros poblados rurales. Para la prestación del servicio de recolección en las zonas suburbanas, rurales y centros poblados rurales se contemplarán las siguientes condiciones: </w:t>
      </w:r>
    </w:p>
    <w:p w14:paraId="655161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1775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Existencia de vías adecuadas, de tal manera que se pueda hacer la recolección domiciliaria a lo largo de estas o al menos en sitios de almacenamiento colectivo previamente convenidos con la comunidad. </w:t>
      </w:r>
    </w:p>
    <w:p w14:paraId="64F6FF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C283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los sitios de almacenamiento colectivo debe haber condiciones de maniobrabilidad para los vehículos recolectores y de fácil acceso para los usuarios. </w:t>
      </w:r>
    </w:p>
    <w:p w14:paraId="2B4AD4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C2BE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ubicación del sitio para el almacenamiento colectivo no debe causar molestias e impactos a la comunidad vecina. </w:t>
      </w:r>
    </w:p>
    <w:p w14:paraId="7A2224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DA07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Disponer de cajas de almacenamiento adecuadas y suficientes para iniciar allí la presentación y almacenamiento de los residuos sólidos, aprovechables y no aprovechables, por parte de la comunidad de acuerdo con la frecuencia de recolección. La frecuencia, día y hora de recolección debe ser de obligatorio cumplimiento por parte de la persona prestadora del servicio público de aseo con el fin de evitar la acumulación de residuos sólidos en estos sitios. </w:t>
      </w:r>
    </w:p>
    <w:p w14:paraId="11A96B2B" w14:textId="5352267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4" w:name="ver_30075274"/>
      <w:bookmarkEnd w:id="1674"/>
    </w:p>
    <w:p w14:paraId="2B810D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2.3.2.2.2.3.30. Establecimiento de </w:t>
      </w:r>
      <w:proofErr w:type="spellStart"/>
      <w:r w:rsidRPr="009342F9">
        <w:rPr>
          <w:rFonts w:ascii="Arial" w:eastAsia="Times New Roman" w:hAnsi="Arial" w:cs="Arial"/>
          <w:color w:val="000000"/>
          <w:lang w:eastAsia="es-CO"/>
        </w:rPr>
        <w:t>macrorrutas</w:t>
      </w:r>
      <w:proofErr w:type="spellEnd"/>
      <w:r w:rsidRPr="009342F9">
        <w:rPr>
          <w:rFonts w:ascii="Arial" w:eastAsia="Times New Roman" w:hAnsi="Arial" w:cs="Arial"/>
          <w:color w:val="000000"/>
          <w:lang w:eastAsia="es-CO"/>
        </w:rPr>
        <w:t xml:space="preserve"> y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Las personas prestadoras del servicio público de aseo deberán establecer las </w:t>
      </w:r>
      <w:proofErr w:type="spellStart"/>
      <w:r w:rsidRPr="009342F9">
        <w:rPr>
          <w:rFonts w:ascii="Arial" w:eastAsia="Times New Roman" w:hAnsi="Arial" w:cs="Arial"/>
          <w:color w:val="000000"/>
          <w:lang w:eastAsia="es-CO"/>
        </w:rPr>
        <w:t>macrorrutas</w:t>
      </w:r>
      <w:proofErr w:type="spellEnd"/>
      <w:r w:rsidRPr="009342F9">
        <w:rPr>
          <w:rFonts w:ascii="Arial" w:eastAsia="Times New Roman" w:hAnsi="Arial" w:cs="Arial"/>
          <w:color w:val="000000"/>
          <w:lang w:eastAsia="es-CO"/>
        </w:rPr>
        <w:t xml:space="preserve"> y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que deben seguir cada uno de los vehículos recolectores en la prestación del servicio, de acuerdo con las necesidades y cumpliendo con las normas de tránsito. Estas rutas deberán diseñarse atendiendo a la eficiencia en la asignación de recursos físicos y humanos. </w:t>
      </w:r>
    </w:p>
    <w:p w14:paraId="10E2D5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1646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diseño de </w:t>
      </w:r>
      <w:proofErr w:type="spellStart"/>
      <w:r w:rsidRPr="009342F9">
        <w:rPr>
          <w:rFonts w:ascii="Arial" w:eastAsia="Times New Roman" w:hAnsi="Arial" w:cs="Arial"/>
          <w:color w:val="000000"/>
          <w:lang w:eastAsia="es-CO"/>
        </w:rPr>
        <w:t>macrorrutas</w:t>
      </w:r>
      <w:proofErr w:type="spellEnd"/>
      <w:r w:rsidRPr="009342F9">
        <w:rPr>
          <w:rFonts w:ascii="Arial" w:eastAsia="Times New Roman" w:hAnsi="Arial" w:cs="Arial"/>
          <w:color w:val="000000"/>
          <w:lang w:eastAsia="es-CO"/>
        </w:rPr>
        <w:t xml:space="preserve"> y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deberá tenerse en cuenta, entre otros aspectos, los siguientes: </w:t>
      </w:r>
    </w:p>
    <w:p w14:paraId="1692C0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F481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Tipo de vías existentes (principales y secundarias, con separadores, estado de la vía) en los municipios y de alto tráfico vehicular y peatonal. </w:t>
      </w:r>
    </w:p>
    <w:p w14:paraId="3D22BB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8C9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Uso del suelo (residencial, comercial, industrial, etc.). </w:t>
      </w:r>
    </w:p>
    <w:p w14:paraId="43B1F6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3D0D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Ubicación de hospitales, clínicas y entidades similares de atención a la salud, así como entidades asistenciales. </w:t>
      </w:r>
    </w:p>
    <w:p w14:paraId="4A45B2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D52F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Recolección en zonas industriales. </w:t>
      </w:r>
    </w:p>
    <w:p w14:paraId="0394B5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05F1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Zonas de difícil acceso. </w:t>
      </w:r>
    </w:p>
    <w:p w14:paraId="2E0B27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F387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Tipo de usuario o generador. </w:t>
      </w:r>
    </w:p>
    <w:p w14:paraId="25AB38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911A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Ubicación de áreas públicas como plazas, parques o similares. </w:t>
      </w:r>
    </w:p>
    <w:p w14:paraId="3DAF45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0456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Presencia de barreras geográficas naturales o artificiales. </w:t>
      </w:r>
    </w:p>
    <w:p w14:paraId="296FA2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ADD9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Tipo de residuos según sean aprovechables o no aprovechables. </w:t>
      </w:r>
    </w:p>
    <w:p w14:paraId="21B64E5C" w14:textId="7E40ACF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5" w:name="ver_30075275"/>
      <w:bookmarkEnd w:id="1675"/>
    </w:p>
    <w:p w14:paraId="69E8D1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2.3.2.2.2.3.31. Horarios de recolección. La persona prestadora del servicio público de aseo determinará el horario de la recolección de los residuos sólidos teniendo en cuenta la cantidad de residuos generados, las características de cada zona, la jornada de trabajo, el clima, la capacidad de los equipos, las dificultades generadas por el tráfico vehicular o peatonal y cualquier otro elemento que pueda tener influencia en la prestación del servicio. </w:t>
      </w:r>
    </w:p>
    <w:p w14:paraId="23AA96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5604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la recolección se efectúe entre las 21:00 horas y las 06:00 horas del día siguiente en zonas residenciales, hoteles, hospitales, clínicas y demás centros asistenciales deberán tomarse medidas especiales para mitigar el ruido en la recolección y la compactación. </w:t>
      </w:r>
    </w:p>
    <w:p w14:paraId="5985D62E" w14:textId="69C97E0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6" w:name="ver_30075276"/>
      <w:bookmarkEnd w:id="1676"/>
    </w:p>
    <w:p w14:paraId="7E767C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2.3.2.2.2.3.32. Frecuencias de recolección. La frecuencia de recolección dependerá de la naturaleza y cantidad de generación de residuos, de los programas de aprovechamiento de la zona, cuando haya lugar a ello, y características del clima, entre otros. En el caso de servicios a grandes generadores, la frecuencia dependerá de las cantidades y características de la producción. </w:t>
      </w:r>
    </w:p>
    <w:p w14:paraId="22A63E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A9EB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frecuencia mínima de recolección y transporte de residuos no aprovechables será de dos (2) veces por semana. </w:t>
      </w:r>
    </w:p>
    <w:p w14:paraId="1BC060FB" w14:textId="77296B3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7" w:name="ver_30075277"/>
      <w:bookmarkEnd w:id="1677"/>
    </w:p>
    <w:p w14:paraId="3E5542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2.3.2.2.2.3.33. Divulgación de frecuencias, rutas y horarios. La recolección se efectuará según horarios y frecuencias en las </w:t>
      </w:r>
      <w:proofErr w:type="spellStart"/>
      <w:r w:rsidRPr="009342F9">
        <w:rPr>
          <w:rFonts w:ascii="Arial" w:eastAsia="Times New Roman" w:hAnsi="Arial" w:cs="Arial"/>
          <w:color w:val="000000"/>
          <w:lang w:eastAsia="es-CO"/>
        </w:rPr>
        <w:t>macrorrutas</w:t>
      </w:r>
      <w:proofErr w:type="spellEnd"/>
      <w:r w:rsidRPr="009342F9">
        <w:rPr>
          <w:rFonts w:ascii="Arial" w:eastAsia="Times New Roman" w:hAnsi="Arial" w:cs="Arial"/>
          <w:color w:val="000000"/>
          <w:lang w:eastAsia="es-CO"/>
        </w:rPr>
        <w:t xml:space="preserve"> y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establecidas previamente en el programa de prestación del servicio, las cuales deberán darse a conocer a los usuarios, utilizando medios masivos de difusión de amplia circulación local. En las facturas de cobro del servicio público de aseo, deberá informarse las frecuencias de las diferentes actividades de recolección del servicio. </w:t>
      </w:r>
    </w:p>
    <w:p w14:paraId="67F5F5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D873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prestador del servicio deberá publicar en la página web las rutas y horarios de prestación de las diferentes actividades de recolección del servicio. </w:t>
      </w:r>
    </w:p>
    <w:p w14:paraId="1F4BE2A3" w14:textId="0DA3D4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8" w:name="ver_30075278"/>
      <w:bookmarkEnd w:id="1678"/>
    </w:p>
    <w:p w14:paraId="3D423E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2.3.2.2.2.3.34. Cumplimiento de las rutas. Las rutas y horarios deberán ser cumplidas por las personas prestadoras del servicio público de aseo de conformidad con los contratos de prestación del servicio público de aseo. Todo cambio en las rutas, horarios o frecuencias deberá ser comunicado con tres (3) días de anterioridad a los usuarios afectados, salvo caso fortuito o de fuerza mayor, utilizando medios masivos de difusión de amplia circulación local y página web cuando se disponga de ella. En caso de presentarse averías en un vehículo del servicio, deberá enviar el auxilio mecánico o remplazarlo con el equipo de suplencia de conformidad con lo establecido en este capítulo, restableciendo el servicio en un término máximo de tres (3) horas a partir del momento en que se presente la avería. Sólo podrá suspenderse el servicio por motivos de fuerza mayor o caso fortuito, debidamente comprobados. </w:t>
      </w:r>
    </w:p>
    <w:p w14:paraId="316223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F8FD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eventos de fuerza mayor o caso fortuito, en que sea imposible la prestación del servicio, la persona prestadora del servicio público de aseo deberá implementar las medidas para restablecer el servicio en el menor tiempo posible. </w:t>
      </w:r>
    </w:p>
    <w:p w14:paraId="300D5831" w14:textId="51E5117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79" w:name="ver_30075279"/>
      <w:bookmarkEnd w:id="1679"/>
    </w:p>
    <w:p w14:paraId="0AFD1B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2.3.2.2.2.3.35. Normas sobre recolección a partir de cajas de almacenamiento. La recolección mediante cajas de almacenamiento se sujetará, entre otras, a las siguientes condiciones: </w:t>
      </w:r>
    </w:p>
    <w:p w14:paraId="2B0B63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E4E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 empleará para aquellos usuarios que individual o colectivamente generen residuos en cantidad suficiente que justifique su utilización a juicio de la persona prestadora del servicio público de aseo. </w:t>
      </w:r>
    </w:p>
    <w:p w14:paraId="5E9704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A2C2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Se utilizarán también cajas de almacenamiento en aquellas áreas en las cuales no existan unidades de almacenamiento o infraestructura vial, o la existente resulte insuficiente para permitir el ingreso de los vehículos de recolección. En tales casos, la persona prestadora del servicio público de aseo coordinará con los usuarios o la comunidad el traslado de los residuos hasta las cajas de almacenamiento. </w:t>
      </w:r>
    </w:p>
    <w:p w14:paraId="1915C3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053B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Las cajas de almacenamiento deberán ser compatibles con los vehículos destinados a este tipo de recolección. </w:t>
      </w:r>
    </w:p>
    <w:p w14:paraId="2ACC82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BBFB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En áreas públicas, la persona prestadora del servicio público de aseo deberá determinar la conveniencia de ubicar las cajas de almacenamiento en un sitio específico, para la recolección de los residuos, con el fin de evitar que se generen puntos críticos. </w:t>
      </w:r>
    </w:p>
    <w:p w14:paraId="00A7AE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DD49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Las cajas de almacenamiento localizadas en áreas públicas deberán mantenerse en un adecuado estado de presentación, limpieza e higiene por parte de la persona prestadora del servicio público de aseo. </w:t>
      </w:r>
    </w:p>
    <w:p w14:paraId="475BB580" w14:textId="4EE2CA4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0" w:name="ver_30075280"/>
      <w:bookmarkEnd w:id="1680"/>
    </w:p>
    <w:p w14:paraId="244EDB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2.3.2.2.2.3.36. Características de los vehículos de recolección y transporte de residuos sólidos. Los vehículos para la prestación del servicio de aseo, empleados en las actividades de recolección y transporte de residuos con destino a disposición final, deberán tener, entre otras, las siguientes características: </w:t>
      </w:r>
    </w:p>
    <w:p w14:paraId="0040C1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4222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vehículos recolectores deberán ser motorizados, y estar claramente identificados (color, logotipos, placa de identificación, entre otras características). </w:t>
      </w:r>
    </w:p>
    <w:p w14:paraId="374352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D2A6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los municipios o distritos con más de 5.000 usuarios en el servicio público de aseo, deberán estar provistos de equipo de comunicaciones. </w:t>
      </w:r>
    </w:p>
    <w:p w14:paraId="2850DF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91F1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En los distritos o municipios con más de 5.000 usuarios en el servicio público de aseo, deberán contar con equipos de compactación de residuos. Se exceptúan aquellos que se destinen a la recolección de residuos separados con destino al aprovechamiento, manejo de residuos de construcción y demolición y otros residuos que no sean susceptibles de ser compactados. </w:t>
      </w:r>
    </w:p>
    <w:p w14:paraId="16F6CF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70C2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La salida del tubo de escape debe estar hacia arriba y por encima de su altura máxima. Se deberá cumplir con las demás normas vigentes para emisiones atmosféricas y ajustarse a los requerimientos de tránsito. </w:t>
      </w:r>
    </w:p>
    <w:p w14:paraId="21E12C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6D03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Los vehículos con caja compactadora deberán tener un sistema de compactación que pueda ser detenido en caso de emergencia. </w:t>
      </w:r>
    </w:p>
    <w:p w14:paraId="2F31DF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5091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Las cajas compactadoras de los vehículos destinados a la recolección y transporte de los residuos sólidos con destino a disposición final, deberán ser de tipo de compactación cerrada, de manera que impidan la pérdida del líquido (lixiviado), y contar con un mecanismo automático que permita una rápida acción de descarga. </w:t>
      </w:r>
    </w:p>
    <w:p w14:paraId="58F141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616F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Los equipos destinados a la recolección deberán tener estribos con superficies antideslizantes, y manijas adecuadas para sujetarse de tal forma que el personal pueda transportarse momentáneamente en forma segura. </w:t>
      </w:r>
    </w:p>
    <w:p w14:paraId="4704F1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B725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Los equipos deberán posibilitar el cargue y el descargue de los residuos sólidos almacenados de forma tal que evite la dispersión de estos y la emisión de partículas. </w:t>
      </w:r>
    </w:p>
    <w:p w14:paraId="442962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A36A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Deberán estar diseñados de tal forma que no se permita el esparcimiento de los residuos sólidos durante el recorrido. </w:t>
      </w:r>
    </w:p>
    <w:p w14:paraId="52492C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3C61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En los vehículos que no utilicen caja compactadora, los residuos sólidos deberán estar cubiertos durante el transporte, de manera que se reduzca el contacto con la lluvia, el viento y se evite el esparcimiento e impacto visual. Así mismo, deberán estar provistos de mecanismos que eviten la pérdida del líquido (lixiviado). </w:t>
      </w:r>
    </w:p>
    <w:p w14:paraId="1378FF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E23D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En los vehículos destinados a la recolección a partir de cajas de almacenamiento, deberán contar con un sistema adecuado para levantarlas y descargar su contenido en el vehículo recolector. </w:t>
      </w:r>
    </w:p>
    <w:p w14:paraId="396FCD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24C3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Las especificaciones de los vehículos deberán corresponder a la capacidad y dimensión de las vías públicas. </w:t>
      </w:r>
    </w:p>
    <w:p w14:paraId="4A6D7B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1611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Deberán cumplir con las especificaciones técnicas existentes para no afectar la salud ocupacional de los conductores y operarios. </w:t>
      </w:r>
    </w:p>
    <w:p w14:paraId="1AABAB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F195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Deberán estar dotados con equipos de carretera y de atención de incendios. </w:t>
      </w:r>
    </w:p>
    <w:p w14:paraId="3D06D6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5FB4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Deberán estar dotados de dispositivos que minimicen el ruido, especialmente aquellos utilizados en la recolección de residuos sólidos en zonas residenciales y en las vecindades de hoteles, hospitales, clínicas, centros educativos, centros asistenciales e instituciones similares. </w:t>
      </w:r>
    </w:p>
    <w:p w14:paraId="548E48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87FE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16. Estarán dotados de elementos complementarios tales como cepillos, escobas y palas para efectuar la limpieza de la vía pública en los casos de dispersión de residuos durante la operación de recolección, de forma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una vez realizada la recolección, no queden residuos diseminados en la vía pública. </w:t>
      </w:r>
    </w:p>
    <w:p w14:paraId="0944F2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05CE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Deberán estar dotados de balizas o luces de tipo estroboscópico, ubicadas una sobre la cabina y otra en la parte posterior de la caja de compactación, así como de luces en la zona de la tolva. Para los vehículos recolectores sin compactación las luces deberán estar ubicadas sobre la cabina. </w:t>
      </w:r>
    </w:p>
    <w:p w14:paraId="3AC1D5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1B1B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prestadores que por condiciones de capacidad, acceso o condiciones topográficas no puedan utilizar vehículos con las características señaladas en este artículo deberán informarlo y sustentarlo ante la SSPD y esta entidad determinará la existencia de tales condiciones para permitir que se emplee otro tipo de vehículos. </w:t>
      </w:r>
    </w:p>
    <w:p w14:paraId="23B49420" w14:textId="6D29A69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1" w:name="ver_30075281"/>
      <w:bookmarkEnd w:id="1681"/>
    </w:p>
    <w:p w14:paraId="61A359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2.3.2.2.2.3.37. Condiciones de equipos y accesorios para recolección y transporte de residuos sólidos. Los equipos, accesorios y ayudas de que estén dotados los vehículos destinados para transporte de residuos sólidos, deberán mantenerse siempre en óptimas condiciones de funcionamiento para la prestación del servicio y contar con los registros que evidencien el seguimiento a las condiciones de operación de los equipos y accesorios. </w:t>
      </w:r>
    </w:p>
    <w:p w14:paraId="76E61061" w14:textId="727D02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0F3E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2.3.2.2.2.3.38. Lavado de los vehículos y equipos de recolección y transporte. Los vehículos de recolección y transporte de residuos sólidos deberán lavarse al final de la jornada diaria. El lavado debe realizarse en sitios diseñados para tal fin y no puede efectuarse en áreas públicas ni en fuentes o cuerpos de agua. </w:t>
      </w:r>
    </w:p>
    <w:p w14:paraId="67D25EE1" w14:textId="31F332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2" w:name="ver_30075283"/>
      <w:bookmarkEnd w:id="1682"/>
    </w:p>
    <w:p w14:paraId="0C8EDB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2.3.2.2.2.3.39. Trasbordo en la actividad de recolección. Cuando existan restricciones para el ingreso de los vehículos recolectores en zonas de difícil acceso, el prestador del servicio de aseo podrá utilizar vehículos con características distintas a las generales establecidas en este decreto para la recolección y posterior trasbordo al vehículo recolector asignado a la respectiva </w:t>
      </w:r>
      <w:proofErr w:type="spellStart"/>
      <w:r w:rsidRPr="009342F9">
        <w:rPr>
          <w:rFonts w:ascii="Arial" w:eastAsia="Times New Roman" w:hAnsi="Arial" w:cs="Arial"/>
          <w:color w:val="000000"/>
          <w:lang w:eastAsia="es-CO"/>
        </w:rPr>
        <w:t>microrruta</w:t>
      </w:r>
      <w:proofErr w:type="spellEnd"/>
      <w:r w:rsidRPr="009342F9">
        <w:rPr>
          <w:rFonts w:ascii="Arial" w:eastAsia="Times New Roman" w:hAnsi="Arial" w:cs="Arial"/>
          <w:color w:val="000000"/>
          <w:lang w:eastAsia="es-CO"/>
        </w:rPr>
        <w:t>. </w:t>
      </w:r>
    </w:p>
    <w:p w14:paraId="5F9A7B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83FA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actividad de trasbordo se deberá evitar las afectaciones sanitarias por derrame y esparcimiento de residuos sólidos y líquidos. Los vehículos utilizados deberán cumplir con las normas de tránsito establecidas por la autoridad competente. </w:t>
      </w:r>
    </w:p>
    <w:p w14:paraId="163EB4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8D97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sitios de trasbordo de residuos estarán ubicados en zonas donde no se genere afectación sobre la comunidad y su entorno; teniendo en cuenta la clasificación por sectores para los estándares máximos establecidos en las normas vigentes. </w:t>
      </w:r>
    </w:p>
    <w:p w14:paraId="19079D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3400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trasbordos deben hacerse en zonas alejadas de hospitales, bibliotecas, hogares geriátricos, guarderías, zonas residenciales o exclusivamente destinadas para desarrollo habitacional, hotelería y hospedajes. </w:t>
      </w:r>
    </w:p>
    <w:p w14:paraId="6A0E31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815A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Al hacer el trasbordo, el compactador debe accionarse solo cuando sea estrictamente necesario, minimizando así la generación de ruido, igualmente se debe garantizar un acople funcional y operativo para evitar los efectos que se pudieren generar. </w:t>
      </w:r>
    </w:p>
    <w:p w14:paraId="267006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C90B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trasbordo de los residuos deberá hacerse directamente de un vehículo a otro, evitando que en la operación sean arrojados al suelo. El trasbordo solo se podrá hacer desde vehículos cuya capacidad máxima sea de 750 kilógramos. </w:t>
      </w:r>
    </w:p>
    <w:p w14:paraId="00C3BA1B" w14:textId="58C3CB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3" w:name="ver_30075284"/>
      <w:bookmarkEnd w:id="1683"/>
    </w:p>
    <w:p w14:paraId="6FC753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2.3.2.2.2.3.40. Recolección de residuos acumulados por el barrido manual de calles. La recolección y el transporte de los residuos sólidos provenientes del barrido manual de calles deben efectuarse por la persona prestadora del servicio de público de aseo en su área de prestación del servicio. Los residuos de barrido no podrán permanecer en las calles por más de ocho (8) horas una vez se hace la presentación para transportarlos. </w:t>
      </w:r>
    </w:p>
    <w:p w14:paraId="4CD6AB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554BC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84" w:name="ver_30075285"/>
      <w:bookmarkEnd w:id="1684"/>
      <w:r w:rsidRPr="009342F9">
        <w:rPr>
          <w:rFonts w:ascii="Arial" w:eastAsia="Times New Roman" w:hAnsi="Arial" w:cs="Arial"/>
          <w:color w:val="000000"/>
          <w:lang w:eastAsia="es-CO"/>
        </w:rPr>
        <w:t>Artículo 2.3.2.2.2.3.41. Recolección de residuos de poda de árboles y corte de césped. La recolección y transporte de los residuos sólidos originados por poda de árboles o arbustos, y corte del césped en áreas públicas, deberá realizarse por una persona prestadora del servicio público de aseo. En lo posible estos residuos deben destinarse a procesos de aprovechamiento. </w:t>
      </w:r>
    </w:p>
    <w:p w14:paraId="684962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48DB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operativos para la recolección de los árboles caídos en espacio público por situaciones de emergencia serán de responsabilidad de la entidad territorial, quien podrá contratar con la empresa prestadora del servicio público de aseo su recolección y disposición final. La entidad territorial deberá tomar las medidas para garantizar el retiro de estos residuos dentro de las ocho (8) horas siguientes de presentado el suceso con el propósito de preservar y mantener limpia el área. </w:t>
      </w:r>
    </w:p>
    <w:p w14:paraId="640FC0CA" w14:textId="4BF6DCE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5" w:name="ver_30075529"/>
      <w:bookmarkEnd w:id="1685"/>
    </w:p>
    <w:p w14:paraId="4B63E5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2.3.2.2.2.3.42. Recolección en plazas de mercado, mataderos y cementerios. Para la recolección de los residuos ordinarios generados en las plazas de mercado, mataderos y cementerios del municipio o distrito, se utilizarán cajas de almacenamiento ubicadas estratégicamente, tanto para residuos aprovechables como no aprovechables. </w:t>
      </w:r>
    </w:p>
    <w:p w14:paraId="527453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C74C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recolección de los residuos sólidos en estos lugares estará a cargo de las personas prestadoras del servicio de aseo y se debe efectuar en horarios que no interfieran el adecuado flujo vehicular y peatonal de la zona ni el desarrollo normal de las actividades de estos establecimientos. </w:t>
      </w:r>
    </w:p>
    <w:p w14:paraId="15A4788B" w14:textId="5E3AD6F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6" w:name="ver_30075530"/>
      <w:bookmarkEnd w:id="1686"/>
    </w:p>
    <w:p w14:paraId="61B132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2.3.2.2.2.3.43. Recolección de animales muertos. Para la recolección de animales muertos de especies menores, que no excedan los 50 kg, abandonados en las vías y áreas públicas, la persona prestadora del servicio público de aseo efectuará el retiro en el transcurso de las seis (6) horas siguientes a la recepción de la solicitud, la cual puede ser presentada por cualquier ciudadano, para ser trasladados al sitio donde le indique la entidad territorial, en cumplimiento de las normas vigentes para el manejo y disposición final de este tipo de residuos. El pago de este servicio de recolección y transporte, así como de disposición final estará a cargo de la entidad territorial. </w:t>
      </w:r>
    </w:p>
    <w:p w14:paraId="65ED45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F11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recolección de animales muertos que excedan los 50 kg, abandonados en las vías y áreas públicas, es responsabilidad de la entidad territorial. </w:t>
      </w:r>
    </w:p>
    <w:p w14:paraId="79203B51" w14:textId="58D1B69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7" w:name="ver_30075531"/>
      <w:bookmarkEnd w:id="1687"/>
    </w:p>
    <w:p w14:paraId="64909D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2.3.2.2.2.3.44. Recolección de residuos de construcción y demolición. La responsabilidad por el manejo y disposición de los residuos de construcción y demolición serán del generador, con sujeción a las normas que regulen la materia. </w:t>
      </w:r>
    </w:p>
    <w:p w14:paraId="1B0528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FC75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municipio o distrito deberá coordinar con las personas prestadoras del servicio público de aseo o con terceros la ejecución de estas actividades y pactar libremente su remuneración para garantizar la recolección, transporte y disposición final adecuados. No obstante, la entidad territorial deberá tomar acciones para la eliminación de los sitios de arrojo clandestinos de residuos de construcción y demolición en vías, andenes, separadores y áreas públicas según sus características. </w:t>
      </w:r>
    </w:p>
    <w:p w14:paraId="033E49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854C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del servicio público de aseo podrá prestar este servicio, y deberá hacerlo de acuerdo con las disposiciones vigentes. En cualquier caso, la recolección, transporte y disposición final de residuos de construcción y demolición deberá efectuarse en forma separada del resto de residuos. </w:t>
      </w:r>
    </w:p>
    <w:p w14:paraId="1FDBFB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481B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prestador del servicio público de aseo será responsable de la recolección de residuos de construcción y demolición residenciales cuando se haya realizado la solicitud respectiva por parte del usuario y la aceptación por parte del prestador. En tales casos, el plazo para prestar el servicio solicitado no podrá superar cinco (5) días hábiles. </w:t>
      </w:r>
    </w:p>
    <w:p w14:paraId="0B7C1BCC" w14:textId="17A3C9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8" w:name="ver_30075532"/>
      <w:bookmarkEnd w:id="1688"/>
    </w:p>
    <w:p w14:paraId="33431F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2.3.2.2.2.3.45. Censo de puntos críticos. Las personas prestadoras del servicio público de aseo en las actividades de recolección y transporte en su área de </w:t>
      </w:r>
      <w:proofErr w:type="gramStart"/>
      <w:r w:rsidRPr="009342F9">
        <w:rPr>
          <w:rFonts w:ascii="Arial" w:eastAsia="Times New Roman" w:hAnsi="Arial" w:cs="Arial"/>
          <w:color w:val="000000"/>
          <w:lang w:eastAsia="es-CO"/>
        </w:rPr>
        <w:t>prestación,</w:t>
      </w:r>
      <w:proofErr w:type="gramEnd"/>
      <w:r w:rsidRPr="009342F9">
        <w:rPr>
          <w:rFonts w:ascii="Arial" w:eastAsia="Times New Roman" w:hAnsi="Arial" w:cs="Arial"/>
          <w:color w:val="000000"/>
          <w:lang w:eastAsia="es-CO"/>
        </w:rPr>
        <w:t xml:space="preserve"> harán censos de puntos críticos, realizarán operativos de limpieza y remitirán la información a la entidad territorial y la autoridad de policía para efectos de lo previsto en la normatividad vigente. </w:t>
      </w:r>
    </w:p>
    <w:p w14:paraId="31201D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0B42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municipio o distrito deberá coordinar con las personas prestadoras del servicio público de aseo o con terceros la ejecución de estas actividades y pactar libremente la remuneración. </w:t>
      </w:r>
    </w:p>
    <w:p w14:paraId="3C40971F" w14:textId="197C7D5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89" w:name="ver_30075533"/>
      <w:bookmarkEnd w:id="1689"/>
    </w:p>
    <w:p w14:paraId="14F241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2.3.2.2.2.3.46. Almacenamiento y recolección de residuos generados en eventos y espectáculos masivos. El almacenamiento y presentación de residuos generados con ocasión de eventos y espectáculos masivos, en recintos cerrados o en áreas públicas es responsabilidad del organizador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quien deberá contratar el servicio de aseo con una persona prestadora del servicio público de aseo. </w:t>
      </w:r>
    </w:p>
    <w:p w14:paraId="2CCB73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173B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costo del servicio que preste la persona prestadora al organizador del evento será pactado libremente entre las partes, así como su forma de pago. </w:t>
      </w:r>
    </w:p>
    <w:p w14:paraId="5A40DB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3D3A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deberán separar los residuos sólidos aprovechables de los no aprovechables para lo cual el organizador del evento deberá proveer los recipientes necesarios y garantizar su transporte. </w:t>
      </w:r>
    </w:p>
    <w:p w14:paraId="3199B5AF" w14:textId="50A554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90" w:name="ver_30075534"/>
      <w:bookmarkEnd w:id="1690"/>
    </w:p>
    <w:p w14:paraId="70DBD6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2.3.2.2.2.3.47. Almacenamiento y recolección de residuos generados en puntos de ventas en áreas públicas. Los vendedores estacionarios localizados en áreas públicas, debidamente autorizados, deberán mantener limpios los alrededores de sus puestos de ventas, tener recipientes accesibles al público para el almacenamiento de los residuos generados en su actividad y presentarlos para su recolección a la persona prestadora del servicio público de aseo. El control y vigilancia de estas obligaciones estará a cargo de las autoridades de policía. Los vendedores estacionarios serán considerados suscriptores no residenciales. </w:t>
      </w:r>
    </w:p>
    <w:p w14:paraId="43EBD891" w14:textId="191006D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91" w:name="ver_30075535"/>
      <w:bookmarkEnd w:id="1691"/>
    </w:p>
    <w:p w14:paraId="49DFF9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2.3.2.2.2.3.48. Responsabilidad por los residuos sólidos generados en el cargue y descargue de mercancías y materiales. Los responsables de cargue, descargue y transporte de mercancías o materiales, deberán recoger los residuos sólidos originados por esas actividades y entregarlos a la persona prestadora del servicio público de aseo. El control y vigilancia de esta obligación estará a cargo de las autoridades de policía. </w:t>
      </w:r>
    </w:p>
    <w:p w14:paraId="2032E7E5" w14:textId="6F887E6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92" w:name="ver_30075536"/>
      <w:bookmarkEnd w:id="1692"/>
    </w:p>
    <w:p w14:paraId="5BF6FE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2.3.2.2.2.3.49. Monitoreo de la actividad de recolección de residuos sólidos. Las personas prestadoras del servicio público de aseo que atiendan en ciudades de más de un millón de habitantes deberán implementar sistemas de monitoreo, tales como: </w:t>
      </w:r>
    </w:p>
    <w:p w14:paraId="2D9FAA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595A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Georreferenciación de las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de recolección y transporte. </w:t>
      </w:r>
    </w:p>
    <w:p w14:paraId="3BFE6B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6765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Posición geográfica de los vehículos (GPS). </w:t>
      </w:r>
    </w:p>
    <w:p w14:paraId="5BB0BB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0B7F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Monitoreo de tiempos y movimientos de los vehículos recolectores. </w:t>
      </w:r>
    </w:p>
    <w:p w14:paraId="66BED42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93" w:name="ver_30075537"/>
      <w:bookmarkEnd w:id="1693"/>
    </w:p>
    <w:p w14:paraId="41DDD6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2.3.2.2.2.3.50. Características de las bases de operación. Las personas prestadoras del servicio público de aseo que presten el servicio en municipio o distritos mayores de 5.000 usuarios deberán tener base de operación, las cuales deberán ubicarse de acuerdo con lo definido en las normas de ordenamiento territorial y cumplir con las siguientes características: </w:t>
      </w:r>
    </w:p>
    <w:p w14:paraId="767044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0BCB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Contar con áreas adecuadas para el parqueo y maniobra de los vehículos, depósito de insumos para la prestación de servicio, zona de control de operaciones, vestidores e instalaciones sanitarias para el personal, y oficinas administrativas. </w:t>
      </w:r>
    </w:p>
    <w:p w14:paraId="7B8810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FD54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Contar con los servicios públicos. </w:t>
      </w:r>
    </w:p>
    <w:p w14:paraId="6AADB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9240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Contar con una adecuada señalización en las diferentes áreas, así como de los sentidos de circulación. </w:t>
      </w:r>
    </w:p>
    <w:p w14:paraId="76CCD9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C6CC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Contar con señales y equipo de seguridad para la prevención de accidentes, que permitan la inmediata y oportuna atención cuando se produzcan situaciones de emergencia. </w:t>
      </w:r>
    </w:p>
    <w:p w14:paraId="048F46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A28B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Contar con equipos de control de incendios. </w:t>
      </w:r>
    </w:p>
    <w:p w14:paraId="01BCA4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F305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Contar con equipos de comunicación entre la base y los equipos de recolección. </w:t>
      </w:r>
    </w:p>
    <w:p w14:paraId="523621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A467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las bases de operación no se podrán almacenar residuos sólidos provenientes de las actividades de recolección y transporte. </w:t>
      </w:r>
    </w:p>
    <w:p w14:paraId="1B20F9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05C8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personas prestadoras de la actividad de aprovechamiento que requieran menos de tres (3) vehículos para la prestación del servicio no están obligadas a contar con base de operaciones. </w:t>
      </w:r>
    </w:p>
    <w:p w14:paraId="35019B9D" w14:textId="4A5BF0D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BB96C7"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694" w:name="ver_30075719"/>
      <w:bookmarkEnd w:id="1694"/>
      <w:r w:rsidRPr="009342F9">
        <w:rPr>
          <w:rFonts w:ascii="Arial" w:eastAsia="Times New Roman" w:hAnsi="Arial" w:cs="Arial"/>
          <w:b/>
          <w:bCs/>
          <w:color w:val="000000"/>
          <w:lang w:eastAsia="es-CO"/>
        </w:rPr>
        <w:t>SUBSECCIÓN 4</w:t>
      </w:r>
    </w:p>
    <w:p w14:paraId="4C94015F"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BARRIDO Y LIMPIEZA DE ÁREAS PÚBLICAS</w:t>
      </w:r>
    </w:p>
    <w:p w14:paraId="6505726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695" w:name="ver_30075720"/>
      <w:bookmarkEnd w:id="1695"/>
    </w:p>
    <w:p w14:paraId="1D01B7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2.3.2.2.2.4.51. Responsabilidad en barrido y limpieza de vías y áreas públicas. Las labores de barrido y limpieza de vías y áreas públicas son responsabilidad de la persona prestadora del servicio público de aseo en el área de prestación donde realice las actividades de recolección y transporte. </w:t>
      </w:r>
    </w:p>
    <w:p w14:paraId="65D82F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B4B9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prestación de este componente en todo caso deberá realizarse de acuerdo con la frecuencia y horarios establecidos en el programa para la prestación del servicio público de aseo, y cumpliendo con las exigencias establecidas en el PGIRS del respectivo municipio o distrito. La determinación de los kilómetros a barrer deberá tener en cuenta las frecuencias de barrido. </w:t>
      </w:r>
    </w:p>
    <w:p w14:paraId="7D45C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187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calles no pavimentadas y en áreas donde no sea posible realizar el barrido por sus características físicas, se desarrollarán labores de limpieza manual. </w:t>
      </w:r>
    </w:p>
    <w:p w14:paraId="5CC8AA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3281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de servicio público de aseo deberá adelantar labores de limpieza de vías y áreas públicas para superar situaciones de caso fortuito o fuerza mayor, tales como terremotos, inundaciones, siniestros y catástrofes de cualquier tipo. </w:t>
      </w:r>
    </w:p>
    <w:p w14:paraId="41A7DE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0C6F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caso de producirse accidentes o hechos imprevistos que generen suciedad en la vía pública, dentro del área de prestación, la persona prestadora del servicio público de aseo deberá concurrir para restablecer la condición de limpieza del área. Para tales efectos, la persona prestadora deberá hacer presencia en el sitio dentro de las tres (3) horas siguientes al momento de haber sido avisada para prestar el servicio en el área afectada. </w:t>
      </w:r>
    </w:p>
    <w:p w14:paraId="581FAB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F946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desarrollo de las actividades de barrido de vías y áreas públicas, se prohíbe arrojar residuos hacia las alcantarillas del sistema pluvial y sanitario del municipio y/o distrito. Para el efecto la persona prestadora del servicio público de aseo deberá capacitar a los operarios de barrido para evitar que el producto de esta actividad se disponga en sumideros de alcantarillado pluvial, y de esta forma prevenir su taponamiento. </w:t>
      </w:r>
    </w:p>
    <w:p w14:paraId="6312D3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3679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en un área confluya más de un prestador, estos serán responsables de la actividad de barrido y limpieza en proporción al número de usuarios que cada prestador atienda en dicha área. </w:t>
      </w:r>
    </w:p>
    <w:p w14:paraId="18D85C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720E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Comisión de Regulación de Agua Potable y Saneamiento Básico determinará la metodología de cálculo de los kilómetros a barrer por cada prestador en función del número de usuarios que cada uno atienda en el área de confluencia. </w:t>
      </w:r>
    </w:p>
    <w:p w14:paraId="633EC5CE" w14:textId="1292175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96" w:name="ver_30075721"/>
      <w:bookmarkEnd w:id="1696"/>
    </w:p>
    <w:p w14:paraId="7A374D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2.3.2.2.2.4.52. Acuerdos de barrido y limpieza. Las personas prestadoras deberán suscribir acuerdos de barrido y limpieza en los que se determinen las vías y áreas públicas que cada persona prestadora vaya a atender en el respectivo municipio, sin perjuicio de que en el mismo acuerdo se convenga que solo uno de ellos sea quien atiende la totalidad del área. En los mismos acuerdos se podrá establecer la forma de remunerarse entre los prestadores de las mencionadas actividades. </w:t>
      </w:r>
    </w:p>
    <w:p w14:paraId="36A208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2D99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anterior, so pena que la Superintendencia de Servicios Públicos Domiciliarios imponga las sanciones de que trata el artículo 81 de la Ley 142 de 1994, por incumplimiento del régimen de servicios públicos domiciliarios y falla en la prestación de dichos servicios. </w:t>
      </w:r>
    </w:p>
    <w:p w14:paraId="4D67A7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8879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Estos acuerdos deberán suscribirse dentro de los tres (3) meses siguientes a la vigencia del presente capítulo. </w:t>
      </w:r>
    </w:p>
    <w:p w14:paraId="3AA25A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7AF2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que habiéndose firmado el acuerdo de que trata el presente artículo, ingrese o se retire una determinada persona prestadora dentro del área de confluencia, se deberá revisar y ajustar el acuerdo de barrido celebrado, para lo cual los prestadores tendrán un plazo máximo de tres (3) meses contados a partir del ingreso o retiro del prestador, so pena de la imposición de las sanciones, por parte de la Superintendencia de Servicios Públicos Domiciliarios, en ejercicio de la competencia establecida en el artículo 81 de la Ley 142 de 1994. </w:t>
      </w:r>
    </w:p>
    <w:p w14:paraId="64A7C5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52FC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evento que no se logre un acuerdo entre las personas prestadoras en los términos previstos en el presente artículo, cualquiera de ellas podrá solicitar a la Comisión de Regulación de Agua Potable y Saneamiento Básico la resolución de dicha controversia, en los términos del artículo 73, numeral 73.9, de la Ley 142 de 1994. </w:t>
      </w:r>
    </w:p>
    <w:p w14:paraId="23EE019D" w14:textId="793210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97" w:name="ver_30075722"/>
      <w:bookmarkEnd w:id="1697"/>
    </w:p>
    <w:p w14:paraId="7CC0AB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2.3.2.2.2.4.53. Frecuencias mínimas de barrido y limpieza de vías y áreas públicas. La frecuencia mínima de barrido y limpieza del área de prestación a cargo del prestador será de dos (2) veces por semana para municipios y/o distritos de primera categoría o especiales, y de una (1) vez por semana para las demás categorías establecidas en la ley. El establecimiento de mayores frecuencias definidas en el PGIRS para la totalidad del área urbana del municipio y/o distrito o partes específicas de la misma, deberá ser solicitado por el ente territorial al prestador y su costo será reconocido vía tarifa. </w:t>
      </w:r>
    </w:p>
    <w:p w14:paraId="0680CB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14AA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prestador de la actividad de recolección y transporte de residuos sólidos deberá garantizar la frecuencia mínima de barrido y limpieza, o la que determine el PGIRS en toda el área de prestación a su cargo. </w:t>
      </w:r>
    </w:p>
    <w:p w14:paraId="0EEA8582" w14:textId="1DEE8B6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98" w:name="ver_30075723"/>
      <w:bookmarkEnd w:id="1698"/>
    </w:p>
    <w:p w14:paraId="561084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2.3.2.2.2.4.54. Establecimiento del horario de barrido y limpieza de vías y áreas públicas. El barrido y limpieza de vías y áreas públicas deberá realizarse en horarios que causen la menor afectación al flujo de vehículos y de peatones. </w:t>
      </w:r>
    </w:p>
    <w:p w14:paraId="734D077F" w14:textId="4904502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699" w:name="ver_30075724"/>
      <w:bookmarkEnd w:id="1699"/>
    </w:p>
    <w:p w14:paraId="6D2583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2.3.2.2.2.4.55. Establecimiento de </w:t>
      </w:r>
      <w:proofErr w:type="spellStart"/>
      <w:r w:rsidRPr="009342F9">
        <w:rPr>
          <w:rFonts w:ascii="Arial" w:eastAsia="Times New Roman" w:hAnsi="Arial" w:cs="Arial"/>
          <w:color w:val="000000"/>
          <w:lang w:eastAsia="es-CO"/>
        </w:rPr>
        <w:t>macrorrutas</w:t>
      </w:r>
      <w:proofErr w:type="spellEnd"/>
      <w:r w:rsidRPr="009342F9">
        <w:rPr>
          <w:rFonts w:ascii="Arial" w:eastAsia="Times New Roman" w:hAnsi="Arial" w:cs="Arial"/>
          <w:color w:val="000000"/>
          <w:lang w:eastAsia="es-CO"/>
        </w:rPr>
        <w:t xml:space="preserve"> y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para el barrido y limpieza de vías y áreas públicas. Las personas prestadoras del servicio público de aseo están obligadas a establecer las </w:t>
      </w:r>
      <w:proofErr w:type="spellStart"/>
      <w:r w:rsidRPr="009342F9">
        <w:rPr>
          <w:rFonts w:ascii="Arial" w:eastAsia="Times New Roman" w:hAnsi="Arial" w:cs="Arial"/>
          <w:color w:val="000000"/>
          <w:lang w:eastAsia="es-CO"/>
        </w:rPr>
        <w:t>macrorrutas</w:t>
      </w:r>
      <w:proofErr w:type="spellEnd"/>
      <w:r w:rsidRPr="009342F9">
        <w:rPr>
          <w:rFonts w:ascii="Arial" w:eastAsia="Times New Roman" w:hAnsi="Arial" w:cs="Arial"/>
          <w:color w:val="000000"/>
          <w:lang w:eastAsia="es-CO"/>
        </w:rPr>
        <w:t xml:space="preserve"> y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que deben seguir cada una de las cuadrillas de barrido y limpieza de vías y áreas públicas teniendo en cuenta las normas de tránsito, las características físicas del municipio o distrito, así como con las frecuencias establecidas. Esas rutas deberán ser informadas a los usuarios y cumplidas cabalmente por las personas prestadoras del servicio. </w:t>
      </w:r>
    </w:p>
    <w:p w14:paraId="770711DB" w14:textId="4D95A4D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0" w:name="ver_30075725"/>
      <w:bookmarkEnd w:id="1700"/>
    </w:p>
    <w:p w14:paraId="6544ED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2.3.2.2.2.4.56. Actividad de barrido y limpieza manual de vías y áreas públicas. Los residuos resultantes de la labor de barrido y limpieza manual de vías y áreas públicas deberán ser colocados en bolsas plásticas, que una vez llenas serán cerradas y ubicadas en el sitio preestablecido para su posterior recolección. Esta actividad incluye la recolección de bolsas de las cestas colocadas en las vías y áreas públicas. </w:t>
      </w:r>
    </w:p>
    <w:p w14:paraId="47654842" w14:textId="38BACE3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1" w:name="ver_30075726"/>
      <w:bookmarkEnd w:id="1701"/>
    </w:p>
    <w:p w14:paraId="1391E3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2.3.2.2.2.4.57. Instalación de cestas o canastillas públicas de residuos sólidos en las vías y áreas públicas. Las personas prestadoras del servicio de aseo deberán colocar canastillas o cestas, en vías y áreas públicas, para almacenamiento exclusivo de residuos sólidos producidos por los transeúntes. Para la ubicación de las cestas a cargo del prestador, se requerirá aprobación previa del municipio o distrito. </w:t>
      </w:r>
    </w:p>
    <w:p w14:paraId="5ED138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7578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recolección de los residuos sólidos depositados en las cestas es responsabilidad de las personas prestadoras del servicio público de aseo. La persona prestadora del servicio público de aseo deberá llevar un inventario de las cestas que suministre, así como de su estado, para efectos de su mantenimiento y reposición. </w:t>
      </w:r>
    </w:p>
    <w:p w14:paraId="04974A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0DF0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costos de inversión y mantenimiento de las cestas de almacenamiento se deberán tener en cuenta en la regulación tarifaria, para lo cual la Comisión de Regulación de Agua Potable y Saneamiento establecerá en la fórmula tarifaria el costo eficiente para esta actividad de acuerdo con el número de suscriptores. </w:t>
      </w:r>
    </w:p>
    <w:p w14:paraId="456D95EF" w14:textId="652C1E2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2" w:name="ver_30075727"/>
      <w:bookmarkEnd w:id="1702"/>
    </w:p>
    <w:p w14:paraId="181DD1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2.3.2.2.2.4.58. Características de las canastillas o cestas públicas. Las canastillas o cestas públicas deben cumplir con las siguientes características: </w:t>
      </w:r>
    </w:p>
    <w:p w14:paraId="4AECE0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8029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Estar diseñadas de tal forma que se facilite el depósito de los residuos, aspecto que debe tenerse en cuenta en los casos en que se coloquen tapas. </w:t>
      </w:r>
    </w:p>
    <w:p w14:paraId="5BBFE4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B664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Deben tener algún dispositivo para evitar que se llenen de agua cuando llueva. </w:t>
      </w:r>
    </w:p>
    <w:p w14:paraId="4F3A4D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B941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Deben estar ancladas para evitar que sean hurtadas. </w:t>
      </w:r>
    </w:p>
    <w:p w14:paraId="7FFFF7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D7A8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Los soportes tienen que ser resistentes, teniendo en cuenta el uso a que son sometidos las cestas y que se trata de mobiliario público. </w:t>
      </w:r>
    </w:p>
    <w:p w14:paraId="017948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DA33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Para su ubicación debe tenerse en cuenta la afluencia de público, la generación de residuos y las condiciones del espacio público, evitando que se obstruya el paso de peatones y la visibilidad a los conductores de vehículos automotores. </w:t>
      </w:r>
    </w:p>
    <w:p w14:paraId="61E4C7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D589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El material y diseño de los recipientes deben facilitar su utilización a los usuarios, así como la recolección de los residuos depositados, su limpieza y mantenimiento. </w:t>
      </w:r>
    </w:p>
    <w:p w14:paraId="4B2B31A2" w14:textId="261C2DE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3" w:name="ver_30075728"/>
      <w:bookmarkEnd w:id="1703"/>
    </w:p>
    <w:p w14:paraId="531BE2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2.3.2.2.2.4.59. Equipo para la actividad de barrido manual. El personal operativo para la actividad de barrido manual deberá contar con el equipo necesario para la limpieza, barrido almacenamiento, recolección y el transporte manual de los residuos sólidos, incluidos los elementos de seguridad industrial y salud ocupacional necesarios. </w:t>
      </w:r>
    </w:p>
    <w:p w14:paraId="1AC86A88" w14:textId="7C9A1F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4" w:name="ver_30075729"/>
      <w:bookmarkEnd w:id="1704"/>
    </w:p>
    <w:p w14:paraId="15AB9F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2.3.2.2.2.4.60. Actividad de barrido mecánico. Se podrá utilizar barrido mecánico en aquellas calles pavimentadas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por su longitud, estado de las vías, amplitud, volumen de los residuos, tráfico y riesgo de la operación manual ameriten el uso de este tipo de maquinaria. La descarga de los residuos de barrido mecánico se efectuará en los sitios previamente establecidos en el correspondiente programa de la prestación del servicio público de aseo. El drenaje del agua para aspersión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obligatoriamente deberá efectuarse antes del pesaje de los vehículos y podrá efectuarse en sumideros, pero en todo caso deberá evitarse el taponamiento de las rejillas. </w:t>
      </w:r>
    </w:p>
    <w:p w14:paraId="74073F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18C8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del servicio público de aseo deberá retirar de la senda del barrido mecánico todos aquellos residuos que por sus características físicas dificulten su aspiración por el vehículo, debiendo recolectarlos al momento de la realización de esta actividad. </w:t>
      </w:r>
    </w:p>
    <w:p w14:paraId="32C484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1CCD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personas prestadoras del servicio de aseo en las actividades de barrido y limpieza no deberán arrojar residuos de barrido, ni arenilla en los sumideros de aguas lluvias. </w:t>
      </w:r>
    </w:p>
    <w:p w14:paraId="435F4669" w14:textId="163CD3C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5" w:name="ver_30075730"/>
      <w:bookmarkEnd w:id="1705"/>
    </w:p>
    <w:p w14:paraId="391CFC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2.3.2.2.2.4.61. Responsabilidad de los anunciantes en materia de limpieza. La limpieza y remoción de los avisos publicitarios o propaganda será responsabilidad de los anunciantes, quien podrá contratar con la persona prestadora del servicio público de aseo la remoción y el manejo de los residuos sólidos generados por la remoción de los avisos publicitarios o propaganda, cuyo costo será pactado entre el anunciante y la persona prestadora del servicio público de aseo como manejo de un residuo especial. Las autoridades de policía deberán velar por el cumplimiento de esta obligación. </w:t>
      </w:r>
    </w:p>
    <w:p w14:paraId="5D424A3B" w14:textId="7B89EA0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6" w:name="ver_30075731"/>
      <w:bookmarkEnd w:id="1706"/>
    </w:p>
    <w:p w14:paraId="53269D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2.3.2.2.2.4.62. Limpieza de playas. La persona prestadora del servicio público de aseo deberá efectuar la limpieza de playas costeras o ribereñas en las áreas urbanas definidas en el PGIRS e instalar cestas de almacenamiento en las zonas aledañas. </w:t>
      </w:r>
    </w:p>
    <w:p w14:paraId="0B7C44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4E5B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comisión de regulación de agua potable y saneamiento básico definirá la metodología para establecer el costo eficiente a reconocer vía tarifa. </w:t>
      </w:r>
    </w:p>
    <w:p w14:paraId="3D28A523" w14:textId="1A7A7EF8" w:rsidR="00FC79C1" w:rsidRPr="009342F9" w:rsidRDefault="00FC79C1" w:rsidP="000443A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5408CE"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707" w:name="ver_30075732"/>
      <w:bookmarkEnd w:id="1707"/>
      <w:r w:rsidRPr="009342F9">
        <w:rPr>
          <w:rFonts w:ascii="Arial" w:eastAsia="Times New Roman" w:hAnsi="Arial" w:cs="Arial"/>
          <w:b/>
          <w:bCs/>
          <w:color w:val="000000"/>
          <w:lang w:eastAsia="es-CO"/>
        </w:rPr>
        <w:t>SUBSECCIÓN 5</w:t>
      </w:r>
    </w:p>
    <w:p w14:paraId="41E29F8D"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LAVADO DE ÁREAS PÚBLICAS</w:t>
      </w:r>
    </w:p>
    <w:p w14:paraId="2E0FC07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08" w:name="ver_30075733"/>
      <w:bookmarkEnd w:id="1708"/>
    </w:p>
    <w:p w14:paraId="2D5739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2.3.2.2.2.5.63. Responsabilidad en el lavado de áreas públicas. Las labores de lavado de áreas públicas son responsabilidad de los prestadores del servicio público de aseo en el área de prestación donde realicen las actividades de recolección y transporte. </w:t>
      </w:r>
    </w:p>
    <w:p w14:paraId="063FD3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B278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prestación de este componente en todo caso deberá realizarse de acuerdo con la frecuencia y horarios establecidos en el programa para la prestación del servicio público de aseo, y cumpliendo con las exigencias establecidas en el PGIRS del respectivo municipio o distrito. </w:t>
      </w:r>
    </w:p>
    <w:p w14:paraId="2EC1D5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2B06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municipios o distritos están en la obligación de suministrar a las personas prestadoras el inventario de los puentes peatonales y áreas públicas objeto de lavado, detallando como mínimo, su ubicación y área de lavado, entre otros aspectos. </w:t>
      </w:r>
    </w:p>
    <w:p w14:paraId="56B19C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D752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en un área confluya más de un prestador, estos serán responsables de la actividad de lavado de áreas públicas en proporción al número de usuarios que cada prestador atienda en dicha área. </w:t>
      </w:r>
    </w:p>
    <w:p w14:paraId="3D7B86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D131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Comisión de Regulación de Agua Potable y Saneamiento Básico determinará la metodología de cálculo de las áreas públicas de lavado que le corresponde a cada prestador en función del número de usuarios que cada uno atienda en el área de confluencia. </w:t>
      </w:r>
    </w:p>
    <w:p w14:paraId="64AB66AC" w14:textId="0F88B7E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09" w:name="ver_30075734"/>
      <w:bookmarkEnd w:id="1709"/>
    </w:p>
    <w:p w14:paraId="1E8EBF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2.3.2.2.2.5.64. Acuerdos de lavado de áreas públicas. Las personas prestadoras deberán suscribir acuerdos donde se determinen las áreas públicas, incluidos los puentes peatonales a cargo de cada prestador y las frecuencias de ejecución de la actividad que cada persona prestadora vaya a realizar, sin perjuicio de que en el mismo acuerdo se convenga que solo uno de ellos sea quien atienda la totalidad del área. En los mismos acuerdos se podrá establecer la forma de remunerarse entre los prestadores de las mencionadas actividades. </w:t>
      </w:r>
    </w:p>
    <w:p w14:paraId="65465A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185A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anterior so pena que la Superintendencia de Servicios Públicos Domiciliarios imponga las sanciones de que trata el artículo 81 de la Ley 142 de 1994, por incumplimiento del régimen de servicios públicos domiciliarios y falla en la prestación de dichos servicios. </w:t>
      </w:r>
    </w:p>
    <w:p w14:paraId="5C56A8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9078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Estos acuerdos deberán suscribirse dentro de los tres (3) meses siguientes a la fecha de aplicación de la metodología tarifaria que expida la Comisión de Regulación de Agua Potable y Saneamiento Básico, en la que se determinen los costos de esta actividad, so pena que la Superintendencia de Servicios Públicos Domiciliarios imponga las sanciones de que trata el artículo 81 de la Ley 142 de 1994, por incumplimiento del régimen de servicios públicos domiciliarios y falla en la prestación de dichos servicios. </w:t>
      </w:r>
    </w:p>
    <w:p w14:paraId="585CD6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ACA0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que habiéndose firmado el acuerdo de que trata el presente artículo, ingrese o se retire una determinada persona prestadora dentro del área de confluencia, se deberá revisar y ajustar el acuerdo de lavado de áreas públicas celebrado, para lo cual los prestadores tendrán un plazo máximo de tres (3) meses contados a partir del ingreso o retiro del prestador, so pena de la imposición de las sanciones, por parte de la Superintendencia de Servicios Públicos Domiciliarios, en ejercicio de la competencia establecida en el artículo 81 de la Ley 142 de 1994. </w:t>
      </w:r>
    </w:p>
    <w:p w14:paraId="05A765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0081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evento que no se logre un acuerdo entre las personas prestadoras en los términos previstos en el presente artículo, cualquiera de ellas podrá solicitar a la Comisión de Regulación de Agua Potable y Saneamiento Básico la resolución de dicha controversia, en los términos del artículo 73, numeral 73.9, de la Ley 142 de 1994. </w:t>
      </w:r>
    </w:p>
    <w:p w14:paraId="1FBA3C6C" w14:textId="3180C88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0" w:name="ver_30075735"/>
      <w:bookmarkEnd w:id="1710"/>
    </w:p>
    <w:p w14:paraId="46ACAD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2.3.2.2.2.5.65. Alcance del lavado de áreas públicas. La actividad de lavado de áreas públicas dentro del servicio de aseo comprende el lavado de puentes peatonales y de aquellas áreas públicas cuya condición de limpieza se deteriora por un uso inadecuado de tales áreas constituyéndose en puntos críticos sanitarios. </w:t>
      </w:r>
    </w:p>
    <w:p w14:paraId="6994CF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E321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Solo se podrá trasladar a la tarifa del suscriptor del servicio de aseo el lavado de puentes peatonales en el área urbana con una frecuencia máxima de dos (2) veces al año. Mayores frecuencias deberán ser cubiertas por el ente territorial. </w:t>
      </w:r>
    </w:p>
    <w:p w14:paraId="007912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D012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Comisión de Regulación de Agua Potable y Saneamiento Básico definirá el costo máximo a reconocer vía tarifa por esta actividad. </w:t>
      </w:r>
    </w:p>
    <w:p w14:paraId="2C7038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3901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El lavado de áreas públicas se realizará con cargo a la tarifa del suscriptor del servicio público de aseo para restablecer la condición de limpieza deteriorada por el uso inadecuado de tales áreas, al constituirse en punto crítico sanitario. El ente territorial deberá adoptar las medidas para su eliminación dentro de los quince (15) días siguientes a que este sea reportado por el prestador o por un usuario. En caso de no adoptar las medidas correctivas, el lavado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xml:space="preserve"> estará a cargo del ente territorial quien deberá pactar el valor de esta actividad, su frecuencia y área de intervención con el prestador. </w:t>
      </w:r>
    </w:p>
    <w:p w14:paraId="6E005D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0EB8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Esta actividad no aplica al lavado de parques, monumentos, esculturas, pilas y demás mobiliario urbano y bienes de interés cultural cuya limpieza y mantenimiento no estará a cargo de la tarifa que pagan los suscriptores del servicio de aseo a las personas prestadoras. </w:t>
      </w:r>
    </w:p>
    <w:p w14:paraId="29369C6F" w14:textId="560A1238"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C36289"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711" w:name="ver_30075736"/>
      <w:bookmarkEnd w:id="1711"/>
      <w:r w:rsidRPr="009342F9">
        <w:rPr>
          <w:rFonts w:ascii="Arial" w:eastAsia="Times New Roman" w:hAnsi="Arial" w:cs="Arial"/>
          <w:b/>
          <w:bCs/>
          <w:color w:val="000000"/>
          <w:lang w:eastAsia="es-CO"/>
        </w:rPr>
        <w:t>SUBSECCIÓN 6</w:t>
      </w:r>
    </w:p>
    <w:p w14:paraId="53A7EC19"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CORTE DE CÉSPED Y PODA DE ÁRBOLES</w:t>
      </w:r>
    </w:p>
    <w:p w14:paraId="6C195C1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12" w:name="ver_30075737"/>
      <w:bookmarkEnd w:id="1712"/>
    </w:p>
    <w:p w14:paraId="23EFA6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2.3.2.2.2.6.66. Actividad de corte de césped. Esta actividad debe realizarse en las áreas verdes públicas de los municipios, tales como: separadores viales ubicados en vías de tránsito automotor o peatonal, glorietas, rotondas, orejas o asimilables, parques públicos sin restricción de acceso definidos en las normas de ordenamiento territorial, que se encuentren dentro del perímetro urbano. Se excluye de esta actividad el corte de césped de los antejardines frente a los inmuebles el cual será responsabilidad de los propietarios de estos. </w:t>
      </w:r>
    </w:p>
    <w:p w14:paraId="3BE62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C17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Se excluyen las actividades de ornato y embellecimiento. </w:t>
      </w:r>
    </w:p>
    <w:p w14:paraId="32F1D0DC" w14:textId="6F70E3C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3" w:name="ver_30075738"/>
      <w:bookmarkEnd w:id="1713"/>
    </w:p>
    <w:p w14:paraId="01E657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2.3.2.2.2.6.67. Frecuencias y horarios para la actividad de corte de césped. El desarrollo de las tareas de corte de césped se hará de forma programada, teniendo en cuenta que el área debe intervenirse cuando la altura del césped supere los diez (10) centímetros. En todo caso la altura mínima del césped una vez cortado no debe ser inferior a dos (2) centímetros. </w:t>
      </w:r>
    </w:p>
    <w:p w14:paraId="7CABF9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98F3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 actividad deberá realizarse en horario diurno para zonas residenciales. Se exceptúan de esta obligación aquellas zonas que no puedan atenderse en horario diurno, por las dificultades generadas por el tránsito peatonal o vehicular y cualquier otra zona que por sus características particulares no permita la realización de la actividad en el horario mencionado. </w:t>
      </w:r>
    </w:p>
    <w:p w14:paraId="116116EC" w14:textId="4B58B10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4" w:name="ver_30075739"/>
      <w:bookmarkEnd w:id="1714"/>
    </w:p>
    <w:p w14:paraId="54B916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2.3.2.2.2.6.68. Normas de seguridad para la actividad de corte de césped. La persona prestadora del servicio público de aseo deberá optar todas las medidas tendientes a evitar accidentes y molestias durante la ejecución del corte del césped. En este sentido adelantará las siguientes actividades: </w:t>
      </w:r>
    </w:p>
    <w:p w14:paraId="5BAE8F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B48D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Información: Se colocará una valla informativa en el sitio del área a intervenir indicando el objeto de la labor, así como el nombre de la persona prestadora del servicio público de aseo, el número del teléfono de peticiones, quejas y recursos (línea de atención al cliente) y la página web en caso de contar con ella. </w:t>
      </w:r>
    </w:p>
    <w:p w14:paraId="7396AC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5E43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Demarcación: Se hará mediante cinta para encerrar el área de trabajo con el fin de aislarla del tráfico vehicular y tránsito peatonal. Igualmente, se colocarán mallas de protección para prevenir accidentes ocasionados por guijarros u otros residuos impulsados en el momento de efectuar el corte de césped y deberá tener una longitud concordante con el área intervenida, con una altura mínima de 1,50 m y soportada por una estructura que permita moverla fácilmente. La colocación de la malla de protección no sustituirá la utilización de vallas de información. </w:t>
      </w:r>
    </w:p>
    <w:p w14:paraId="005846C2" w14:textId="5374A4D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5" w:name="ver_30075740"/>
      <w:bookmarkEnd w:id="1715"/>
    </w:p>
    <w:p w14:paraId="559F2E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2.3.2.2.2.6.69. Normas de seguridad para el operario en la actividad de corte de césped. En la ejecución de esta actividad la persona prestadora deberá brindar las medidas de seguridad para preservar la integridad física del operario durante la realización de la labor de corte de césped de acuerdo con las normas de seguridad industrial. </w:t>
      </w:r>
    </w:p>
    <w:p w14:paraId="56D572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8769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del servicio público de aseo deberá capacitar a los operarios sobre las especificaciones y condiciones técnicas de la actividad y las normas de seguridad industrial que deben aplicarse. </w:t>
      </w:r>
    </w:p>
    <w:p w14:paraId="0DD09F31" w14:textId="6526B1B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6" w:name="ver_30075741"/>
      <w:bookmarkEnd w:id="1716"/>
    </w:p>
    <w:p w14:paraId="1777D7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2.3.2.2.2.6.70. Actividad de poda de árboles. Las actividades que la componen son: corte de ramas, follajes, recolección, presentación y transporte para disposición final o aprovechamiento siguiendo los lineamientos que determine la autoridad competente. Esta actividad se realizará sobre los árboles ubicados en separadores viales ubicados en vías de tránsito automotor, vías peatonales, glorietas, rotondas, orejas o asimilables, parques públicos sin restricción de acceso, definidos en las normas de ordenamiento territorial, que se encuentren dentro del perímetro urbano. Se excluyen de esta actividad los árboles ubicados en antejardines frente a los inmuebles los cuales serán responsabilidad de los propietarios de estos. </w:t>
      </w:r>
    </w:p>
    <w:p w14:paraId="6B8FFB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B764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Se exceptuarán la poda de árboles ubicados en las zonas de seguridad definidas por el Reglamento Técnico de Instalaciones Eléctricas (RETIE). </w:t>
      </w:r>
    </w:p>
    <w:p w14:paraId="4F8EF3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2BCA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Se excluyen de esta actividad la poda de los árboles ubicados en las rondas y zonas de manejo y preservación ambiental de quebradas, ríos, canales y en general de árboles plantados en sitios donde se adelanten obras en espacio público. </w:t>
      </w:r>
    </w:p>
    <w:p w14:paraId="3D065D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32C0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También se excluye del alcance de esta actividad la tala de árboles, así como las labores de ornato y embellecimiento. </w:t>
      </w:r>
    </w:p>
    <w:p w14:paraId="39396780" w14:textId="7253C5C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7" w:name="ver_30075742"/>
      <w:bookmarkEnd w:id="1717"/>
    </w:p>
    <w:p w14:paraId="6A4462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2.3.2.2.2.6.71. Normas de seguridad para la actividad de poda de árboles. La persona prestadora del servicio público de aseo deberá adoptar todas las medidas tendientes a evitar accidentes y molestias durante la ejecución de la poda de árboles. En este sentido adelantará las siguientes actividades: </w:t>
      </w:r>
    </w:p>
    <w:p w14:paraId="5C8B7E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9383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Información: Se colocará una valla informativa en el sitio del área a intervenir indicando el objeto de la labor, así como el nombre de la persona prestadora del servicio público de aseo, el número del teléfono de peticiones, quejas y recursos (línea de atención al cliente) y la página web en caso de contar con ella. </w:t>
      </w:r>
    </w:p>
    <w:p w14:paraId="2C26E7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83B5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Demarcación: Se hará mediante cinta para encerrar el área de trabajo con el fin de aislarla del tráfico vehicular y tránsito peatonal. Igualmente, se colocarán mallas de protección para prevenir accidentes. La colocación de la malla de protección no sustituirá la utilización de vallas de información. </w:t>
      </w:r>
    </w:p>
    <w:p w14:paraId="3AABE7C3" w14:textId="19DEC6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8" w:name="ver_30075743"/>
      <w:bookmarkEnd w:id="1718"/>
    </w:p>
    <w:p w14:paraId="6FE6F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2.3.2.2.2.6.72. Normas de seguridad para el operario en la actividad de poda de árboles. En la ejecución de esta actividad la persona prestadora deberá brindar las medidas de seguridad para preservar la integridad física del operario durante la realización de la labor de poda de árboles de acuerdo con las normas de seguridad industrial. </w:t>
      </w:r>
    </w:p>
    <w:p w14:paraId="09CD22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BE2E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del servicio público de aseo deberá capacitar a los operarios sobre las especificaciones y condiciones técnicas de la actividad y las normas de seguridad industrial que deben aplicarse. </w:t>
      </w:r>
    </w:p>
    <w:p w14:paraId="620E403F" w14:textId="40AAC56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19" w:name="ver_30075744"/>
      <w:bookmarkEnd w:id="1719"/>
    </w:p>
    <w:p w14:paraId="57C395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2.3.2.2.2.6.73. Autorizaciones para las actividades de poda de árboles. Para la actividad de poda de árboles se deberán obtener las autorizaciones que establezca la respectiva autoridad competente. </w:t>
      </w:r>
    </w:p>
    <w:p w14:paraId="65940C8F" w14:textId="05B9879A"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20" w:name="ver_30075745"/>
      <w:bookmarkEnd w:id="1720"/>
    </w:p>
    <w:p w14:paraId="2E6A1D9F" w14:textId="2F1C23BE"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7</w:t>
      </w:r>
    </w:p>
    <w:p w14:paraId="37FF2E3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TRANSFERENCIAS</w:t>
      </w:r>
    </w:p>
    <w:p w14:paraId="539C921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21" w:name="ver_30075746"/>
      <w:bookmarkEnd w:id="1721"/>
    </w:p>
    <w:p w14:paraId="389DCA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2.3.2.2.2.7.74. Utilización de estaciones de transferencia. Las personas prestadoras del servicio de aseo en las actividades de recolección y transporte deberán evaluar la conveniencia de utilizar estaciones de transferencia, como infraestructura para la prestación del servicio en los eventos en que la misma se constituya en una solución de costo mínimo, con el objetivo de incrementar eficiencia al optimizar costos de recolección racionalizando los recursos económicos, energéticos, con el fin de coadyuvar al logro de una mayor productividad de la mano de obra y del equipo utilizado, sin perjuicio de obtener previamente las autorizaciones ambientales a que haya lugar. </w:t>
      </w:r>
    </w:p>
    <w:p w14:paraId="2AA9540E" w14:textId="6301C2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22" w:name="ver_30075747"/>
      <w:bookmarkEnd w:id="1722"/>
    </w:p>
    <w:p w14:paraId="3D0A6B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2.3.2.2.2.7.75. Obligación de las entidades territoriales. Los municipios o distritos deberán definir las áreas donde es posible la localización y el funcionamiento de estaciones de transferencia de residuos sólidos de conformidad con los usos del suelo previstos en las normas de ordenamiento territorial. </w:t>
      </w:r>
    </w:p>
    <w:p w14:paraId="741BF89F" w14:textId="318A066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23" w:name="ver_30075748"/>
      <w:bookmarkEnd w:id="1723"/>
    </w:p>
    <w:p w14:paraId="701DED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2.3.2.2.2.7.76. Instalación de estaciones de transferencia. Cuando se considere necesario ubicar una estación de transferencia la persona prestadora del servicio deberá realizar los estudios que incluyan la evaluación económica, técnica operativa, jurídica, comercial, financiera, institucional, sociocultural y de riesgos cumpliendo con la reglamentación técnica vigente para el sector y sin perjuicio de la obtención de las autorizaciones ambientales a que haya lugar. </w:t>
      </w:r>
    </w:p>
    <w:p w14:paraId="27F05D3E" w14:textId="06B0684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24" w:name="ver_30075749"/>
      <w:bookmarkEnd w:id="1724"/>
    </w:p>
    <w:p w14:paraId="4B35E1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2.3.2.2.2.7.77. Características de los vehículos de transferencia para transporte de residuos sólidos. Los vehículos empleados en la actividad de transporte a granel de los residuos sólidos deberán tener, entre otras las siguientes características: </w:t>
      </w:r>
    </w:p>
    <w:p w14:paraId="6D2AEE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FDB4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Ser motorizados, y estar claramente identificados (color, logotipos, placa de identificación, iconos informativos, entre otras características). </w:t>
      </w:r>
    </w:p>
    <w:p w14:paraId="7A02E7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7E82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Estar provistos de equipo de comunicaciones, el cual se utilizará para la logística y coordinación con las otras actividades del servicio. </w:t>
      </w:r>
    </w:p>
    <w:p w14:paraId="7C5DB0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3DFF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Podrán o no tener incorporados elementos de compactación de los residuos, lo cual dependerá de las condiciones operativas, la capacidad de la unidad de almacenamiento, las restricciones viales, las condiciones del cargue y descargue de los residuos y la naturaleza física y química de los mismos. </w:t>
      </w:r>
    </w:p>
    <w:p w14:paraId="326E84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D415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Cumplir con las normas vigentes para emisiones atmosféricas y ajustarse a los requerimientos de tránsito. </w:t>
      </w:r>
    </w:p>
    <w:p w14:paraId="67419E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7461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5. En caso de contar con equipos de compactación, estos deberán tener un sistema de parada de emergencia que detenga totalmente y de forma inmediata la operación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1AC885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A71F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Las unidades de almacenamiento de los vehículos destinados al transporte de los residuos sólidos, deberán ser estancos y permitir su cierre o cubierta, de manera que impidan la fuga y descarga en la vía pública de los líquidos (lixiviados) durante el transporte, evitar el arrastre y la dispersión de residuos, de material particulado y de olores, y deben contar con un dispositivo automático que permita una rápida acción de descarga en el sistema de disposición final. </w:t>
      </w:r>
    </w:p>
    <w:p w14:paraId="3B7017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5332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Posibilitar el cargue y el descargue de los residuos sólidos almacenados de forma tal que se evite la dispersión de estos y la emisión de partículas. </w:t>
      </w:r>
    </w:p>
    <w:p w14:paraId="50D82E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70C1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Estar cubiertos durante el transporte, de manera que se reduzca el contacto con la lluvia y el viento y, se evite el esparcimiento y el impacto negativo visual y estético. </w:t>
      </w:r>
    </w:p>
    <w:p w14:paraId="50B0B2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C04E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Las especificaciones de los vehículos deberán corresponder a la capacidad y dimensión de las vías públicas. </w:t>
      </w:r>
    </w:p>
    <w:p w14:paraId="5D9929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E4D3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Cumplir con las especificaciones técnicas existentes para no afectar la salud ocupacional de los conductores y operarios. </w:t>
      </w:r>
    </w:p>
    <w:p w14:paraId="008AC4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ADD8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Estar dotados con los equipos de carretera y de atención de incendios. </w:t>
      </w:r>
    </w:p>
    <w:p w14:paraId="364544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5A5F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Estar dotados de dispositivos de control de ruido. </w:t>
      </w:r>
    </w:p>
    <w:p w14:paraId="1817DC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62E6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personas prestadoras del servicio público de aseo deben determinar el número mínimo de vehículos con la capacidad de carga y compactación necesarias para el transporte a granel de los residuos transferidos. La transferencia debe garantizar que los residuos se puedan transportar en la jornada laboral sin permitir que se acumulen y se generen focos de contaminación y perturbación del bienestar ciudadano. </w:t>
      </w:r>
    </w:p>
    <w:p w14:paraId="209E11C0" w14:textId="389B367A" w:rsidR="00FC79C1" w:rsidRPr="009342F9" w:rsidRDefault="00FC79C1" w:rsidP="000443A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225876" w14:textId="77777777" w:rsidR="00F74103" w:rsidRPr="009342F9" w:rsidRDefault="00F74103" w:rsidP="00FC79C1">
      <w:pPr>
        <w:spacing w:after="0" w:line="240" w:lineRule="auto"/>
        <w:jc w:val="both"/>
        <w:rPr>
          <w:rFonts w:ascii="Arial" w:eastAsia="Times New Roman" w:hAnsi="Arial" w:cs="Arial"/>
          <w:color w:val="000000"/>
          <w:lang w:eastAsia="es-CO"/>
        </w:rPr>
      </w:pPr>
      <w:bookmarkStart w:id="1725" w:name="ver_30075750"/>
      <w:bookmarkEnd w:id="1725"/>
    </w:p>
    <w:p w14:paraId="6B1BA6D3" w14:textId="7BB2B04C"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8</w:t>
      </w:r>
    </w:p>
    <w:p w14:paraId="1EDBCFB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RECOLECCIÓN Y TRANSPORTE SELECTIVO DE RESIDUOS</w:t>
      </w:r>
    </w:p>
    <w:p w14:paraId="71BC31AF"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PARA APROVECHAMIENTO</w:t>
      </w:r>
    </w:p>
    <w:p w14:paraId="5BCB0C1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26" w:name="ver_30075751"/>
      <w:bookmarkEnd w:id="1726"/>
    </w:p>
    <w:p w14:paraId="179BE8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2.3.2.2.2.8.78. Recolección y transporte de residuos para aprovechamiento como actividad complementaria del servicio público de aseo. Son el conjunto de actividades complementarias de aseo realizada por la persona prestadora del servicio público, dirigidas a efectuar la recolección de los residuos sólidos de manera separada para su transporte hasta las estaciones de clasificación y aprovechamiento o a las plantas de aprovechamiento. </w:t>
      </w:r>
    </w:p>
    <w:p w14:paraId="5343E8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2BE7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Comisión de Regulación de Agua Potable y Saneamiento Básico establecerá la forma de remuneración de la actividad de recolección, transporte selectivo y clasificación de residuos aprovechables. </w:t>
      </w:r>
    </w:p>
    <w:p w14:paraId="65193275" w14:textId="583082B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27" w:name="ver_30075752"/>
      <w:bookmarkEnd w:id="1727"/>
    </w:p>
    <w:p w14:paraId="12B1B1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2.3.2.2.2.8.79. Características de los vehículos de recolección selectiva. Los vehículos empleados en la recolección y transporte de residuos aprovechables deberán tener entre otras, las siguientes características: </w:t>
      </w:r>
    </w:p>
    <w:p w14:paraId="45F67D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3449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Pueden contar con equipos para compactar algunas fracciones de los materiales recolectados dependiendo de su naturaleza. En caso de contar con tales equipos, estos deberán tener un sistema de emergencia que detenga de forma inmediata la operación de compactación. </w:t>
      </w:r>
    </w:p>
    <w:p w14:paraId="1CF96E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0168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vehículos de transporte deberán ser motorizados, y estar claramente identificados (color, logotipos, placa de identificación, iconos informativos que indiquen que se transportan materiales para aprovechamiento, entre otras características). </w:t>
      </w:r>
    </w:p>
    <w:p w14:paraId="592366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3249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vehículos y/o el personal operativo deberán estar provistos de equipo de comunicaciones, el cual se utilizará para la logística y coordinación con las otras actividades del servicio. </w:t>
      </w:r>
    </w:p>
    <w:p w14:paraId="2A3E8F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1069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Los vehículos deberán cumplir con las normas vigentes para emisiones atmosféricas y ajustarse a los requerimientos de tránsito. </w:t>
      </w:r>
    </w:p>
    <w:p w14:paraId="39A413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9D2E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Las unidades de almacenamiento de los vehículos destinados al transporte de fracciones de residuos sólidos orgánicos biodegradables deberán tener depósitos estancos y permitir su cierre o cubierta, de manera que impidan la fuga y descarga en la vía pública de los líquidos resultantes, el arrastre y la dispersión de residuos de material particulado y de olores. Deben contar con un mecanismo que permita una rápida acción de descarga para los lixiviados en los sitios dispuestos para tal fin, cuando se trate del transporte de residuos orgánicos. </w:t>
      </w:r>
    </w:p>
    <w:p w14:paraId="372042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ADAB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equipos deberán posibilitar el cargue y el descargue de los residuos sólidos almacenados de forma tal que se evite la dispersión de estos y la emisión de partículas. </w:t>
      </w:r>
    </w:p>
    <w:p w14:paraId="009348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5FA7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Los vehículos deberán estar cubiertos durante el transporte, de manera que se reduzca el contacto con la lluvia y el viento y se evite el esparcimiento y el impacto negativo visual y estético. </w:t>
      </w:r>
    </w:p>
    <w:p w14:paraId="49AD53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684B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Las especificaciones de los vehículos deberán corresponder a la capacidad y dimensión de las vías públicas. </w:t>
      </w:r>
    </w:p>
    <w:p w14:paraId="513187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1562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Deberán cumplir con las especificaciones técnicas existentes para no afectar la salud ocupacional de los conductores y operarios. </w:t>
      </w:r>
    </w:p>
    <w:p w14:paraId="736205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B8E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Deberán estar dotados con los equipos de carretera y de atención de incendios. </w:t>
      </w:r>
    </w:p>
    <w:p w14:paraId="29043E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E3F7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 Deberán estar dotados de balizas o luces de tipo estroboscópico, ubicadas una sobre la cabina, así como de luces en la parte trasera del vehículo. Estarán dotados de elementos complementarios tales como cepillos, escobas y palas para efectuar la limpieza de la vía pública en los casos de dispersión de residuos durante la operación de recolección, de forma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una vez realizada la recolección, no queden residuos diseminados en la vía pública. </w:t>
      </w:r>
    </w:p>
    <w:p w14:paraId="1EA7B9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9412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Los equipos destinados a la recolección deberán tener estribos con superficies antideslizantes, y manijas adecuadas para sujetarse de tal forma que el personal pueda transportarse momentáneamente en forma segura. </w:t>
      </w:r>
    </w:p>
    <w:p w14:paraId="029410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4FB8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transporte de residuos aprovechables en vehículos motorizados podrá combinarse con vehículos de tracción humana para el desarrollo de las </w:t>
      </w: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de recolección. </w:t>
      </w:r>
    </w:p>
    <w:p w14:paraId="180C340A" w14:textId="34222309" w:rsidR="00FC79C1" w:rsidRPr="009342F9" w:rsidRDefault="00FC79C1" w:rsidP="00FC79C1">
      <w:pPr>
        <w:spacing w:after="0" w:line="240" w:lineRule="auto"/>
        <w:jc w:val="both"/>
        <w:rPr>
          <w:rFonts w:ascii="Arial" w:eastAsia="Times New Roman" w:hAnsi="Arial" w:cs="Arial"/>
          <w:color w:val="000000"/>
          <w:lang w:eastAsia="es-CO"/>
        </w:rPr>
      </w:pPr>
      <w:bookmarkStart w:id="1728" w:name="ver_30110812"/>
      <w:bookmarkStart w:id="1729" w:name="ver_30110809"/>
      <w:bookmarkEnd w:id="1728"/>
      <w:r w:rsidRPr="009342F9">
        <w:rPr>
          <w:rFonts w:ascii="Arial" w:eastAsia="Times New Roman" w:hAnsi="Arial" w:cs="Arial"/>
          <w:color w:val="000000"/>
          <w:lang w:eastAsia="es-CO"/>
        </w:rPr>
        <w:t>Artículo 2.3.2.2.2.8.80.</w:t>
      </w:r>
      <w:r w:rsidR="00452CA3">
        <w:rPr>
          <w:rFonts w:ascii="Arial" w:eastAsia="Times New Roman" w:hAnsi="Arial" w:cs="Arial"/>
          <w:color w:val="000000"/>
          <w:lang w:eastAsia="es-CO"/>
        </w:rPr>
        <w:t xml:space="preserve"> </w:t>
      </w:r>
      <w:r w:rsidRPr="009342F9">
        <w:rPr>
          <w:rFonts w:ascii="Arial" w:eastAsia="Times New Roman" w:hAnsi="Arial" w:cs="Arial"/>
          <w:color w:val="000000"/>
          <w:lang w:eastAsia="es-CO"/>
        </w:rPr>
        <w:t>Recolección, transbordo y transporte de residuos sólidos aprovechables. En la recolección y transporte de residuos aprovechables se tendrá en cuenta como mínimo: </w:t>
      </w:r>
    </w:p>
    <w:p w14:paraId="273514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5FC3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persona prestadora del servicio público de aseo en la actividad de aprovechamiento establecerá de acuerdo con el Plan de Gestión Integral de Residuos Sólidos (PGIRS) las frecuencias, horarios y formas de presentación para la recolección de los residuos sólidos aprovechables, las cuales y en todo caso podrá coordinarlas con la persona prestadora de la actividad de recolección y transporte de residuos sólidos no aprovechables con el fin de hacer más eficiente la prestación del servicio. </w:t>
      </w:r>
    </w:p>
    <w:p w14:paraId="06D6E3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E998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recolección de residuos sólidos aprovechables puede efectuarse a partir de la acera, o de unidades y cajas de almacenamiento o cualquier sistema alternativo que garantice la recolección y el mantenimiento de sus características. En todo caso, durante la recolección se deberá mantener la condición de limpieza del área, evitando derrames y esparcimientos de residuos sólidos y líquidos. </w:t>
      </w:r>
    </w:p>
    <w:p w14:paraId="287AFE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87C4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En el caso en el cual el transporte de residuos sólidos aprovechables se combine con vehículos de tracción humana, se podrá hacer trasbordo a vehículos motorizados únicamente en los sitios que la entidad territorial determine en el respectivo Plan de Gestión Integral de Residuos Sólidos (PGIRS), sin generar afectaciones a la comunidad o al entorno, ni la libre circulación vehicular y peatonal. </w:t>
      </w:r>
    </w:p>
    <w:p w14:paraId="207EC4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4812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transbordo se deberá realizar en áreas alejadas de hospitales, bibliotecas, parques, hogares geriátricos, guarderías, colegios, zonas residenciales o exclusivamente destinadas para desarrollo habitacional, hotelería y hospedajes. </w:t>
      </w:r>
    </w:p>
    <w:p w14:paraId="79F682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EA48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trasbordo se deberá realizar directamente del vehículo de tracción humana al vehículo motorizado, teniendo en cuenta que la clasificación se debe hacer en las Estaciones de Clasificación y Aprovechamiento (ECA). </w:t>
      </w:r>
    </w:p>
    <w:p w14:paraId="36F42E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9C80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terminada la labor, el sitio deberá quedar libre de equipos de recolección, herramientas y cualquier tipo de material. </w:t>
      </w:r>
    </w:p>
    <w:p w14:paraId="1EEDAE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4511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consideración a que el transbordo de residuos sólidos aprovechables puede realizarse en espacio público de acuerdo con lo determinado por el Plan de Gestión Integral de Residuos Sólidos (PGIRS), en caso de incumplimiento de lo aquí dispuesto, se aplicarán las sanciones y acciones legales a que haya lugar. </w:t>
      </w:r>
    </w:p>
    <w:p w14:paraId="1C278A6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30" w:name="ver_30075754"/>
      <w:bookmarkEnd w:id="1729"/>
      <w:bookmarkEnd w:id="1730"/>
    </w:p>
    <w:p w14:paraId="33F658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2.3.2.2.2.8.81. Propósitos del aprovechamiento. El aprovechamiento de los materiales contenidos en los residuos </w:t>
      </w:r>
      <w:proofErr w:type="gramStart"/>
      <w:r w:rsidRPr="009342F9">
        <w:rPr>
          <w:rFonts w:ascii="Arial" w:eastAsia="Times New Roman" w:hAnsi="Arial" w:cs="Arial"/>
          <w:color w:val="000000"/>
          <w:lang w:eastAsia="es-CO"/>
        </w:rPr>
        <w:t>sólidos,</w:t>
      </w:r>
      <w:proofErr w:type="gramEnd"/>
      <w:r w:rsidRPr="009342F9">
        <w:rPr>
          <w:rFonts w:ascii="Arial" w:eastAsia="Times New Roman" w:hAnsi="Arial" w:cs="Arial"/>
          <w:color w:val="000000"/>
          <w:lang w:eastAsia="es-CO"/>
        </w:rPr>
        <w:t xml:space="preserve"> tiene como propósitos fundamentales: </w:t>
      </w:r>
    </w:p>
    <w:p w14:paraId="0CB8BA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DEB7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Racionalizar el uso y consumo de las materias primas provenientes de los recursos naturales. </w:t>
      </w:r>
    </w:p>
    <w:p w14:paraId="6C2306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C34D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Recuperar valores económicos y energéticos que hayan sido utilizados en los diferentes procesos productivos. </w:t>
      </w:r>
    </w:p>
    <w:p w14:paraId="5D7936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306B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Disminuir el consumo de energía en los procesos productivos que utilizan materiales reciclados. </w:t>
      </w:r>
    </w:p>
    <w:p w14:paraId="728D07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76C4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Aumentar la vida útil de los rellenos sanitarios al reducir la cantidad de residuos a disponer finalmente en forma adecuada. </w:t>
      </w:r>
    </w:p>
    <w:p w14:paraId="1253B6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8C17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Reducir el caudal y la carga contaminante de lixiviados en el relleno sanitario, especialmente cuando se aprovechan residuos orgánicos. </w:t>
      </w:r>
    </w:p>
    <w:p w14:paraId="095C1D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E71C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Disminuir los impactos ambientales, tanto por demanda y uso de materias primas como por los procesos de disposición final. </w:t>
      </w:r>
    </w:p>
    <w:p w14:paraId="162D85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5751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Garantizar la participación de los recicladores de oficio, en las actividades de recuperación y aprovechamiento, con el fin de consolidar productivamente estas actividades y mejorar sus condiciones de vida. </w:t>
      </w:r>
    </w:p>
    <w:p w14:paraId="4A2320DB" w14:textId="242FC1C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31" w:name="ver_30110816"/>
      <w:bookmarkStart w:id="1732" w:name="ver_30110814"/>
      <w:bookmarkEnd w:id="1731"/>
    </w:p>
    <w:p w14:paraId="40B05118" w14:textId="1CA6E70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2.3.2.2.2.8.82.</w:t>
      </w:r>
      <w:r w:rsidR="00452CA3">
        <w:rPr>
          <w:rFonts w:ascii="Arial" w:eastAsia="Times New Roman" w:hAnsi="Arial" w:cs="Arial"/>
          <w:color w:val="000000"/>
          <w:lang w:eastAsia="es-CO"/>
        </w:rPr>
        <w:t xml:space="preserve"> </w:t>
      </w:r>
      <w:r w:rsidRPr="009342F9">
        <w:rPr>
          <w:rFonts w:ascii="Arial" w:eastAsia="Times New Roman" w:hAnsi="Arial" w:cs="Arial"/>
          <w:color w:val="000000"/>
          <w:lang w:eastAsia="es-CO"/>
        </w:rPr>
        <w:t>Requerimientos de los residuos sólidos para el aprovechamiento. En las actividades de aprovechamiento, los residuos deben cumplir por lo menos con los siguientes criterios básicos y requerimientos, para que los métodos de aprovechamiento se realicen en forma óptima:  </w:t>
      </w:r>
    </w:p>
    <w:p w14:paraId="4723CF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EB7D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residuos sólidos deben estar debidamente separados por tipo de material, de acuerdo con los lineamientos establecidos en el Plan de Gestión Integral de Residuos Sólidos (PGIRS) o en su defecto sujetándose a lo establecido en el programa de prestación por la persona prestadora de la actividad de aprovechamiento.  </w:t>
      </w:r>
    </w:p>
    <w:p w14:paraId="3C4034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17D7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 deben estar contaminados con residuos peligrosos, metales pesados, ni bifenilos policlorados.  </w:t>
      </w:r>
    </w:p>
    <w:p w14:paraId="5BA087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7450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caso de las fracciones de residuos sólidos orgánicos biodegradables, el almacenamiento temporal no puede superar las cuarenta y ocho (48) horas”. </w:t>
      </w:r>
    </w:p>
    <w:p w14:paraId="0C8B0F3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33" w:name="ver_30075756"/>
      <w:bookmarkEnd w:id="1732"/>
      <w:bookmarkEnd w:id="1733"/>
    </w:p>
    <w:p w14:paraId="4DD32C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2.3.2.2.2.8.83. Almacenamiento de materiales aprovechables. El almacenamiento de los materiales aprovechables deberá realizarse de tal manera, que no se deteriore su calidad ni se pierda su valor. Los residuos sólidos aprovechables separados en la </w:t>
      </w:r>
      <w:proofErr w:type="gramStart"/>
      <w:r w:rsidRPr="009342F9">
        <w:rPr>
          <w:rFonts w:ascii="Arial" w:eastAsia="Times New Roman" w:hAnsi="Arial" w:cs="Arial"/>
          <w:color w:val="000000"/>
          <w:lang w:eastAsia="es-CO"/>
        </w:rPr>
        <w:t>fuente,</w:t>
      </w:r>
      <w:proofErr w:type="gramEnd"/>
      <w:r w:rsidRPr="009342F9">
        <w:rPr>
          <w:rFonts w:ascii="Arial" w:eastAsia="Times New Roman" w:hAnsi="Arial" w:cs="Arial"/>
          <w:color w:val="000000"/>
          <w:lang w:eastAsia="es-CO"/>
        </w:rPr>
        <w:t xml:space="preserve"> deben almacenarse de manera que no afecten el entorno físico, la salud humana y la seguridad; por lo tanto, deben controlarse los vectores, olores, explosiones y fuentes de llama o chispas que puedan generar incendios. Los lugares de almacenamiento deben salvaguardar las características físicas y químicas de los residuos sólidos allí depositados. Se deben almacenar bajo condiciones seguras dependiendo de sus características. Los materiales reciclables inorgánicos pueden almacenarse en altura. </w:t>
      </w:r>
    </w:p>
    <w:p w14:paraId="346F8307" w14:textId="6832BF5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34" w:name="ver_30075757"/>
      <w:bookmarkEnd w:id="1734"/>
    </w:p>
    <w:p w14:paraId="35027A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2.3.2.2.2.8.84. Compactación o densificación de materiales aprovechables. En las instalaciones de almacenamiento se podrá incrementar la densidad de los residuos sólidos, ya sea para reducir las necesidades de almacenamiento o para la reducción del volumen para el transporte, con los equipos tecnológicos disponibles en el mercado. </w:t>
      </w:r>
    </w:p>
    <w:p w14:paraId="4A38F737" w14:textId="313200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35" w:name="ver_30075758"/>
      <w:bookmarkEnd w:id="1735"/>
    </w:p>
    <w:p w14:paraId="0670D06D"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Artículo 2.3.2.2.2.8.85. Sistemas de aprovechamiento y valorización regionales. Los municipios o distritos como responsables de asegurar la prestación del servicio público de aseo, y las personas prestadoras del servicio y/o los recicladores de oficio debidamente formalizados pueden optar por establecer sistemas de aprovechamiento de residuos de carácter regional incorporando la gestión de residuos aprovechables provenientes de varios municipios. </w:t>
      </w:r>
    </w:p>
    <w:p w14:paraId="1D561358" w14:textId="42D5AEC9" w:rsidR="00452CA3" w:rsidRPr="009342F9" w:rsidRDefault="00FC79C1" w:rsidP="000443A9">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736" w:name="ver_30075759"/>
      <w:bookmarkEnd w:id="1736"/>
    </w:p>
    <w:p w14:paraId="4CA16336" w14:textId="6DA85C4A"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9</w:t>
      </w:r>
    </w:p>
    <w:p w14:paraId="6667FE55"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ESTACIONES DE CLASIFICACIÓN Y APROVECHAMIENTO</w:t>
      </w:r>
    </w:p>
    <w:p w14:paraId="3E94FC6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37" w:name="ver_30110820"/>
      <w:bookmarkStart w:id="1738" w:name="ver_30110818"/>
      <w:bookmarkEnd w:id="1737"/>
    </w:p>
    <w:p w14:paraId="74A439CF" w14:textId="0A30D5D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2.3.2.2.2.9.86.</w:t>
      </w:r>
      <w:r w:rsidR="00452CA3">
        <w:rPr>
          <w:rFonts w:ascii="Arial" w:eastAsia="Times New Roman" w:hAnsi="Arial" w:cs="Arial"/>
          <w:color w:val="000000"/>
          <w:lang w:eastAsia="es-CO"/>
        </w:rPr>
        <w:t xml:space="preserve"> </w:t>
      </w:r>
      <w:r w:rsidRPr="009342F9">
        <w:rPr>
          <w:rFonts w:ascii="Arial" w:eastAsia="Times New Roman" w:hAnsi="Arial" w:cs="Arial"/>
          <w:color w:val="000000"/>
          <w:lang w:eastAsia="es-CO"/>
        </w:rPr>
        <w:t>Requisitos mínimos para las Estaciones de Clasificación y Aprovechamiento (ECA). Las estaciones de clasificación y aprovechamiento deberán cumplir como mínimo con los siguientes requisitos: </w:t>
      </w:r>
    </w:p>
    <w:p w14:paraId="5B4AA9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45D0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Contar con el uso del suelo compatible con la actividad. </w:t>
      </w:r>
    </w:p>
    <w:p w14:paraId="436E66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4BF8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Contar con una zona operativa y de almacenamiento de materiales cubierta y con cerramiento físico con el fin de prevenir o mitigar los impactos sobre el área de influencia. </w:t>
      </w:r>
    </w:p>
    <w:p w14:paraId="669397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29CA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Contar con el respectivo diagrama de flujo del proceso incluidos la recepción, pesaje y registro. </w:t>
      </w:r>
    </w:p>
    <w:p w14:paraId="295C88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F237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Contar con medidas de seguridad industrial. </w:t>
      </w:r>
    </w:p>
    <w:p w14:paraId="304C8B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9FFF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Contar con áreas para: </w:t>
      </w:r>
    </w:p>
    <w:p w14:paraId="2C0C33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26D8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Administración </w:t>
      </w:r>
    </w:p>
    <w:p w14:paraId="4C5DB4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D30A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Recepción </w:t>
      </w:r>
    </w:p>
    <w:p w14:paraId="584324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CDD2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Pesaje </w:t>
      </w:r>
    </w:p>
    <w:p w14:paraId="4D10F0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EF2D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Selección y clasificación </w:t>
      </w:r>
    </w:p>
    <w:p w14:paraId="7BBC76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097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Almacenamiento temporal de materiales aprovechables </w:t>
      </w:r>
    </w:p>
    <w:p w14:paraId="655156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8368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Almacenamiento temporal para materiales de rechazo incluidos aquellos de rápida biodegradación. </w:t>
      </w:r>
    </w:p>
    <w:p w14:paraId="584623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C7F1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Contar con instrumentos de pesaje debidamente calibrados de acuerdo con lo dispuesto en el Decreto número 1074 de 2015 “por medio del cual se expide el Decreto Único Reglamentario del Sector Comercio, Industria y Turismo”. </w:t>
      </w:r>
    </w:p>
    <w:p w14:paraId="327609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631E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Contar con un sistema de control de emisión de olores. </w:t>
      </w:r>
    </w:p>
    <w:p w14:paraId="7695AE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629E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Contar con un sistema de prevención y control de incendios. </w:t>
      </w:r>
    </w:p>
    <w:p w14:paraId="4D7390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895F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Contar con sistemas de drenaje para las aguas lluvias y escorrentía subsuperficial. </w:t>
      </w:r>
    </w:p>
    <w:p w14:paraId="621EBD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4871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Contar con sistema de recolección y tratamiento de lixiviados cuando sea del caso. </w:t>
      </w:r>
    </w:p>
    <w:p w14:paraId="064A13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D2B4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Contar con pisos rígidos y las paredes que permitan su aseo, desinfección periódica y mantenimiento mediante el lavado. </w:t>
      </w:r>
    </w:p>
    <w:p w14:paraId="486682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AA83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Estar vinculado al servicio público de aseo como usuario, para efectos de la presentación y entrega de rechazos con destino a disposición final. </w:t>
      </w:r>
    </w:p>
    <w:p w14:paraId="6B800B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374B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Ninguna autoridad podrá imponer obligaciones adicionales a las establecidas en el presente decreto para la operación de las Estaciones de Clasificación y Aprovechamiento (ECA)”. </w:t>
      </w:r>
    </w:p>
    <w:p w14:paraId="456128FF" w14:textId="77777777" w:rsidR="00FC79C1" w:rsidRPr="009342F9" w:rsidRDefault="00FC79C1" w:rsidP="00F74103">
      <w:pPr>
        <w:spacing w:after="0" w:line="240" w:lineRule="auto"/>
        <w:jc w:val="center"/>
        <w:rPr>
          <w:rFonts w:ascii="Arial" w:eastAsia="Times New Roman" w:hAnsi="Arial" w:cs="Arial"/>
          <w:b/>
          <w:bCs/>
          <w:color w:val="000000"/>
          <w:lang w:eastAsia="es-CO"/>
        </w:rPr>
      </w:pPr>
    </w:p>
    <w:p w14:paraId="3B6E95C7"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739" w:name="ver_30075761"/>
      <w:bookmarkEnd w:id="1738"/>
      <w:bookmarkEnd w:id="1739"/>
      <w:r w:rsidRPr="009342F9">
        <w:rPr>
          <w:rFonts w:ascii="Arial" w:eastAsia="Times New Roman" w:hAnsi="Arial" w:cs="Arial"/>
          <w:b/>
          <w:bCs/>
          <w:color w:val="000000"/>
          <w:lang w:eastAsia="es-CO"/>
        </w:rPr>
        <w:t>SECCIÓN 3</w:t>
      </w:r>
    </w:p>
    <w:p w14:paraId="1C74D6A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GESTIÓN INTEGRAL DE LOS RESIDUOS SÓLIDOS</w:t>
      </w:r>
    </w:p>
    <w:p w14:paraId="495B729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40" w:name="ver_30075762"/>
      <w:bookmarkEnd w:id="1740"/>
    </w:p>
    <w:p w14:paraId="54483E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2.3.2.2.3.87. Plan para la gestión integral de residuos sólidos, PGIRS. Los municipios y </w:t>
      </w:r>
      <w:proofErr w:type="gramStart"/>
      <w:r w:rsidRPr="009342F9">
        <w:rPr>
          <w:rFonts w:ascii="Arial" w:eastAsia="Times New Roman" w:hAnsi="Arial" w:cs="Arial"/>
          <w:color w:val="000000"/>
          <w:lang w:eastAsia="es-CO"/>
        </w:rPr>
        <w:t>distritos,</w:t>
      </w:r>
      <w:proofErr w:type="gramEnd"/>
      <w:r w:rsidRPr="009342F9">
        <w:rPr>
          <w:rFonts w:ascii="Arial" w:eastAsia="Times New Roman" w:hAnsi="Arial" w:cs="Arial"/>
          <w:color w:val="000000"/>
          <w:lang w:eastAsia="es-CO"/>
        </w:rPr>
        <w:t xml:space="preserve"> deberán elaborar, implementar y mantener actualizado un plan municipal o distrital para la gestión integral de residuos o desechos sólidos en el ámbito local y/o regional según el caso, en el marco de la gestión integral de los residuos, el presente decreto y la metodología para la elaboración de los PGIRS. </w:t>
      </w:r>
    </w:p>
    <w:p w14:paraId="729997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434D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PGIRS deberá incorporar y fortalecer de manera permanente y progresiva las acciones afirmativas a favor de la población recicladora. </w:t>
      </w:r>
    </w:p>
    <w:p w14:paraId="75FA06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E1C3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Así mismo, el PGIRS tendrá en cuenta entre otros, los siguientes lineamientos estratégicos: </w:t>
      </w:r>
    </w:p>
    <w:p w14:paraId="57261C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1AD7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Reducción en el origen: Implica acciones orientadas a promover cambios en el consumo de bienes y servicios para reducir la cantidad de residuos generados por parte de los usuarios. Incluye el desarrollo de acciones que fomenten el ecodiseño de productos y empaques que faciliten su reutilización o aprovechamiento, la optimización de los procesos productivos, el desarrollo de programas y proyectos de sensibilización, educación y capacitación. </w:t>
      </w:r>
    </w:p>
    <w:p w14:paraId="5CC1A1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5101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Aprovechamiento: Implica el desarrollo de proyectos de aprovechamiento de residuos para su incorporación en el ciclo productivo con viabilidad social, económica y financiera que garanticen su sostenibilidad en el tiempo y evaluables a través del establecimiento de metas por parte del municipio o distrito. </w:t>
      </w:r>
    </w:p>
    <w:p w14:paraId="3DC105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FBE7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Disposición final de los residuos generados que no puedan ser aprovechados. </w:t>
      </w:r>
    </w:p>
    <w:p w14:paraId="4AF751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F3DD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implementación de los programas y proyectos establecidos en el PGIRS deberá incorporarse en los planes de desarrollo del nivel municipal y/o distrital y con la asignación de los recursos correspondientes. </w:t>
      </w:r>
    </w:p>
    <w:p w14:paraId="028C64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FB72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formulación e implementación del Plan para la Gestión Integral de Residuos Sólidos, PGIRS, estará en consonancia con lo dispuesto en los planes de ordenamiento territorial y lo establecido en este decreto. La revisión y actualización es obligatoria y deberá realizarse dentro de los doce (12) meses siguientes al inicio del período constitucional del alcalde distrital o municipal. </w:t>
      </w:r>
    </w:p>
    <w:p w14:paraId="6F5474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FA16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estudios de factibilidad para la elaboración del Plan de Gestión Integral de los Residuos Sólidos, las autoridades distritales y municipales deberán garantizar la participación de los recicladores de oficio en la formulación, implementación y actualización. </w:t>
      </w:r>
    </w:p>
    <w:p w14:paraId="364892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32D4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ente territorial no podrá delegar en la persona prestadora del servicio público de aseo la elaboración, implementación y actualización de los PGIRS. </w:t>
      </w:r>
    </w:p>
    <w:p w14:paraId="4E0A2D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875E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Ministerios de Vivienda, Ciudad y Territorio y Ambiente y Desarrollo Sostenible deberán adoptar la metodología para la elaboración de los PGIRS. Mientras se expide la norma de metodología, se seguirá aplicando la Resolución 1045 de 2003, en lo que no sea contrario a lo dispuesto en el presente capítulo. </w:t>
      </w:r>
    </w:p>
    <w:p w14:paraId="7D89F53E" w14:textId="136D475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1" w:name="ver_30075763"/>
      <w:bookmarkEnd w:id="1741"/>
    </w:p>
    <w:p w14:paraId="30924A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2.3.2.2.3.88. Del interés social y utilidad pública. Las áreas potenciales que la entidad territorial seleccione y determine de acuerdo con· las normas· de ordenamiento territorial para la ubicación de infraestructuras para la provisión del servicio público de aseo en la actividad complementaria de aprovechamiento, hacen parte de los bienes y servicios de interés común, los cuales prevalecerán sobre el interés particular. La formulación del PGIRS deberá contar con los estudios técnicos que soporten las decisiones adoptadas. </w:t>
      </w:r>
    </w:p>
    <w:p w14:paraId="5C378BA9" w14:textId="048FE3A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2" w:name="ver_30075764"/>
      <w:bookmarkEnd w:id="1742"/>
    </w:p>
    <w:p w14:paraId="59F5C5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2.3.2.2.3.89. Aprovechamiento en el marco de los PGIRS. Los municipios y distritos al actualizar el respectivo plan de gestión integral de residuos sólidos PGIRS están en la obligación de diseñar, implementar y mantener actualizados, programas y proyectos sostenibles de aprovechamiento de residuos sólidos. En desarrollo de esta actividad deberán dar prioridad a los estudios de factibilidad sobre aprovechamiento de residuos. </w:t>
      </w:r>
    </w:p>
    <w:p w14:paraId="2A0AAD83" w14:textId="66EE28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3" w:name="ver_30075765"/>
      <w:bookmarkEnd w:id="1743"/>
    </w:p>
    <w:p w14:paraId="76AF41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2.3.2.2.3.90. Programa de aprovechamiento. En el marco de la Gestión Integral de Residuos Sólidos, el municipio o distrito deberá diseñar implementar y mantener actualizado un programa de aprovechamiento de residuos sólidos como parte del Plan de Gestión Integral de Residuos Sólidos -PGIRS. </w:t>
      </w:r>
    </w:p>
    <w:p w14:paraId="3C7B11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680E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A las autoridades ambientales competentes, les corresponde realizar el control y seguimiento de la ejecución del PGIRS, exclusivamente en lo relacionado con las metas de aprovechamiento y las autorizaciones ambientales que requiera el prestador del servicio de aseo, de conformidad con la normatividad ambiental vigente. </w:t>
      </w:r>
    </w:p>
    <w:p w14:paraId="68472356" w14:textId="0EEBB2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4" w:name="ver_30075766"/>
      <w:bookmarkEnd w:id="1744"/>
    </w:p>
    <w:p w14:paraId="0C2397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2.3.2.2.3.91. Viabilidad de los proyectos de aprovechamiento. El ente territorial en el marco de los PGIRS deberá determinar la viabilidad de los proyectos de aprovechamiento de residuos, teniendo en cuenta aspectos sociales, económicos, técnicos, operativos, financieros y </w:t>
      </w:r>
      <w:proofErr w:type="gramStart"/>
      <w:r w:rsidRPr="009342F9">
        <w:rPr>
          <w:rFonts w:ascii="Arial" w:eastAsia="Times New Roman" w:hAnsi="Arial" w:cs="Arial"/>
          <w:color w:val="000000"/>
          <w:lang w:eastAsia="es-CO"/>
        </w:rPr>
        <w:t>comerciales</w:t>
      </w:r>
      <w:proofErr w:type="gramEnd"/>
      <w:r w:rsidRPr="009342F9">
        <w:rPr>
          <w:rFonts w:ascii="Arial" w:eastAsia="Times New Roman" w:hAnsi="Arial" w:cs="Arial"/>
          <w:color w:val="000000"/>
          <w:lang w:eastAsia="es-CO"/>
        </w:rPr>
        <w:t xml:space="preserve"> así como los beneficios, entre otros los ambientales. Para ello deberá considerar, por lo menos, los siguientes factores: </w:t>
      </w:r>
    </w:p>
    <w:p w14:paraId="4C871D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82EA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Realización de un análisis de mercado en el cual se evalué como mínimo la oferta, la demanda, los precios históricos de compra y venta de materiales; identificación de los actores de la cadena de comercialización y transformación de material reciclable, que permita estimar la cantidad de residuos a ser incorporados en el ciclo productivo en un periodo determinado de tiempo. </w:t>
      </w:r>
    </w:p>
    <w:p w14:paraId="175BA8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6CA9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Realización de la cuantificación y caracterización de los residuos para determinar el potencial de aprovechamiento, de acuerdo con sus propiedades y condiciones de mercado. </w:t>
      </w:r>
    </w:p>
    <w:p w14:paraId="0DAA85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CF0B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Realización del </w:t>
      </w:r>
      <w:proofErr w:type="spellStart"/>
      <w:r w:rsidRPr="009342F9">
        <w:rPr>
          <w:rFonts w:ascii="Arial" w:eastAsia="Times New Roman" w:hAnsi="Arial" w:cs="Arial"/>
          <w:color w:val="000000"/>
          <w:lang w:eastAsia="es-CO"/>
        </w:rPr>
        <w:t>predimensionamiento</w:t>
      </w:r>
      <w:proofErr w:type="spellEnd"/>
      <w:r w:rsidRPr="009342F9">
        <w:rPr>
          <w:rFonts w:ascii="Arial" w:eastAsia="Times New Roman" w:hAnsi="Arial" w:cs="Arial"/>
          <w:color w:val="000000"/>
          <w:lang w:eastAsia="es-CO"/>
        </w:rPr>
        <w:t xml:space="preserve"> de la infraestructura y equipos necesarios, en lo posible considerando por lo menos dos (2) alternativas tecnológicas y administrativas, apropiadas a las condiciones socioeconómicas del municipio. Para el efecto se considerará la cantidad y tipo de residuos que se gestionarán en el proyecto de aprovechamiento, teniendo en cuenta el tipo de producto que el proyecto ofrecerá en el mercado. </w:t>
      </w:r>
    </w:p>
    <w:p w14:paraId="5F08AF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4C3F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Comparación de alternativas a través de indicadores como beneficio/costo, empleos generados, costos de operación y mantenimiento, ingresos, entre otros. </w:t>
      </w:r>
    </w:p>
    <w:p w14:paraId="6735CB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DF87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Evaluación de la viabilidad financiera y comercial de la alternativa seleccionada, para lo cual deberá considerar los costos de inversión, operación, administración y mantenimiento. Así mismo, deberá incluir los ingresos’ por concepto de comercialización de materiales y de tarifas. El análisis deberá ser desarrollado para un periodo mínimo de diez años, incorporando indicadores financieros como B/C, VPN y TIA. La viabilidad del proyecto se considera positiva en condiciones de indiferencia de estos indicadores. </w:t>
      </w:r>
    </w:p>
    <w:p w14:paraId="3B6B48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CE16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En el marco de los PGIRS, el municipio deberá considerar la articulación del proyecto de aprovechamiento de residuos con los demás componentes del servicio público de aseo como la presentación de los residuos separados en la· fuente, recolección y transporte selectivo, sensibilización y capacitación en separación en la fuente. </w:t>
      </w:r>
    </w:p>
    <w:p w14:paraId="063617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2282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Sensibilización, educación y capacitación a los usuarios del servicio público, funcionarios de la administración municipal, empleados de las empresas prestadoras del servicio público de aseo, en temas de competencia de cada grupo objetivo, que garantice la articulación· del esquema de aprovechamiento en el ente territorial. </w:t>
      </w:r>
    </w:p>
    <w:p w14:paraId="1AF6C6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5D7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El sitio donde se instalará la infraestructura debe ser compatible con los usos del suelo definidos en las normas de ordenamiento territorial vigentes. </w:t>
      </w:r>
    </w:p>
    <w:p w14:paraId="2EC915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5B09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El proyecto debe contar con los permisos, concesiones y autorizaciones a que haya lugar, según lo establecido en la normativa vigente. </w:t>
      </w:r>
    </w:p>
    <w:p w14:paraId="06857C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0FD0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Estructurar las estrategias para la vinculación de los recicladores de oficio cuando sea del caso. </w:t>
      </w:r>
    </w:p>
    <w:p w14:paraId="51777080" w14:textId="0B90374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5" w:name="ver_30075767"/>
      <w:bookmarkEnd w:id="1745"/>
    </w:p>
    <w:p w14:paraId="6E23B2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2.3.2.2.3.92. Gestión diferencial de residuos aprovechables. Cuando sea viable el desarrollo de proyectos de aprovechamiento, el ente territorial deberá establecer, acorde con el régimen de servicios públicos, una estrategia técnica, operativa y administrativa que garantice la gestión diferencial de residuos aprovechables y no aprovechables. Para ello se deberá tener en cuenta los siguientes aspectos: </w:t>
      </w:r>
    </w:p>
    <w:p w14:paraId="6A723E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C6C5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Desarrollar un programa de separación en la fuente. </w:t>
      </w:r>
    </w:p>
    <w:p w14:paraId="53943C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CEF7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Implementar rutas de recolección selectiva a través de las cuales podrán diferenciar los días, de recolección y transporte para los residuos aprovechables, de los residuos con destino a disposición final. </w:t>
      </w:r>
    </w:p>
    <w:p w14:paraId="36FA2D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BC5A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Estas opciones deben ser identificadas y evaluadas en el respectivo PGIRS de cada municipio o distrito. </w:t>
      </w:r>
    </w:p>
    <w:p w14:paraId="72E8ED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F834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Es deber de los usuarios realizar separación en la fuente cuando se haga recolección selectiva de residuos sólidos aprovechables, de acuerdo con las condiciones establecidas por las respectivos Planes de Gestión Integral de Residuos Sólidos-PGIRS y el Programa de Prestación del Servicio. </w:t>
      </w:r>
    </w:p>
    <w:p w14:paraId="090041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CFF2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Es deber del ente territorial, dentro de su responsabilidad como garante de la prestación del servicio público de aseo, incorporar las condiciones técnicas y operativas que permitan el desarrollo del esquema dé aprovechamiento y valorización de residuos definidos en el PGIRS y el Programa de Prestación del Servicio. </w:t>
      </w:r>
    </w:p>
    <w:p w14:paraId="75C3BC6C" w14:textId="7B30092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6" w:name="ver_30075768"/>
      <w:bookmarkEnd w:id="1746"/>
    </w:p>
    <w:p w14:paraId="712077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2.3.2.2.3.93. Fortalecimiento del aprovechamiento. Con el objeto de fomentar y fortalecer el aprovechamiento de los residuos sólidos, en condiciones adecuadas para la salud y el medio ambiente, el Ministerio de Ambiente y Desarrollo Sostenible en coordinación con el Ministerio de Vivienda, Ciudad y Territorio, con apoyo de la industria y la participación de las universidades y/o centros de investigación y otras entidades estatales, podrán adelantar estudios de valoración de residuos potencialmente aprovechables, con el fin de promocionar la recuperación de nuevos materiales, disminuir las cantidades de residuos a disponer y reunir la información técnica, económica y empresarial necesaria para incorporar dichos materiales a los procesos productivos. </w:t>
      </w:r>
    </w:p>
    <w:p w14:paraId="40220539" w14:textId="4B41CAF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7" w:name="ver_30075769"/>
      <w:bookmarkEnd w:id="1747"/>
    </w:p>
    <w:p w14:paraId="742F2C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2.3.2.2.3.94. Campañas de orientación y capacitación. Es obligación de los municipios, como responsables de la gestión integral de residuos sólidos, la implementación continua de campañas de orientación y capacitación de cómo separar y aprovechar los residuos sólidos en el marco del PGIRS. </w:t>
      </w:r>
    </w:p>
    <w:p w14:paraId="16618DF0" w14:textId="00617F4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8" w:name="ver_30075770"/>
      <w:bookmarkEnd w:id="1748"/>
    </w:p>
    <w:p w14:paraId="378EDC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2.3.2.2.3.95. Obligaciones de los municipios y distritos. Los municipios y distritos en ejercicios de sus funciones deberán: </w:t>
      </w:r>
    </w:p>
    <w:p w14:paraId="7E9B8F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E19E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Garantizar la prestación del servicio público de aseo en el área de su territorio de manera eficiente. </w:t>
      </w:r>
    </w:p>
    <w:p w14:paraId="5A8A89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C2A2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Definir el esquema de prestación del servicio de aseo y sus diferentes actividades de acuerdo con las condiciones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38E952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1B24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Formular y desarrollar el Plan de Gestión Integral de Residuos Sólidos de acuerdo con lo definido en este capítulo. </w:t>
      </w:r>
    </w:p>
    <w:p w14:paraId="2E4C41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7C15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Definir las áreas para la localización de estaciones de clasificación y aprovechamiento, plantas de aprovechamiento, sitios de disposición final de residuos y estaciones de transferencia, de acuerdo con los resultados de los estudios técnicos, requisitos ambientales, así como en el marco de las normas urbanísticas del respectivo municipio o distrito. </w:t>
      </w:r>
    </w:p>
    <w:p w14:paraId="395FB6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E33F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Adoptar en los PGIRS las determinaciones para incentivar procesos de separación en la fuente, recolección selectiva, acopio y reciclaje de residuos, como actividades fundamentales en los procesos de aprovechamiento de residuos sólidos. </w:t>
      </w:r>
    </w:p>
    <w:p w14:paraId="5415B8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4E68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Realizar y adoptar la estratificación municipal y tenerla a disposición de las personas prestadoras del servicio público de aseo para los efectos propios del catastro de suscriptores. </w:t>
      </w:r>
    </w:p>
    <w:p w14:paraId="3B044B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DA25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Establecer en el municipio o distrito una nomenclatura alfanumérica precisa, que permita individualizar cada predio. </w:t>
      </w:r>
    </w:p>
    <w:p w14:paraId="01CFB8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EA0D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Otorgar los subsidios para los usuarios de menores ingresos y suscribir los contratos respectivos. </w:t>
      </w:r>
    </w:p>
    <w:p w14:paraId="660326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F0B1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Formalizar la población recicladora de oficio, para que participe de manera organizada y coordinada en la prestación del servicio público que comprende la actividad complementaria de aprovechamiento, con el fin de dar cumplimiento a lo previsto en este decreto y en la regulación vigente. </w:t>
      </w:r>
    </w:p>
    <w:p w14:paraId="29DE89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53B3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Adoptar y fortalecer las acciones afirmativas en favor de la población recicladora. </w:t>
      </w:r>
    </w:p>
    <w:p w14:paraId="7B0C66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BFC2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Adelantar la actualización del censo de recicladores en su territorio, así como identificarlos y carnetizarlos con el fin de identificar la población objetivo y focalizar las acciones afirmativas para esta población vulnerable. </w:t>
      </w:r>
    </w:p>
    <w:p w14:paraId="48840C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D1B8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Las demás que establezcan las autoridades sanitarias y ambientales de acuerdo con sus funciones y competencias. </w:t>
      </w:r>
    </w:p>
    <w:p w14:paraId="64ADA1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0EBE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Independientemente del esquema de prestación del servicio público de aseo que adopte el municipio o distrito, este debe garantizar la prestación eficiente del servicio y sus actividades complementarias a todos los habitantes en su territorio, de acuerdo con los objetivos y metas definidos en el PGIRS. </w:t>
      </w:r>
    </w:p>
    <w:p w14:paraId="6D53E4AA" w14:textId="65FD67C6"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49" w:name="ver_30075771"/>
      <w:bookmarkEnd w:id="1749"/>
    </w:p>
    <w:p w14:paraId="1FAC53C8" w14:textId="0C853521"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SECCIÓN 4</w:t>
      </w:r>
    </w:p>
    <w:p w14:paraId="64A2AB5C" w14:textId="77777777" w:rsidR="00723293" w:rsidRPr="009342F9" w:rsidRDefault="00723293" w:rsidP="00F74103">
      <w:pPr>
        <w:spacing w:after="0" w:line="240" w:lineRule="auto"/>
        <w:jc w:val="center"/>
        <w:rPr>
          <w:rFonts w:ascii="Arial" w:eastAsia="Times New Roman" w:hAnsi="Arial" w:cs="Arial"/>
          <w:b/>
          <w:bCs/>
          <w:color w:val="000000"/>
          <w:lang w:eastAsia="es-CO"/>
        </w:rPr>
      </w:pPr>
    </w:p>
    <w:p w14:paraId="3116D0F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1</w:t>
      </w:r>
    </w:p>
    <w:p w14:paraId="535B34C6"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ATENCIÓN AL USUARIO Y GESTIÓN COMERCIAL DEL SERVICIO PÚBLICO DE ASEO</w:t>
      </w:r>
    </w:p>
    <w:p w14:paraId="6D046DB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50" w:name="ver_30075772"/>
      <w:bookmarkEnd w:id="1750"/>
    </w:p>
    <w:p w14:paraId="5DF2D5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2.3.2.2.4.1.96. Facturación conjunta del servicio público de aseo. Quienes presten cualquiera de los servicios públicos a los que se refiere la Ley 142 de 1994, prestarán oportunamente el servicio de facturación conjunta a las personas prestadoras del servicio de aseo, reconociendo por tal actividad el costo de estas más una utilidad razonable. </w:t>
      </w:r>
    </w:p>
    <w:p w14:paraId="47F0F5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13AF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los casos en que en el convenio de facturación conjunta se haya acordado el recaudo, el prestador responsable de esta actividad deberá transferir al prestador del servicio de aseo las sumas recaudadas en un plazo no mayor a treinta (30) días. </w:t>
      </w:r>
    </w:p>
    <w:p w14:paraId="5877230A" w14:textId="672618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1" w:name="ver_30075773"/>
      <w:bookmarkEnd w:id="1751"/>
    </w:p>
    <w:p w14:paraId="6D882D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2.3.2.2.4.1.97. Requisitos especiales de la factura. La factura del servicio público de aseo además de los requisitos establecidos en la Ley 142 de 1994 deberá indicar como mínimo la frecuencia de prestación del servicio. Así mismo, el prestador está obligado a entregar oportunamente las facturas a los suscriptores, de conformidad con las normas vigentes y los duplicados cuando a ello haya lugar. </w:t>
      </w:r>
    </w:p>
    <w:p w14:paraId="134FA531" w14:textId="6CE3328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2" w:name="ver_30075774"/>
      <w:bookmarkEnd w:id="1752"/>
    </w:p>
    <w:p w14:paraId="71810C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2.3.2.2.4.1.98. Facturación para usuarios agrupados en unidades inmobiliarias. El costo del servicio público de aseo para el caso de usuarios agrupados en unidades inmobiliarias, centros habitacionales, conjuntos residenciales, condominios o similares bajo el régimen de propiedad horizontal vigente o concentrados en centros comerciales o similares, los cuales hayan escogido la opción tarifaria de multiusuario, será igual a la suma de: </w:t>
      </w:r>
    </w:p>
    <w:p w14:paraId="7ED924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63DF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Un cargo fijo, que será establecido de conformidad con la metodología definida por la Comisión de Regulación de Agua Potable y Saneamiento Básico (CRA). </w:t>
      </w:r>
    </w:p>
    <w:p w14:paraId="717C2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0079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 cargo por la parte proporcional a los residuos sólidos generados y presentados por la agrupación o concentración de usuarios a la persona prestadora del servicio público de aseo, de acuerdo con el aforo realizado por esta y según la metodología definida por la Comisión de Regulación de Agua Potable y Saneamiento Básico (CRA). </w:t>
      </w:r>
    </w:p>
    <w:p w14:paraId="6142F5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DC97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w:t>
      </w:r>
      <w:proofErr w:type="gramStart"/>
      <w:r w:rsidRPr="009342F9">
        <w:rPr>
          <w:rFonts w:ascii="Arial" w:eastAsia="Times New Roman" w:hAnsi="Arial" w:cs="Arial"/>
          <w:color w:val="000000"/>
          <w:lang w:eastAsia="es-CO"/>
        </w:rPr>
        <w:t>El valor máximo a cobrar</w:t>
      </w:r>
      <w:proofErr w:type="gramEnd"/>
      <w:r w:rsidRPr="009342F9">
        <w:rPr>
          <w:rFonts w:ascii="Arial" w:eastAsia="Times New Roman" w:hAnsi="Arial" w:cs="Arial"/>
          <w:color w:val="000000"/>
          <w:lang w:eastAsia="es-CO"/>
        </w:rPr>
        <w:t xml:space="preserve"> por concepto del servicio de aseo a inmuebles desocupados será definido por la Comisión de Regulación de Agua Potable y Saneamiento Básico (CRA). Para acceder a esta tarifa será indispensable acreditar la desocupación del inmueble según los requisitos establecidos por la CRA. </w:t>
      </w:r>
    </w:p>
    <w:p w14:paraId="6DE7D750" w14:textId="67A41E8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3" w:name="ver_30075775"/>
      <w:bookmarkEnd w:id="1753"/>
    </w:p>
    <w:p w14:paraId="723C08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2.3.2.2.4.1.99. Prepago en facturación conjunta. Cuando se facture el servicio público de aseo de manera conjunta con cualquier otro servicio que tenga establecido un sistema de comercialización a través de la modalidad de prepago, no se podrá dejar de pagar el servicio público de aseo, </w:t>
      </w:r>
      <w:proofErr w:type="gramStart"/>
      <w:r w:rsidRPr="009342F9">
        <w:rPr>
          <w:rFonts w:ascii="Arial" w:eastAsia="Times New Roman" w:hAnsi="Arial" w:cs="Arial"/>
          <w:color w:val="000000"/>
          <w:lang w:eastAsia="es-CO"/>
        </w:rPr>
        <w:t>de acuerdo al</w:t>
      </w:r>
      <w:proofErr w:type="gramEnd"/>
      <w:r w:rsidRPr="009342F9">
        <w:rPr>
          <w:rFonts w:ascii="Arial" w:eastAsia="Times New Roman" w:hAnsi="Arial" w:cs="Arial"/>
          <w:color w:val="000000"/>
          <w:lang w:eastAsia="es-CO"/>
        </w:rPr>
        <w:t xml:space="preserve"> parágrafo del artículo 147 de la Ley 142 de 1994. </w:t>
      </w:r>
    </w:p>
    <w:p w14:paraId="526BCD64" w14:textId="019762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4" w:name="ver_30075776"/>
      <w:bookmarkEnd w:id="1754"/>
    </w:p>
    <w:p w14:paraId="0CB352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2.3.2.2.4.1.100. Información al usuario. Las personas prestadoras del servicio público de aseo deberán contar con la información completa y actualizada de sus usuarios, en especial de los datos sobre su identificación, de la modalidad del servicio que reciben, cantidad de residuos que genera, estado de cuentas y demás información que sea necesaria para el seguimiento y control del servicio. </w:t>
      </w:r>
    </w:p>
    <w:p w14:paraId="5680AF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E623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suministrará al usuario la información que le permita evaluar el servicio prestado en los términos establecidos en el artículo 9.4 de la Ley 142 de 1994. </w:t>
      </w:r>
    </w:p>
    <w:p w14:paraId="2BB2E523" w14:textId="394C302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5" w:name="ver_30075777"/>
      <w:bookmarkEnd w:id="1755"/>
    </w:p>
    <w:p w14:paraId="090D3B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2.3.2.2.4.1.101. Oficina de peticiones, quejas y recursos. Todas las personas prestadoras del servicio público de aseo deben disponer de una oficina para recibir, atender, tramitar y resolver todo tipo de peticiones, quejas y recursos que presenten los usuarios y/o suscriptores de conformidad con lo establecido en la Ley 142 de 1994. </w:t>
      </w:r>
    </w:p>
    <w:p w14:paraId="5BA3B7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B3B8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Estas oficinas llevarán un registro y harán un seguimiento detallado de cada una de las peticiones, quejas y recursos donde aparezca entre otros aspectos: motivo de la petición o queja, fecha en que se presentó, medio que utilizó el usuario y/o suscriptor, respuesta que se le dio y tiempo que utilizó la empresa para resolverla. La anterior información debe estar disponible en todo momento para consulta de los usuarios que lo soliciten y en particular de la autoridad competente. </w:t>
      </w:r>
    </w:p>
    <w:p w14:paraId="407F276E" w14:textId="0C3CE90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6" w:name="ver_30075778"/>
      <w:bookmarkEnd w:id="1756"/>
    </w:p>
    <w:p w14:paraId="691879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2.3.2.2.4.1.102. Suspensión en interés del servicio. En caso de presentarse suspensión en interés en la prestación del servicio público de aseo por cualquier causa, la persona prestadora deberá mantener informados a los usuarios de dicha circunstancia e implementar las medidas transitorias requeridas. </w:t>
      </w:r>
    </w:p>
    <w:p w14:paraId="6AF856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277D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suspensiones programadas del servicio público de aseo, la persona prestadora del servicio deberá avisar a sus usuarios con cinco (5) días de anticipación, a través del medio de difusión más efectivo que se disponga en la población o sector atendido. </w:t>
      </w:r>
    </w:p>
    <w:p w14:paraId="77188BD9" w14:textId="51483B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7" w:name="ver_30075779"/>
      <w:bookmarkEnd w:id="1757"/>
    </w:p>
    <w:p w14:paraId="03B9ED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2.3.2.2.4.1.103. Descuentos por fallas en la prestación del servicio público de aseo. La persona prestadora del servicio público de aseo está obligada a hacer los descuentos y reparar e indemnizar los perjuicios ocasionados como consecuencia de falla en la prestación del servicio, salvo que medie caso fortuito o fuerza mayor de acuerdo con lo establecido por la Ley 142 de 1994 y demás normas reglamentarias y regulatorias, sin perjuicio de los indicadores de descuento que defina la Comisión de Regulación de Agua Potable y Saneamiento Básico. </w:t>
      </w:r>
    </w:p>
    <w:p w14:paraId="05A1246F" w14:textId="6E4E21E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58" w:name="ver_30075780"/>
      <w:bookmarkEnd w:id="1758"/>
    </w:p>
    <w:p w14:paraId="11FF77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2.3.2.2.4.1.104. Relaciones con la comunidad. La persona prestadora deberá desarrollar programas orientados a establecer y fortalecer relaciones con los usuarios del servicio en el marco del Programa de Prestación del Servicio. </w:t>
      </w:r>
    </w:p>
    <w:p w14:paraId="10A436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DD51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Estos programas deberán atender los siguientes objetivos: </w:t>
      </w:r>
    </w:p>
    <w:p w14:paraId="73880A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087C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Suministrar información a los usuarios acerca de los horarios, frecuencias, normas y características generales de la prestación del servicio. </w:t>
      </w:r>
    </w:p>
    <w:p w14:paraId="718C53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6A09E4"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2. Promover actividades de capacitación a la comunidad sobre el uso eficiente del servicio, y sobre la cultura de la no basura de acuerdo con lo establecido en el PGIRS. </w:t>
      </w:r>
    </w:p>
    <w:p w14:paraId="1A7689C4" w14:textId="4105D722" w:rsidR="00452CA3" w:rsidRPr="009342F9" w:rsidRDefault="00FC79C1" w:rsidP="00723293">
      <w:pPr>
        <w:spacing w:after="0" w:line="240" w:lineRule="auto"/>
        <w:jc w:val="both"/>
        <w:rPr>
          <w:rFonts w:ascii="Arial" w:eastAsia="Times New Roman" w:hAnsi="Arial" w:cs="Arial"/>
          <w:b/>
          <w:bCs/>
          <w:color w:val="000000"/>
          <w:lang w:eastAsia="es-CO"/>
        </w:rPr>
      </w:pPr>
      <w:r w:rsidRPr="231E957E">
        <w:rPr>
          <w:rFonts w:ascii="Arial" w:eastAsia="Times New Roman" w:hAnsi="Arial" w:cs="Arial"/>
          <w:color w:val="000000" w:themeColor="text1"/>
          <w:lang w:eastAsia="es-CO"/>
        </w:rPr>
        <w:t>  </w:t>
      </w:r>
      <w:bookmarkStart w:id="1759" w:name="ver_30075781"/>
      <w:bookmarkEnd w:id="1759"/>
    </w:p>
    <w:p w14:paraId="44929532" w14:textId="46783802" w:rsidR="00FC79C1" w:rsidRPr="009342F9"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SUBSECCIÓN 2</w:t>
      </w:r>
    </w:p>
    <w:p w14:paraId="46727149"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RELACIONES ENTRE LOS USUARIOS Y LA PERSONA PRESTADORA DEL SERVICIO</w:t>
      </w:r>
    </w:p>
    <w:p w14:paraId="2F70DA5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60" w:name="ver_30075782"/>
      <w:bookmarkEnd w:id="1760"/>
    </w:p>
    <w:p w14:paraId="1775B0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2.3.2.2.4.2.105. Régimen jurídico aplicable. Las relaciones entre la persona prestadora del servicio público de aseo y los usuarios se someterán a las normas establecidas en la Ley 142 de 1994, el presente capítulo y normatividad complementaria del servicio público de aseo. </w:t>
      </w:r>
    </w:p>
    <w:p w14:paraId="04BBCB92" w14:textId="279D87F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61" w:name="ver_30075783"/>
      <w:bookmarkEnd w:id="1761"/>
    </w:p>
    <w:p w14:paraId="337D59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2.3.2.2.4.2.106. Clasificación de los suscriptores y/o usuarios del servicio de aseo. Los usuarios del servicio público de aseo se clasificarán en residenciales y no residenciales, y estos últimos en pequeños y grandes generadores de acuerdo con su producción. </w:t>
      </w:r>
    </w:p>
    <w:p w14:paraId="4B37BD32" w14:textId="226ADA2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62" w:name="ver_30075784"/>
      <w:bookmarkEnd w:id="1762"/>
    </w:p>
    <w:p w14:paraId="34620F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2.3.2.2.4.2.107. Condiciones de acceso al servicio. Para obtener la prestación del servicio público de aseo, basta que el usuario lo solicite, el inmueble se encuentre en las condiciones previstas por el prestador y este cuente con la capacidad técnica para suministrarlo. </w:t>
      </w:r>
    </w:p>
    <w:p w14:paraId="30FDDB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E6BC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personas prestadoras deberán disponer de formularios para la recepción de las solicitudes que los usuarios presenten de manera verbal. </w:t>
      </w:r>
    </w:p>
    <w:p w14:paraId="4FD420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E294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haya servicio público de aseo disponible será obligatorio vincularse como usuario y cumplir con los deberes respectivos, o acreditar que se dispone de alternativas que no perjudiquen a la comunidad. La Superintendencia de Servicios Públicos Domiciliarios será la entidad competente para determinar si la alternativa propuesta no causa perjuicios a la comunidad. </w:t>
      </w:r>
    </w:p>
    <w:p w14:paraId="3ABA497E" w14:textId="6102B2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63" w:name="ver_30075785"/>
      <w:bookmarkEnd w:id="1763"/>
    </w:p>
    <w:p w14:paraId="17A248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2.3.2.2.4.2.108. De los derechos. Son derechos de los usuarios: </w:t>
      </w:r>
    </w:p>
    <w:p w14:paraId="47CC0A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C4DD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ejercicio de la libre elección del prestador del servicio público de aseo en los términos previstos en las disposiciones legales vigentes. En caso de presentarse una solicitud de terminación anticipada del contrato por parte del usuario la persona prestadora deberá resolver la petición en un plazo de quince (15) días hábiles, so pena que la Superintendencia de Servicios Públicos Domiciliarios imponga, al prestador que incumpla esta obligación, las sanciones correspondientes por violación del régimen de servicios públicos domiciliarios, conforme al artículo 81 de la Ley 142 de 1994. </w:t>
      </w:r>
    </w:p>
    <w:p w14:paraId="106BFC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C515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Acceso a la información de manera completa, precisa y oportuna en los términos del artículo 9.4 de la Ley 142 de 1994. </w:t>
      </w:r>
    </w:p>
    <w:p w14:paraId="38DF4C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7CF8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Hacer parte de los Comités de Desarrollo y Control Social. </w:t>
      </w:r>
    </w:p>
    <w:p w14:paraId="7A4CE0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5FD1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Hacer consultas, peticiones, quejas e interponer los recursos. </w:t>
      </w:r>
    </w:p>
    <w:p w14:paraId="60EE5C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693E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Tener un servicio de buena calidad. </w:t>
      </w:r>
    </w:p>
    <w:p w14:paraId="679C99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A90E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El cobro individual por la prestación del servicio en los términos previstos en la legislación vigente. </w:t>
      </w:r>
    </w:p>
    <w:p w14:paraId="59A3B8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DFF6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Recibir oportunamente la factura por la prestación del servicio en los términos previstos en la legislación vigente. </w:t>
      </w:r>
    </w:p>
    <w:p w14:paraId="42FB57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6443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Obtener, el descuento en la factura por falla en la prestación del servicio de aseo imputable a la persona prestadora. </w:t>
      </w:r>
    </w:p>
    <w:p w14:paraId="048980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2447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Obtener el aforo de los residuos sólidos, de conformidad con lo que establezca la Comisión de Regulación de Agua Potable y Saneamiento Básico. </w:t>
      </w:r>
    </w:p>
    <w:p w14:paraId="658239E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64" w:name="ver_30075786"/>
      <w:bookmarkEnd w:id="1764"/>
      <w:r w:rsidRPr="009342F9">
        <w:rPr>
          <w:rFonts w:ascii="Arial" w:eastAsia="Times New Roman" w:hAnsi="Arial" w:cs="Arial"/>
          <w:color w:val="000000"/>
          <w:lang w:eastAsia="es-CO"/>
        </w:rPr>
        <w:t>Artículo 2.3.2.2.4.2.109. De los deberes. Son deberes de los usuarios, entre otros: </w:t>
      </w:r>
    </w:p>
    <w:p w14:paraId="4FF40F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F393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Vincularse al servicio de aseo, siempre que haya un servicio disponible, o acreditar que se dispone de alternativas que no perjudiquen a la comunidad, de acuerdo con lo establecido por la ley. </w:t>
      </w:r>
    </w:p>
    <w:p w14:paraId="7B691E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C39B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Hacer buen uso del servicio, de modo que no genere riesgos o se constituya en un obstáculo para la prestación del servicio a los demás miembros de la comunidad. Todo usuario está en la obligación de facilitar la medición periódica de sus residuos sólidos, de conformidad con las normas de aforo vigentes. </w:t>
      </w:r>
    </w:p>
    <w:p w14:paraId="0D21C0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F45D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Realizar la separación de los residuos sólidos en la fuente de manera que se permita la recolección selectiva, de acuerdo con el plan de gestión integral de residuos sólidos y los Programas de Prestación del Servicio de aseo establecidos. </w:t>
      </w:r>
    </w:p>
    <w:p w14:paraId="53B9CA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8839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Presentar los residuos sólidos para su recolección en las condiciones y horarios establecidos en el presente decreto y por la persona prestadora del servicio y de conformidad con el programa de aprovechamiento viable y sostenible que desarrolle la persona prestadora del servicio. </w:t>
      </w:r>
    </w:p>
    <w:p w14:paraId="1A1D22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C113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Mantener limpios y cerrados los lotes de terreno de su propiedad, así como las construcciones que amenacen ruina. Cuando por ausencia o deficiencia en el cierre y/o mantenimiento de estos se acumulen residuos sólidos en los mismos, el propietario del predio deberá contratar la recolección, transporte y disposición final con una persona prestadora del servicio público de aseo. </w:t>
      </w:r>
    </w:p>
    <w:p w14:paraId="0C081D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72C7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Recoger los residuos sólidos originados por el cargue, descargue o transporte de cualquier mercancía. </w:t>
      </w:r>
    </w:p>
    <w:p w14:paraId="0465F8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0D5B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7. Pagar oportunamente el servicio prestado. En caso de no recibir oportunamente la factura, el suscriptor o usuario está obligado a solicitar duplicado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a la empresa. </w:t>
      </w:r>
    </w:p>
    <w:p w14:paraId="3683A3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21EF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Cumplir los reglamentos y disposiciones de las personas prestadoras del servicio. </w:t>
      </w:r>
    </w:p>
    <w:p w14:paraId="77ED1B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5134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No cambiar la destinación del inmueble receptor del servicio, sin el lleno de los requisitos exigidos por el municipio o distrito. </w:t>
      </w:r>
    </w:p>
    <w:p w14:paraId="6C679E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3BFF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10. </w:t>
      </w:r>
      <w:proofErr w:type="gramStart"/>
      <w:r w:rsidRPr="009342F9">
        <w:rPr>
          <w:rFonts w:ascii="Arial" w:eastAsia="Times New Roman" w:hAnsi="Arial" w:cs="Arial"/>
          <w:color w:val="000000"/>
          <w:lang w:eastAsia="es-CO"/>
        </w:rPr>
        <w:t>Dar aviso</w:t>
      </w:r>
      <w:proofErr w:type="gramEnd"/>
      <w:r w:rsidRPr="009342F9">
        <w:rPr>
          <w:rFonts w:ascii="Arial" w:eastAsia="Times New Roman" w:hAnsi="Arial" w:cs="Arial"/>
          <w:color w:val="000000"/>
          <w:lang w:eastAsia="es-CO"/>
        </w:rPr>
        <w:t xml:space="preserve"> a las personas prestadoras del servicio público de aseo de los cambios en la destinación del inmueble. </w:t>
      </w:r>
    </w:p>
    <w:p w14:paraId="3ED0C8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B4CA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 </w:t>
      </w:r>
      <w:proofErr w:type="gramStart"/>
      <w:r w:rsidRPr="009342F9">
        <w:rPr>
          <w:rFonts w:ascii="Arial" w:eastAsia="Times New Roman" w:hAnsi="Arial" w:cs="Arial"/>
          <w:color w:val="000000"/>
          <w:lang w:eastAsia="es-CO"/>
        </w:rPr>
        <w:t>Dar aviso</w:t>
      </w:r>
      <w:proofErr w:type="gramEnd"/>
      <w:r w:rsidRPr="009342F9">
        <w:rPr>
          <w:rFonts w:ascii="Arial" w:eastAsia="Times New Roman" w:hAnsi="Arial" w:cs="Arial"/>
          <w:color w:val="000000"/>
          <w:lang w:eastAsia="es-CO"/>
        </w:rPr>
        <w:t xml:space="preserve"> a la persona prestadora del servicio de la existencia de fallas en el servicio, cuando estas se presenten. </w:t>
      </w:r>
    </w:p>
    <w:p w14:paraId="34DC87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3420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Almacenar y presentar los residuos sólidos. </w:t>
      </w:r>
    </w:p>
    <w:p w14:paraId="0EC35D6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65" w:name="ver_30075787"/>
      <w:bookmarkEnd w:id="1765"/>
    </w:p>
    <w:p w14:paraId="77E324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2.3.2.2.4.2.110. Terminación anticipada del contrato del servicio público de aseo. Todo usuario del servicio público de aseo tiene derecho a terminar anticipadamente el contrato de prestación del servicio público de aseo. Para lo anterior el suscriptor deberá cumplir los siguientes requisitos: </w:t>
      </w:r>
    </w:p>
    <w:p w14:paraId="5FF500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204C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Presentar solicitud ante la persona prestadora, en la cual manifieste su voluntad de desvincularse, cumpliendo para ello con el término de preaviso contemplado en el contrato del servicio público de aseo, el cual no podrá ser superior a dos meses conforme al numeral 21 art.133 de la Ley 142 de 1994. </w:t>
      </w:r>
    </w:p>
    <w:p w14:paraId="532087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FFEE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Acreditar que va a celebrar un nuevo contrato con otra persona prestadora del servicio público de aseo. En este caso, la solicitud de desvinculación deberá ir acompañada de la constancia del nuevo prestador en la que manifieste su disponibilidad para prestar el servicio público de aseo al solicitante determinando la identificación del predio que será atendido. </w:t>
      </w:r>
    </w:p>
    <w:p w14:paraId="7269A0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492D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En los casos en que no se vaya a vincular a un nuevo prestador, acreditar que dispone de otras alternativas que no causan perjuicios a la comunidad, conforme a lo establecido en el parágrafo del artículo 16 de la Ley 142 de 1994. </w:t>
      </w:r>
    </w:p>
    <w:p w14:paraId="675B18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BEE5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Estar a paz y salvo con la persona prestadora a la cual solicita la terminación anticipada del contrato o haber celebrado un convenio de pago respecto de las obligaciones económicas a su cargo. Si a la fecha de solicitud de terminación del contrato la persona se encuentra a paz y salvo, pero se generan obligaciones con respecto a la fecha efectiva de terminación del contrato, </w:t>
      </w:r>
      <w:proofErr w:type="gramStart"/>
      <w:r w:rsidRPr="009342F9">
        <w:rPr>
          <w:rFonts w:ascii="Arial" w:eastAsia="Times New Roman" w:hAnsi="Arial" w:cs="Arial"/>
          <w:color w:val="000000"/>
          <w:lang w:eastAsia="es-CO"/>
        </w:rPr>
        <w:t>el pago de tales obligaciones deberán</w:t>
      </w:r>
      <w:proofErr w:type="gramEnd"/>
      <w:r w:rsidRPr="009342F9">
        <w:rPr>
          <w:rFonts w:ascii="Arial" w:eastAsia="Times New Roman" w:hAnsi="Arial" w:cs="Arial"/>
          <w:color w:val="000000"/>
          <w:lang w:eastAsia="es-CO"/>
        </w:rPr>
        <w:t xml:space="preserve"> pactarse en un acuerdo de pago y expedir el respectivo paz y salvo al momento de la solitud de terminación. </w:t>
      </w:r>
    </w:p>
    <w:p w14:paraId="326D04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4A6E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prestadores del servicio de aseo que reciban solicitudes de terminación del contrato no podrán negarse a terminarlo por razones distintas de las señaladas en esta norma y no podrán imponer en su contrato documentos o requisitos que impidan este derecho. </w:t>
      </w:r>
    </w:p>
    <w:p w14:paraId="1179AE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1C93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no podrá solicitar requisitos adicionales a los previstos en este artículo. </w:t>
      </w:r>
    </w:p>
    <w:p w14:paraId="574125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437F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del servicio público de aseo deberá tramitar y resolver de fondo la solicitud de terminación anticipada del contrato, en un plazo máximo de quince (15) días hábiles, so pena de imposición de sanciones por parte de la Superintendencia de Servicios Públicos Domiciliarios. </w:t>
      </w:r>
    </w:p>
    <w:p w14:paraId="2D78C7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7F0251" w14:textId="77777777" w:rsidR="00FC79C1" w:rsidRPr="009342F9" w:rsidRDefault="00FC79C1" w:rsidP="00FC79C1">
      <w:pPr>
        <w:spacing w:after="0" w:line="240" w:lineRule="auto"/>
        <w:jc w:val="both"/>
        <w:rPr>
          <w:rFonts w:ascii="Arial" w:eastAsia="Times New Roman" w:hAnsi="Arial" w:cs="Arial"/>
          <w:color w:val="000000"/>
          <w:lang w:eastAsia="es-CO"/>
        </w:rPr>
      </w:pPr>
      <w:r w:rsidRPr="231E957E">
        <w:rPr>
          <w:rFonts w:ascii="Arial" w:eastAsia="Times New Roman" w:hAnsi="Arial" w:cs="Arial"/>
          <w:color w:val="000000" w:themeColor="text1"/>
          <w:lang w:eastAsia="es-CO"/>
        </w:rPr>
        <w:t>La persona prestadora no podrá negar la terminación anticipada del contrato argumentando que la nueva persona prestadora no está en capacidad de prestarlo. </w:t>
      </w:r>
    </w:p>
    <w:p w14:paraId="1365F9C7" w14:textId="62A6ADBE"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66" w:name="ver_30075788"/>
      <w:bookmarkEnd w:id="1766"/>
    </w:p>
    <w:p w14:paraId="5200B48A" w14:textId="3DD0EECD"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001AE6E2"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OBLIGACIONES DE LAS PERSONAS PRESTADORAS</w:t>
      </w:r>
    </w:p>
    <w:p w14:paraId="231809E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67" w:name="ver_30075789"/>
      <w:bookmarkEnd w:id="1767"/>
    </w:p>
    <w:p w14:paraId="6C418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2.3.2.2.4.2.111. Obligaciones de las personas prestadoras. Son obligaciones de las personas prestadoras, además de las previstas en la Ley 142 de 1994 y en este capítulo, las siguientes: </w:t>
      </w:r>
    </w:p>
    <w:p w14:paraId="290420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4ED6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Tener un contrato de servicios públicos que contenga, entre otras, las condiciones uniformes en las que el prestador está dispuesto a suministrar el servicio público de aseo. Dichas condiciones uniformes deberán publicarse con al menos 15 días de antelación a la fecha de inicio de operaciones. La publicación se hará por una vez en un medio escrito de amplia circulación local, o electrónico. </w:t>
      </w:r>
    </w:p>
    <w:p w14:paraId="5176EB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447F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modificaciones a las condiciones uniformes se deberán publicar en la misma forma y con un mes de antelación a la fecha en que entren a regir. </w:t>
      </w:r>
    </w:p>
    <w:p w14:paraId="10EEF7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A967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Contar con la infraestructura adecuada para atender las peticiones, quejas y recursos de los usuarios del servicio, en los términos de la Ley 142 de 1994, sin perjuicio de la utilización de medios electrónicos para la recepción y atención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w:t>
      </w:r>
    </w:p>
    <w:p w14:paraId="100032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A17B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Contar con un estudio de costos que soporte las tarifarias ofrecidas a los usuarios, debidamente aprobada por la entidad tarifaria, y publicada de conformidad con las normas vigentes. </w:t>
      </w:r>
    </w:p>
    <w:p w14:paraId="381698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F66E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Inscribirse en el Registro Único de Prestadores de Servicios (RUPS) de la Superintendencia de Servicios Públicos Domiciliarios, al inicio de sus actividades. </w:t>
      </w:r>
    </w:p>
    <w:p w14:paraId="6AD572E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68" w:name="ver_30075790"/>
      <w:bookmarkEnd w:id="1768"/>
    </w:p>
    <w:p w14:paraId="19A4E9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2.3.2.2.4.2.112. Página web. Las personas prestadoras deberán disponer de página web la cual deberá contener como mínimo la siguiente información: </w:t>
      </w:r>
    </w:p>
    <w:p w14:paraId="6696CE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6C4A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Rutas y horarios de prestación de las diferentes actividades del servicio público de aseo. </w:t>
      </w:r>
    </w:p>
    <w:p w14:paraId="4F77BD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BD48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Tarifas. </w:t>
      </w:r>
    </w:p>
    <w:p w14:paraId="5B9A9F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DAF6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Contrato de Condiciones Uniformes. </w:t>
      </w:r>
    </w:p>
    <w:p w14:paraId="4C3F6B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0A82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Un enlace para la recepción y trámite de peticiones, quejas y recursos de los usuarios. </w:t>
      </w:r>
    </w:p>
    <w:p w14:paraId="06470D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E6ED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Direcciones de oficinas de peticiones, quejas y recursos para la atención de los usuarios. </w:t>
      </w:r>
    </w:p>
    <w:p w14:paraId="2C32C3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7C80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Números teléfonos para la atención de usuarios. </w:t>
      </w:r>
    </w:p>
    <w:p w14:paraId="34AC9A92" w14:textId="1448DB53" w:rsidR="00FC79C1" w:rsidRPr="009342F9" w:rsidRDefault="00FC79C1" w:rsidP="000443A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B2B3C5"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769" w:name="ver_30075791"/>
      <w:bookmarkEnd w:id="1769"/>
      <w:r w:rsidRPr="009342F9">
        <w:rPr>
          <w:rFonts w:ascii="Arial" w:eastAsia="Times New Roman" w:hAnsi="Arial" w:cs="Arial"/>
          <w:b/>
          <w:bCs/>
          <w:color w:val="000000"/>
          <w:lang w:eastAsia="es-CO"/>
        </w:rPr>
        <w:t>SECCIÓN 5</w:t>
      </w:r>
    </w:p>
    <w:p w14:paraId="4EA77983"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09ED747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70" w:name="ver_30075792"/>
      <w:bookmarkEnd w:id="1770"/>
    </w:p>
    <w:p w14:paraId="759A36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2.3.2.2.5.113. Obligatoriedad de la transferencia de los subsidios. Los municipios y distritos deberán establecer los mecanismos que garanticen la transferencia al fondo de solidaridad y redistribución de ingresos de los recursos para los subsidios de los usuarios de menores ingresos de estratos 1, 2 y 3 de conformidad con la Ley 142 de 1994, la Ley 715 de 2001, la Ley 1176 de 2007 y la Ley 1537 de 2012, los decretos que las reglamenten y el régimen tarifario aplicable, así como para los casos en que se suscriban contratos para la prestación de una o varias actividades del servicio, con el propósito de garantizar la sostenibilidad del mismo. </w:t>
      </w:r>
    </w:p>
    <w:p w14:paraId="3E19A84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71" w:name="ver_30075793"/>
      <w:bookmarkEnd w:id="1771"/>
    </w:p>
    <w:p w14:paraId="795A59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2.3.2.2.5.114. Prácticas discriminatorias. Está expresamente prohibido a las personas prestadoras del servicio público de aseo, en todos sus actos y contratos, discriminar o conceder privilegios, así como toda práctica que tenga la capacidad de generar competencia desleal, de conformidad con lo establecido en el artículo 34 y demás disposiciones legales establecidas en la Ley 142 de 1994. </w:t>
      </w:r>
    </w:p>
    <w:p w14:paraId="1A2F3B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0BA9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debe garantizar bajo las condiciones técnicas establecidas en este capítulo la prestación del servicio de aseo en condiciones uniformes a todos los usuarios que lo requieran. </w:t>
      </w:r>
    </w:p>
    <w:p w14:paraId="43F3453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72" w:name="ver_30075794"/>
      <w:bookmarkEnd w:id="1772"/>
    </w:p>
    <w:p w14:paraId="66B2EA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2.3.2.2.5.115. Restricciones injustificadas para el acceso a rellenos sanitarios y/o estaciones de transferencia. Las autoridades ambientales, las personas prestadoras del servicio público de aseo y de la actividad complementaria de disposición final de residuos sólidos o las entidades territoriales, según el caso, no podrán imponer restricciones injustificadas para el acceso a los rellenos sanitarios y/o estaciones de transferencia de residuos sólidos. </w:t>
      </w:r>
    </w:p>
    <w:p w14:paraId="78CEB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5ED7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efectos del presente artículo, se consideran restricciones injustificadas al acceso a los rellenos sanitarios o a las estaciones de transferencia de residuos sólidos, las siguientes: </w:t>
      </w:r>
    </w:p>
    <w:p w14:paraId="07712E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08AF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Impedir el acceso de residuos sólidos al relleno sanitario o a la estación de transferencia sin justificación técnica a cualquiera de las personas prestadoras de servicios públicos a que hace referencia el artículo 15 de la Ley 142 de 1994. </w:t>
      </w:r>
    </w:p>
    <w:p w14:paraId="1442E3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1F73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Impedir el acceso de residuos sólidos al relleno sanitario o a la estación de transferencia, con fundamento en la región o municipio de origen de los residuos sólidos. </w:t>
      </w:r>
    </w:p>
    <w:p w14:paraId="02AB7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3274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Imponer exigencias, características o parámetros técnicos para el acceso de los residuos sólidos diferentes a las previstas en la normatividad aplicable. </w:t>
      </w:r>
    </w:p>
    <w:p w14:paraId="35A8F5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EF79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Ejercer prácticas tarifarias discriminatorios para el acceso de residuos sólidos al relleno sanitario o a la estación de transferencia, que se encuentren por fuera de lo establecido en la metodología tarifaria expedida por la Comisión de Regulación de Agua Potable y Saneamiento Básico. </w:t>
      </w:r>
    </w:p>
    <w:p w14:paraId="571EA4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9B7A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 obligación de los operadores de los rellenos sanitarios suscribir los contratos de acceso a los sitios de disposición de acuerdo con lo establecido en la normatividad vigente y en el Reglamento Operativo de cada relleno sanitario. </w:t>
      </w:r>
    </w:p>
    <w:p w14:paraId="60C9CD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CFD5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servicio de disposición de residuos sólidos deberá prestarse de manera continua de acuerdo con lo normatividad vigente y el Reglamento Operativo de cada relleno sanitario. </w:t>
      </w:r>
    </w:p>
    <w:p w14:paraId="75411BE3" w14:textId="03F80FD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73" w:name="ver_30075795"/>
      <w:bookmarkEnd w:id="1773"/>
    </w:p>
    <w:p w14:paraId="5DD7D7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2.3.2.2.5.116. Separación vertical. La Comisión de Regulación de Agua Potable y Saneamiento Básico podrá establecer la separación vertical de las actividades del servicio o la regulación de proveedores de insumos básicos del servicio de aseo cuando se presente alteración de la competencia o abuso de la posición dominante. </w:t>
      </w:r>
    </w:p>
    <w:p w14:paraId="55E109F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74" w:name="ver_30075796"/>
      <w:bookmarkEnd w:id="1774"/>
    </w:p>
    <w:p w14:paraId="35484A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2.3.2.2.5.117. Aplicación de normas técnicas. Para la aplicación y desarrollo técnico del presente capítulo se deben cumplir las normas pertinentes del Reglamento Técnico de Agua Potable y Saneamiento Básico. </w:t>
      </w:r>
    </w:p>
    <w:p w14:paraId="039AD5BF" w14:textId="6D4C141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75" w:name="ver_30075797"/>
      <w:bookmarkEnd w:id="1775"/>
    </w:p>
    <w:p w14:paraId="6606B9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2.3.2.2.5.118. Transición. La implementación de lo dispuesto en el presente capítulo tendrá las siguientes transiciones: </w:t>
      </w:r>
    </w:p>
    <w:p w14:paraId="2B120C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7F9B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Las personas prestadoras del servicio público de aseo tendrán un plazo de seis (6) meses contados a partir de la expedición de la reglamentación del Programa de Prestación del Servicio para presentarlo ante la Superintendencia de Servicios Públicos Domiciliarios, para su control y seguimiento. </w:t>
      </w:r>
    </w:p>
    <w:p w14:paraId="308726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ED87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personas prestadoras del servicio público de aseo tendrán un plazo de un (1) año, contado a partir de la expedición de la reglamentación expedida por el Ministerio de Vivienda, Ciudad y Territorio, para la presentación del Programa de Gestión del Riesgo ante la Superintendencia de Servicios Públicos Domiciliarios. </w:t>
      </w:r>
    </w:p>
    <w:p w14:paraId="726E4A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1CDE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Los municipios y distritos tendrán un plazo de 24 meses a partir del 20 de diciembre de 2013 para hacer la revisión y actualización del PGIRS. </w:t>
      </w:r>
    </w:p>
    <w:p w14:paraId="4AA0CE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27FB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Dentro de los dos (2) años siguientes al 20 de diciembre de 2013 los municipios y distritos deberán levantar el catastro de árboles ubicados en vía y áreas públicas que deberán ser objeto de poda. El cobro de la actividad de poda de árboles vía tarifa solo podrá hacerse cuando se cuente con dicho catastro y se realice efectivamente esta actividad. </w:t>
      </w:r>
    </w:p>
    <w:p w14:paraId="16EF25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8F5F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Dentro de los dos (2) años siguientes al 20 de diciembre de 2013los municipios y distritos deberán levantar el catastro de áreas públicas objeto del corte de césped. El cobro de la actividad de corte de césped solo podrá hacerse cuando se cuente con dicho catastro y se realice efectivamente esta. </w:t>
      </w:r>
    </w:p>
    <w:p w14:paraId="1767E4E7" w14:textId="53C8B0B7" w:rsidR="00F74103"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76" w:name="ver_30137316"/>
      <w:bookmarkEnd w:id="1776"/>
    </w:p>
    <w:p w14:paraId="38E55CE4" w14:textId="2F643634" w:rsidR="00FC79C1"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52296294" w14:textId="77777777"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DISPOSICIÓN FINAL</w:t>
      </w:r>
    </w:p>
    <w:p w14:paraId="4BCC49EC" w14:textId="77777777" w:rsidR="00723293" w:rsidRPr="009342F9" w:rsidRDefault="00723293" w:rsidP="00F74103">
      <w:pPr>
        <w:spacing w:after="0" w:line="240" w:lineRule="auto"/>
        <w:jc w:val="center"/>
        <w:rPr>
          <w:rFonts w:ascii="Arial" w:eastAsia="Times New Roman" w:hAnsi="Arial" w:cs="Arial"/>
          <w:b/>
          <w:bCs/>
          <w:color w:val="000000"/>
          <w:lang w:eastAsia="es-CO"/>
        </w:rPr>
      </w:pPr>
    </w:p>
    <w:p w14:paraId="18B7BA1C"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777" w:name="ver_30075798"/>
      <w:bookmarkEnd w:id="1777"/>
      <w:r w:rsidRPr="009342F9">
        <w:rPr>
          <w:rFonts w:ascii="Arial" w:eastAsia="Times New Roman" w:hAnsi="Arial" w:cs="Arial"/>
          <w:b/>
          <w:bCs/>
          <w:color w:val="000000"/>
          <w:lang w:eastAsia="es-CO"/>
        </w:rPr>
        <w:t>CAPÍTULO 3</w:t>
      </w:r>
    </w:p>
    <w:p w14:paraId="5B6B7EB1" w14:textId="77777777" w:rsidR="00FC79C1"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DISPOSICIÓN FINAL DE RESIDUOS SÓLIDOS</w:t>
      </w:r>
    </w:p>
    <w:p w14:paraId="73376140" w14:textId="77777777" w:rsidR="00723293" w:rsidRPr="009342F9" w:rsidRDefault="00723293" w:rsidP="00F74103">
      <w:pPr>
        <w:spacing w:after="0" w:line="240" w:lineRule="auto"/>
        <w:jc w:val="center"/>
        <w:rPr>
          <w:rFonts w:ascii="Arial" w:eastAsia="Times New Roman" w:hAnsi="Arial" w:cs="Arial"/>
          <w:b/>
          <w:bCs/>
          <w:color w:val="000000"/>
          <w:lang w:eastAsia="es-CO"/>
        </w:rPr>
      </w:pPr>
    </w:p>
    <w:p w14:paraId="45E820D2"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753FEDEE"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3097B4E7" w14:textId="77777777" w:rsidR="00FC79C1" w:rsidRPr="009342F9" w:rsidRDefault="00FC79C1" w:rsidP="00F74103">
      <w:pPr>
        <w:spacing w:after="0" w:line="240" w:lineRule="auto"/>
        <w:jc w:val="center"/>
        <w:rPr>
          <w:rFonts w:ascii="Arial" w:eastAsia="Times New Roman" w:hAnsi="Arial" w:cs="Arial"/>
          <w:b/>
          <w:bCs/>
          <w:color w:val="000000"/>
          <w:lang w:eastAsia="es-CO"/>
        </w:rPr>
      </w:pPr>
      <w:bookmarkStart w:id="1778" w:name="ver_30137317"/>
      <w:bookmarkStart w:id="1779" w:name="ver_30075799"/>
      <w:bookmarkEnd w:id="1778"/>
    </w:p>
    <w:p w14:paraId="4703DC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 Objeto. El presente capítulo tiene por objeto reglamentar las condiciones bajo las cuales deberá desarrollarse la actividad complementaria de disposición final de residuos sólidos en la prestación del servicio público de aseo.  </w:t>
      </w:r>
    </w:p>
    <w:p w14:paraId="7A1DF2A1" w14:textId="77777777" w:rsidR="00FC79C1" w:rsidRPr="009342F9" w:rsidRDefault="00FC79C1" w:rsidP="00FC79C1">
      <w:pPr>
        <w:spacing w:after="0" w:line="240" w:lineRule="auto"/>
        <w:jc w:val="both"/>
        <w:rPr>
          <w:rFonts w:ascii="Arial" w:eastAsia="Times New Roman" w:hAnsi="Arial" w:cs="Arial"/>
          <w:color w:val="000000"/>
          <w:lang w:eastAsia="es-CO"/>
        </w:rPr>
      </w:pPr>
    </w:p>
    <w:bookmarkEnd w:id="1779"/>
    <w:p w14:paraId="712A86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2.3.2.3.2. Del Interés Público y Social. Las áreas potenciales que la entidad territorial defina en los Planes de Ordenamiento Territorial (POT), Planes Básicos de Ordenamiento Territorial - PBOT, o Esquemas de Ordenamiento Territorial (EOT), según sea el caso, para la ubicación de infraestructura y prestación de la actividad de disposición final de residuos sólidos, son de interés público y social.  </w:t>
      </w:r>
    </w:p>
    <w:p w14:paraId="1959F2B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80" w:name="ver_30137319"/>
      <w:bookmarkEnd w:id="1780"/>
    </w:p>
    <w:p w14:paraId="2AC0EA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2.3.2.3.3. De la responsabilidad de las Entidades Territoriales. Es responsabilidad de los entes territoriales asegurar la prestación de la actividad de disposición final de residuos sólidos, ya sea en su propio territorio o en otra jurisdicción, siempre y cuando participe en la estructuración e implementación de la solución de carácter regional. </w:t>
      </w:r>
    </w:p>
    <w:p w14:paraId="4A0DE0A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81" w:name="ver_30137320"/>
      <w:bookmarkEnd w:id="1781"/>
    </w:p>
    <w:p w14:paraId="116F5A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2.3.2.3.4. Finalidad del Ordenamiento Territorial en la actividad de disposición final de residuos sólidos. Con el fin de implementar la actividad de disposición final de residuos sólidos, el ordenamiento territorial promoverá el establecimiento de regiones de planeación y gestión como marco de las relaciones geográficas, económicas y funcionales para el aseguramiento de su prestación.  </w:t>
      </w:r>
    </w:p>
    <w:p w14:paraId="15C03FB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82" w:name="ver_30137321"/>
      <w:bookmarkEnd w:id="1782"/>
    </w:p>
    <w:p w14:paraId="0B5967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2.3.2.3.5. Regionalización de sistemas de disposición final de residuos sólidos. En la medida en que las condiciones ambientales, topográficas, viales y distancias lo permitan, los proyectos de disposición final de residuos sólidos que vaya a formular y desarrollar cualquier entidad </w:t>
      </w:r>
      <w:proofErr w:type="gramStart"/>
      <w:r w:rsidRPr="009342F9">
        <w:rPr>
          <w:rFonts w:ascii="Arial" w:eastAsia="Times New Roman" w:hAnsi="Arial" w:cs="Arial"/>
          <w:color w:val="000000"/>
          <w:lang w:eastAsia="es-CO"/>
        </w:rPr>
        <w:t>territorial,</w:t>
      </w:r>
      <w:proofErr w:type="gramEnd"/>
      <w:r w:rsidRPr="009342F9">
        <w:rPr>
          <w:rFonts w:ascii="Arial" w:eastAsia="Times New Roman" w:hAnsi="Arial" w:cs="Arial"/>
          <w:color w:val="000000"/>
          <w:lang w:eastAsia="es-CO"/>
        </w:rPr>
        <w:t xml:space="preserve"> propenderán a que se enfoquen desde el ámbito regional, teniendo en cuenta los beneficios sociales, ambientales y económicos derivados de este nivel, en gestión conjunta con otros municipios y distritos.  </w:t>
      </w:r>
    </w:p>
    <w:p w14:paraId="5FB2B38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83" w:name="ver_30137322"/>
      <w:bookmarkEnd w:id="1783"/>
    </w:p>
    <w:p w14:paraId="659D81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2.3.2.3.6. Metodologías Tarifarias. De conformidad con la ley, las metodologías tarifarias del servicio público de aseo en la actividad complementarla de disposición final que establezca la Comisión de Regulación de Agua Potable y Saneamiento Básico (CRA) deberán Incentivar el desarrollo de esquemas regionalizados.  </w:t>
      </w:r>
    </w:p>
    <w:p w14:paraId="6B21E5E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84" w:name="ver_30137323"/>
      <w:bookmarkEnd w:id="1784"/>
    </w:p>
    <w:p w14:paraId="0E7E7A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2.3.2.3.7. Cofinanciación de la Nación. Para que las entidades territoriales puedan acceder a los recursos de cofinanciación de la Nación para proyectos de sistemas de disposición final y tratamiento de residuos sólidos, deberán haber identificado, planteado, analizado y evaluado, dentro de los correspondientes estudios de factibilidad que soportan el proyecto, alternativas de regionalización del servicio y presentarlas en su solicitud adjuntando el plano de la cartografía oficial del POT, PBOT o EOT correspondiente donde se ubiquen y delimiten las áreas para este tipo de proyectos. </w:t>
      </w:r>
    </w:p>
    <w:p w14:paraId="6E21783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85" w:name="ver_30137324"/>
      <w:bookmarkEnd w:id="1785"/>
    </w:p>
    <w:p w14:paraId="150DAF0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2.3.2.3.8. Adicionalidad para eficiencia. Con el fin de promover el diseño, implementación y operación de tratamientos alternativos y complementarios a rellenos sanitarios, de los que habla el capítulo 7 del presente título, las entidades territoriales y las personas prestadoras del servicio público domiciliario de aseo, deberán para la toma de decisiones, realizar el análisis de beneficio-costo y de sostenibilidad de los sistemas.  </w:t>
      </w:r>
    </w:p>
    <w:p w14:paraId="0E9C487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86" w:name="ver_30137325"/>
      <w:bookmarkEnd w:id="1786"/>
    </w:p>
    <w:p w14:paraId="1C95161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2.3.2.3.9. Localización de áreas. Con el fin de ubicar áreas para nuevos rellenos sanitarios municipales o regionales, el ente territorial definirá la Incorporación al plan de ordenamiento (POT, PBOT, EOT), de los polígonos donde potencialmente se localizarán dichas áreas, de acuerdo con los siguientes criterios:  </w:t>
      </w:r>
    </w:p>
    <w:p w14:paraId="1E7D2974" w14:textId="77777777" w:rsidR="00FC79C1" w:rsidRPr="009342F9" w:rsidRDefault="00FC79C1" w:rsidP="00FC79C1">
      <w:pPr>
        <w:spacing w:after="0" w:line="240" w:lineRule="auto"/>
        <w:ind w:left="25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AC0A5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Identificación de determinantes ambientales debidamente incluidas en la cartografía oficial del POT, PBOT O EOT.  </w:t>
      </w:r>
    </w:p>
    <w:p w14:paraId="5D15F5E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Establecimiento de la cercanía a aeropuertos en cumplimiento de las directrices de la Aeronáutica Civil referidas a obstáculos o impedimentos a la aviación.  </w:t>
      </w:r>
    </w:p>
    <w:p w14:paraId="15F73076" w14:textId="77777777" w:rsidR="00F74103" w:rsidRPr="009342F9" w:rsidRDefault="00F74103" w:rsidP="00F74103">
      <w:pPr>
        <w:spacing w:after="0" w:line="240" w:lineRule="auto"/>
        <w:jc w:val="both"/>
        <w:rPr>
          <w:rFonts w:ascii="Arial" w:eastAsia="Times New Roman" w:hAnsi="Arial" w:cs="Arial"/>
          <w:color w:val="000000"/>
          <w:lang w:eastAsia="es-CO"/>
        </w:rPr>
      </w:pPr>
    </w:p>
    <w:p w14:paraId="2E87D5F8" w14:textId="76BEEF81"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Identificación de áreas con riesgo no mitigable incorporados en POT, PBOT O EOT.  </w:t>
      </w:r>
    </w:p>
    <w:p w14:paraId="05F7C2DA" w14:textId="77777777" w:rsidR="00F74103" w:rsidRPr="009342F9" w:rsidRDefault="00F74103" w:rsidP="00F74103">
      <w:pPr>
        <w:spacing w:after="0" w:line="240" w:lineRule="auto"/>
        <w:jc w:val="both"/>
        <w:rPr>
          <w:rFonts w:ascii="Arial" w:eastAsia="Times New Roman" w:hAnsi="Arial" w:cs="Arial"/>
          <w:color w:val="000000"/>
          <w:lang w:eastAsia="es-CO"/>
        </w:rPr>
      </w:pPr>
    </w:p>
    <w:p w14:paraId="2C285B45" w14:textId="470AD770"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Identificación del perímetro urbano, zonas de expansión urbana y centros poblados.  </w:t>
      </w:r>
    </w:p>
    <w:p w14:paraId="1FD3161D" w14:textId="77777777" w:rsidR="00F74103" w:rsidRPr="009342F9" w:rsidRDefault="00F74103" w:rsidP="00F74103">
      <w:pPr>
        <w:spacing w:after="0" w:line="240" w:lineRule="auto"/>
        <w:jc w:val="both"/>
        <w:rPr>
          <w:rFonts w:ascii="Arial" w:eastAsia="Times New Roman" w:hAnsi="Arial" w:cs="Arial"/>
          <w:color w:val="000000"/>
          <w:lang w:eastAsia="es-CO"/>
        </w:rPr>
      </w:pPr>
    </w:p>
    <w:p w14:paraId="2342272E" w14:textId="7484A5A1"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Identificación de sitios intervenidos con la actividad de disposición final de residuos.  </w:t>
      </w:r>
    </w:p>
    <w:p w14:paraId="3BE5E3A2" w14:textId="77777777" w:rsidR="00FC79C1" w:rsidRPr="009342F9" w:rsidRDefault="00FC79C1" w:rsidP="00FC79C1">
      <w:pPr>
        <w:spacing w:after="0" w:line="240" w:lineRule="auto"/>
        <w:ind w:left="25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5A821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Con fundamento en la aplicación de los anteriores criterios se definirán las áreas disponibles sobre las que se deberán realizar los correspondientes estudios técnicos que establezcan su potencialidad para el desarrollo de proyectos de nuevos rellenos sanitarios o ampliación de los existentes.  </w:t>
      </w:r>
    </w:p>
    <w:p w14:paraId="143E5839" w14:textId="77777777" w:rsidR="00FC79C1" w:rsidRPr="009342F9" w:rsidRDefault="00FC79C1" w:rsidP="00FC79C1">
      <w:pPr>
        <w:spacing w:after="0" w:line="240" w:lineRule="auto"/>
        <w:ind w:left="25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CB337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elementos técnicos para la determinación de áreas potenciales para nuevos rellenos sanitarios municipales o regionales o ampliación de los existentes, se efectuará por el Ministerio de Vivienda, Ciudad y Territorio.  </w:t>
      </w:r>
    </w:p>
    <w:p w14:paraId="2C82FF67" w14:textId="77777777" w:rsidR="00FC79C1" w:rsidRPr="009342F9" w:rsidRDefault="00FC79C1" w:rsidP="00FC79C1">
      <w:pPr>
        <w:spacing w:after="0" w:line="240" w:lineRule="auto"/>
        <w:ind w:left="25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8CE6B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áreas definidas como potenciales para la ejecución de proyectos de nuevos rellenos sanitarios o ampliación de los existentes serán consideradas para todos los efectos como de interés Público y Social y deberán estar articuladas en el Plan de Gestión Integral de Residuos Sólidos (PGIRS).  </w:t>
      </w:r>
    </w:p>
    <w:p w14:paraId="107BBB39" w14:textId="77777777" w:rsidR="00FC79C1" w:rsidRPr="009342F9" w:rsidRDefault="00FC79C1" w:rsidP="00FC79C1">
      <w:pPr>
        <w:spacing w:after="0" w:line="240" w:lineRule="auto"/>
        <w:ind w:left="25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CA2AC8"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Las áreas intervenidas con cualquier forma de disposición final deberán ser consideradas prioritariamente para la ubicación de infraestructura para la expansión o rehabilitación de rellenos sanitarios. </w:t>
      </w:r>
    </w:p>
    <w:p w14:paraId="67D839E2"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0630331"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2.3.2.3.10. Categorización de Rellenos Sanitarios. El Ministerio de Vivienda, Ciudad y Territorio definirá las condiciones mínimas de diseño y operación, que deberán ser utilizadas de acuerdo con la siguiente categorización para los sitios de disposición final, a partir del promedio diario registrado durante el último año.  </w:t>
      </w:r>
    </w:p>
    <w:p w14:paraId="017E50A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7500"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17"/>
        <w:gridCol w:w="5183"/>
      </w:tblGrid>
      <w:tr w:rsidR="00FC79C1" w:rsidRPr="009342F9" w14:paraId="767657F6" w14:textId="77777777" w:rsidTr="00FC79C1">
        <w:trPr>
          <w:trHeight w:val="300"/>
          <w:tblCellSpacing w:w="0" w:type="dxa"/>
          <w:jc w:val="center"/>
        </w:trPr>
        <w:tc>
          <w:tcPr>
            <w:tcW w:w="1740" w:type="dxa"/>
            <w:tcBorders>
              <w:top w:val="outset" w:sz="6" w:space="0" w:color="auto"/>
              <w:left w:val="outset" w:sz="6" w:space="0" w:color="auto"/>
              <w:bottom w:val="outset" w:sz="6" w:space="0" w:color="auto"/>
              <w:right w:val="outset" w:sz="6" w:space="0" w:color="auto"/>
            </w:tcBorders>
            <w:noWrap/>
            <w:vAlign w:val="center"/>
            <w:hideMark/>
          </w:tcPr>
          <w:p w14:paraId="65E91F6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Categoría I.  </w:t>
            </w:r>
          </w:p>
        </w:tc>
        <w:tc>
          <w:tcPr>
            <w:tcW w:w="3930" w:type="dxa"/>
            <w:tcBorders>
              <w:top w:val="outset" w:sz="6" w:space="0" w:color="auto"/>
              <w:left w:val="outset" w:sz="6" w:space="0" w:color="auto"/>
              <w:bottom w:val="outset" w:sz="6" w:space="0" w:color="auto"/>
              <w:right w:val="outset" w:sz="6" w:space="0" w:color="auto"/>
            </w:tcBorders>
            <w:noWrap/>
            <w:vAlign w:val="center"/>
            <w:hideMark/>
          </w:tcPr>
          <w:p w14:paraId="3B66EBF1"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0 a 50 ton/día.  </w:t>
            </w:r>
          </w:p>
        </w:tc>
      </w:tr>
      <w:tr w:rsidR="00FC79C1" w:rsidRPr="009342F9" w14:paraId="43AC7FAF" w14:textId="77777777" w:rsidTr="00FC79C1">
        <w:trPr>
          <w:trHeight w:val="300"/>
          <w:tblCellSpacing w:w="0" w:type="dxa"/>
          <w:jc w:val="center"/>
        </w:trPr>
        <w:tc>
          <w:tcPr>
            <w:tcW w:w="1740" w:type="dxa"/>
            <w:tcBorders>
              <w:top w:val="outset" w:sz="6" w:space="0" w:color="auto"/>
              <w:left w:val="outset" w:sz="6" w:space="0" w:color="auto"/>
              <w:bottom w:val="outset" w:sz="6" w:space="0" w:color="auto"/>
              <w:right w:val="outset" w:sz="6" w:space="0" w:color="auto"/>
            </w:tcBorders>
            <w:noWrap/>
            <w:vAlign w:val="center"/>
            <w:hideMark/>
          </w:tcPr>
          <w:p w14:paraId="3519694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Categoría II.  </w:t>
            </w:r>
          </w:p>
        </w:tc>
        <w:tc>
          <w:tcPr>
            <w:tcW w:w="3930" w:type="dxa"/>
            <w:tcBorders>
              <w:top w:val="outset" w:sz="6" w:space="0" w:color="auto"/>
              <w:left w:val="outset" w:sz="6" w:space="0" w:color="auto"/>
              <w:bottom w:val="outset" w:sz="6" w:space="0" w:color="auto"/>
              <w:right w:val="outset" w:sz="6" w:space="0" w:color="auto"/>
            </w:tcBorders>
            <w:noWrap/>
            <w:vAlign w:val="center"/>
            <w:hideMark/>
          </w:tcPr>
          <w:p w14:paraId="2AE8E52B"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Mayor de 50 hasta 500 ton/día  </w:t>
            </w:r>
          </w:p>
        </w:tc>
      </w:tr>
      <w:tr w:rsidR="00FC79C1" w:rsidRPr="009342F9" w14:paraId="14DB52A0" w14:textId="77777777" w:rsidTr="00FC79C1">
        <w:trPr>
          <w:trHeight w:val="300"/>
          <w:tblCellSpacing w:w="0" w:type="dxa"/>
          <w:jc w:val="center"/>
        </w:trPr>
        <w:tc>
          <w:tcPr>
            <w:tcW w:w="1740" w:type="dxa"/>
            <w:tcBorders>
              <w:top w:val="outset" w:sz="6" w:space="0" w:color="auto"/>
              <w:left w:val="outset" w:sz="6" w:space="0" w:color="auto"/>
              <w:bottom w:val="outset" w:sz="6" w:space="0" w:color="auto"/>
              <w:right w:val="outset" w:sz="6" w:space="0" w:color="auto"/>
            </w:tcBorders>
            <w:noWrap/>
            <w:vAlign w:val="center"/>
            <w:hideMark/>
          </w:tcPr>
          <w:p w14:paraId="4BAB26F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Categoría III.  </w:t>
            </w:r>
          </w:p>
        </w:tc>
        <w:tc>
          <w:tcPr>
            <w:tcW w:w="3930" w:type="dxa"/>
            <w:tcBorders>
              <w:top w:val="outset" w:sz="6" w:space="0" w:color="auto"/>
              <w:left w:val="outset" w:sz="6" w:space="0" w:color="auto"/>
              <w:bottom w:val="outset" w:sz="6" w:space="0" w:color="auto"/>
              <w:right w:val="outset" w:sz="6" w:space="0" w:color="auto"/>
            </w:tcBorders>
            <w:noWrap/>
            <w:vAlign w:val="center"/>
            <w:hideMark/>
          </w:tcPr>
          <w:p w14:paraId="00032CD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Mayor de 500 hasta 3000 ton/día.  </w:t>
            </w:r>
          </w:p>
        </w:tc>
      </w:tr>
      <w:tr w:rsidR="00FC79C1" w:rsidRPr="009342F9" w14:paraId="4CA7AE83" w14:textId="77777777" w:rsidTr="00FC79C1">
        <w:trPr>
          <w:trHeight w:val="300"/>
          <w:tblCellSpacing w:w="0" w:type="dxa"/>
          <w:jc w:val="center"/>
        </w:trPr>
        <w:tc>
          <w:tcPr>
            <w:tcW w:w="1740" w:type="dxa"/>
            <w:tcBorders>
              <w:top w:val="outset" w:sz="6" w:space="0" w:color="auto"/>
              <w:left w:val="outset" w:sz="6" w:space="0" w:color="auto"/>
              <w:bottom w:val="outset" w:sz="6" w:space="0" w:color="auto"/>
              <w:right w:val="outset" w:sz="6" w:space="0" w:color="auto"/>
            </w:tcBorders>
            <w:noWrap/>
            <w:vAlign w:val="center"/>
            <w:hideMark/>
          </w:tcPr>
          <w:p w14:paraId="3CFD91E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Categoría IV.  </w:t>
            </w:r>
          </w:p>
        </w:tc>
        <w:tc>
          <w:tcPr>
            <w:tcW w:w="3930" w:type="dxa"/>
            <w:tcBorders>
              <w:top w:val="outset" w:sz="6" w:space="0" w:color="auto"/>
              <w:left w:val="outset" w:sz="6" w:space="0" w:color="auto"/>
              <w:bottom w:val="outset" w:sz="6" w:space="0" w:color="auto"/>
              <w:right w:val="outset" w:sz="6" w:space="0" w:color="auto"/>
            </w:tcBorders>
            <w:noWrap/>
            <w:vAlign w:val="center"/>
            <w:hideMark/>
          </w:tcPr>
          <w:p w14:paraId="66D3210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Mayor de 3000 ton/día.  </w:t>
            </w:r>
          </w:p>
        </w:tc>
      </w:tr>
    </w:tbl>
    <w:p w14:paraId="57DEB9AB"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85CC69" w14:textId="77777777" w:rsidR="00FC79C1" w:rsidRPr="009342F9" w:rsidRDefault="00FC79C1" w:rsidP="00F74103">
      <w:pPr>
        <w:spacing w:after="0" w:line="240" w:lineRule="auto"/>
        <w:jc w:val="both"/>
        <w:rPr>
          <w:rFonts w:ascii="Arial" w:eastAsia="Times New Roman" w:hAnsi="Arial" w:cs="Arial"/>
          <w:color w:val="000000"/>
          <w:lang w:eastAsia="es-CO"/>
        </w:rPr>
      </w:pPr>
    </w:p>
    <w:p w14:paraId="0462F619" w14:textId="77777777" w:rsidR="00FC79C1" w:rsidRPr="009342F9" w:rsidRDefault="00FC79C1" w:rsidP="00F74103">
      <w:pPr>
        <w:spacing w:after="0" w:line="240" w:lineRule="auto"/>
        <w:jc w:val="both"/>
        <w:rPr>
          <w:rFonts w:ascii="Arial" w:eastAsia="Times New Roman" w:hAnsi="Arial" w:cs="Arial"/>
          <w:color w:val="000000"/>
          <w:lang w:eastAsia="es-CO"/>
        </w:rPr>
      </w:pPr>
      <w:bookmarkStart w:id="1787" w:name="ver_30137327"/>
      <w:bookmarkEnd w:id="1787"/>
      <w:r w:rsidRPr="009342F9">
        <w:rPr>
          <w:rFonts w:ascii="Arial" w:eastAsia="Times New Roman" w:hAnsi="Arial" w:cs="Arial"/>
          <w:color w:val="000000"/>
          <w:lang w:eastAsia="es-CO"/>
        </w:rPr>
        <w:t xml:space="preserve">Artículo 2.3.2.3.11. Requisitos mínimos para el diseño de nuevos rellenos sanitarios o ampliación de existentes. Una vez se ha determinado que el área seleccionada para la ejecución del </w:t>
      </w:r>
      <w:proofErr w:type="gramStart"/>
      <w:r w:rsidRPr="009342F9">
        <w:rPr>
          <w:rFonts w:ascii="Arial" w:eastAsia="Times New Roman" w:hAnsi="Arial" w:cs="Arial"/>
          <w:color w:val="000000"/>
          <w:lang w:eastAsia="es-CO"/>
        </w:rPr>
        <w:t>proyecto,</w:t>
      </w:r>
      <w:proofErr w:type="gramEnd"/>
      <w:r w:rsidRPr="009342F9">
        <w:rPr>
          <w:rFonts w:ascii="Arial" w:eastAsia="Times New Roman" w:hAnsi="Arial" w:cs="Arial"/>
          <w:color w:val="000000"/>
          <w:lang w:eastAsia="es-CO"/>
        </w:rPr>
        <w:t xml:space="preserve"> cuenta con uso de suelo compatible o condicionado, de manera previa y sin perjuicio de otros requisitos, se deberá contar con el Documento Técnico de Estudios y Diseños, el cual contendrá como mínimo:  </w:t>
      </w:r>
    </w:p>
    <w:p w14:paraId="6387BF8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CC4CF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Estudios Preliminares.  </w:t>
      </w:r>
    </w:p>
    <w:p w14:paraId="5DB1FAF8"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F5E85E" w14:textId="77777777" w:rsidR="00FC79C1" w:rsidRPr="009342F9" w:rsidRDefault="00FC79C1" w:rsidP="00F74103">
      <w:pPr>
        <w:numPr>
          <w:ilvl w:val="0"/>
          <w:numId w:val="1"/>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Estudio topográfico: Según las dimensiones del proyecto, donde se muestre claramente toda la </w:t>
      </w:r>
      <w:proofErr w:type="spellStart"/>
      <w:r w:rsidRPr="009342F9">
        <w:rPr>
          <w:rFonts w:ascii="Arial" w:eastAsia="Times New Roman" w:hAnsi="Arial" w:cs="Arial"/>
          <w:color w:val="000000"/>
          <w:lang w:eastAsia="es-CO"/>
        </w:rPr>
        <w:t>instrumentaria</w:t>
      </w:r>
      <w:proofErr w:type="spellEnd"/>
      <w:r w:rsidRPr="009342F9">
        <w:rPr>
          <w:rFonts w:ascii="Arial" w:eastAsia="Times New Roman" w:hAnsi="Arial" w:cs="Arial"/>
          <w:color w:val="000000"/>
          <w:lang w:eastAsia="es-CO"/>
        </w:rPr>
        <w:t xml:space="preserve"> del predio objeto de estudio, y las vías de acceso al mismo.</w:t>
      </w:r>
    </w:p>
    <w:p w14:paraId="67E023AE"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5B9A2" w14:textId="77777777" w:rsidR="00FC79C1" w:rsidRPr="009342F9" w:rsidRDefault="00FC79C1" w:rsidP="00F74103">
      <w:pPr>
        <w:numPr>
          <w:ilvl w:val="0"/>
          <w:numId w:val="2"/>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Estudios Geológicos y Geomorfológicos: Levantamiento geológico, utilizando la base cartográfica del estudio topográfico, interpretación de fotografías áreas y sensores remotos, exploración del subsuelo (directa e indirecta) y ensayos in situ y de laboratorio. En cuanto a geomorfología, se deberán identificar las unidades geomorfológicas, registrando la cartografía y morfo dinámica basada en análisis multitemporal.</w:t>
      </w:r>
    </w:p>
    <w:p w14:paraId="686F3326"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0A1498" w14:textId="77777777" w:rsidR="00FC79C1" w:rsidRPr="009342F9" w:rsidRDefault="00FC79C1" w:rsidP="00F74103">
      <w:pPr>
        <w:numPr>
          <w:ilvl w:val="0"/>
          <w:numId w:val="3"/>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Exploración del subsuelo: Exploración del subsuelo e investigación geotécnica de manera que permita garantizar la obtención de la información geotécnica requerida para completar el modelo geológico-geotécnico de las diferentes zonas consideradas dentro del área del proyecto.</w:t>
      </w:r>
    </w:p>
    <w:p w14:paraId="56C4D24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C2C295" w14:textId="77777777" w:rsidR="00FC79C1" w:rsidRPr="009342F9" w:rsidRDefault="00FC79C1" w:rsidP="00F74103">
      <w:pPr>
        <w:numPr>
          <w:ilvl w:val="0"/>
          <w:numId w:val="4"/>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Estudio Hidrogeológico: Determinación y evaluación de las condiciones del agua subsuperficial y subterránea en condiciones normales y extremas más probables en el periodo de diseño de análisis del proyecto, con especial descripción de las características hidráulicas (porosidad, permeabilidad, transmisividad, coeficiente de almacenamiento) y niveles freáticos.</w:t>
      </w:r>
    </w:p>
    <w:p w14:paraId="1E83CA00" w14:textId="00041D7F"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E92F54" w14:textId="38EC4523" w:rsidR="00FC79C1" w:rsidRPr="009342F9" w:rsidRDefault="00FC79C1" w:rsidP="00F74103">
      <w:pPr>
        <w:numPr>
          <w:ilvl w:val="0"/>
          <w:numId w:val="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Estudio hidrológico: Contiene información secundaria de balance hídrico, curvas de Intensidad, Duración y Frecuencia (IDF) con base a los reportes de precipitación anual aportados por la Instituto de Estudios Ambientales (</w:t>
      </w:r>
      <w:proofErr w:type="spellStart"/>
      <w:r w:rsidRPr="009342F9">
        <w:rPr>
          <w:rFonts w:ascii="Arial" w:eastAsia="Times New Roman" w:hAnsi="Arial" w:cs="Arial"/>
          <w:color w:val="000000"/>
          <w:lang w:eastAsia="es-CO"/>
        </w:rPr>
        <w:t>Ideam</w:t>
      </w:r>
      <w:proofErr w:type="spellEnd"/>
      <w:r w:rsidRPr="009342F9">
        <w:rPr>
          <w:rFonts w:ascii="Arial" w:eastAsia="Times New Roman" w:hAnsi="Arial" w:cs="Arial"/>
          <w:color w:val="000000"/>
          <w:lang w:eastAsia="es-CO"/>
        </w:rPr>
        <w:t>) o quien haga sus veces.</w:t>
      </w:r>
    </w:p>
    <w:p w14:paraId="5B252BCD" w14:textId="77777777" w:rsidR="00F74103" w:rsidRPr="009342F9" w:rsidRDefault="00F74103" w:rsidP="00F74103">
      <w:pPr>
        <w:spacing w:after="0" w:line="240" w:lineRule="auto"/>
        <w:ind w:left="360"/>
        <w:jc w:val="both"/>
        <w:rPr>
          <w:rFonts w:ascii="Arial" w:eastAsia="Times New Roman" w:hAnsi="Arial" w:cs="Arial"/>
          <w:color w:val="000000"/>
          <w:lang w:eastAsia="es-CO"/>
        </w:rPr>
      </w:pPr>
    </w:p>
    <w:p w14:paraId="4CC96E60" w14:textId="77777777" w:rsidR="00FC79C1" w:rsidRPr="009342F9" w:rsidRDefault="00FC79C1" w:rsidP="00F74103">
      <w:pPr>
        <w:numPr>
          <w:ilvl w:val="0"/>
          <w:numId w:val="6"/>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Estudio Geotécnico: Deberá plantear en secciones y perfiles longitudinales y transversales del área del proyecto, el modelo geológico-geotécnico de los distintos sectores del área de estudio, determinando la relación entre los rasgos geológicos y los procesos de inestabilidad actuales y potenciales y sus mecanismos de falla en caso de existir. Se presentará el correspondiente análisis de fenómenos de movimientos en masa y procesos erosivos.</w:t>
      </w:r>
    </w:p>
    <w:p w14:paraId="669C2FF1"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E80CF1" w14:textId="77777777" w:rsidR="00FC79C1" w:rsidRPr="009342F9" w:rsidRDefault="00FC79C1" w:rsidP="00F74103">
      <w:pPr>
        <w:numPr>
          <w:ilvl w:val="0"/>
          <w:numId w:val="7"/>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Análisis de estabilidad: Se deberán realizar los análisis de estabilidad pertinentes considerando las características geológicas y geomecánicas de los materiales establecidos a partir del modelo geológico-geotécnico en condiciones de saturación y sísmico, incluyendo la masa de residuos proyectada. Así mismo, se presentarán las condiciones de capacidad portante del suelo o subsuelo de soporte del relleno sanitario.</w:t>
      </w:r>
    </w:p>
    <w:p w14:paraId="45A699AC" w14:textId="223BE73B"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23673" w14:textId="77777777" w:rsidR="00FC79C1" w:rsidRPr="009342F9" w:rsidRDefault="00FC79C1" w:rsidP="00F74103">
      <w:pPr>
        <w:numPr>
          <w:ilvl w:val="0"/>
          <w:numId w:val="8"/>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Análisis de Riesgo: Como resultado del análisis geológico-geotécnico, se desarrollarán las condiciones de amenaza, vulnerabilidad y riesgo que son fundamentales para la adecuada toma de decisiones para la construcción de la infraestructura y con base en dichas condiciones, se determinarán las conclusiones y recomendaciones en términos de tipo de relleno sanitario más adecuado, métodos de excavación, obras requeridas de contención o estabilización geotécnica.</w:t>
      </w:r>
    </w:p>
    <w:p w14:paraId="09CFA0E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5BE666"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u w:val="single"/>
          <w:lang w:eastAsia="es-CO"/>
        </w:rPr>
        <w:t>II. Diseño de llenado.</w:t>
      </w:r>
      <w:r w:rsidRPr="009342F9">
        <w:rPr>
          <w:rFonts w:ascii="Arial" w:eastAsia="Times New Roman" w:hAnsi="Arial" w:cs="Arial"/>
          <w:color w:val="000000"/>
          <w:lang w:eastAsia="es-CO"/>
        </w:rPr>
        <w:t> Una vez realizados los estudios preliminares, se definirá el método de llenado acorde con la topografía, geotecnia y condiciones hidrológicas del terreno seleccionado, así como también el manejo y el tipo de tratamiento de lixiviado y de gases.  </w:t>
      </w:r>
    </w:p>
    <w:p w14:paraId="49A2D14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42DB1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u w:val="single"/>
          <w:lang w:eastAsia="es-CO"/>
        </w:rPr>
        <w:t>III. Cálculos. </w:t>
      </w:r>
      <w:r w:rsidRPr="009342F9">
        <w:rPr>
          <w:rFonts w:ascii="Arial" w:eastAsia="Times New Roman" w:hAnsi="Arial" w:cs="Arial"/>
          <w:color w:val="000000"/>
          <w:lang w:eastAsia="es-CO"/>
        </w:rPr>
        <w:t> </w:t>
      </w:r>
    </w:p>
    <w:p w14:paraId="4DDB125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5A598E" w14:textId="77777777" w:rsidR="00FC79C1" w:rsidRPr="009342F9" w:rsidRDefault="00FC79C1" w:rsidP="00F74103">
      <w:pPr>
        <w:numPr>
          <w:ilvl w:val="0"/>
          <w:numId w:val="9"/>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De la celda de disposición: Se deberá proyectar el número de celdas a ser utilizadas acorde a la necesidad de disposición de los residuos sólidos proyectados en el horizonte de diseño del relleno sanitario, expresado en m3/año, teniendo en cuenta, como mínimo, los siguientes aspectos:</w:t>
      </w:r>
    </w:p>
    <w:p w14:paraId="6D2A9C4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B9A3F6"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Porcentaje de compactación empleado para el cálculo de la celda diaria de disposición y espesor de la cobertura diaria a utilizar.  </w:t>
      </w:r>
    </w:p>
    <w:p w14:paraId="6AD3E45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EAC9F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Pendiente de fondo que permita la evacuación por gravedad del lixiviado generado.  </w:t>
      </w:r>
    </w:p>
    <w:p w14:paraId="13541C1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5AF9D"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•Perfilado de suelo de fondo y dimensionamiento de canales de evacuación impermeabilizados, teniendo en cuenta conductividad y porosidad del terreno.  </w:t>
      </w:r>
    </w:p>
    <w:p w14:paraId="66EEE20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6288D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Impermeabilización requerida acorde con las características de suelo.  </w:t>
      </w:r>
    </w:p>
    <w:p w14:paraId="780C6ECA" w14:textId="26A80B29"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032EA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Del dren de lixiviado: Una vez dimensionada la celda, se debe definir el tipo, diámetro y distribución de la tubería, la cual será calculada acorde al caudal de lixiviado generado al horizonte de diseño de cada celda. El material de la tubería a utilizar deberá ser seleccionado acorde a la resistencia a temperatura y vida útil de la misma.  </w:t>
      </w:r>
    </w:p>
    <w:p w14:paraId="652071A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B6444E"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Del dren de evacuación de gases: Una vez dimensionada la celda, se deber definir número, diámetro y distancia entre chimeneas que permita la recolección y evacuación del gas. La captura y quema tecnificada deberá realizarse en todas las categorías de relleno establecidas.  </w:t>
      </w:r>
    </w:p>
    <w:p w14:paraId="7367363B"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9863B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 los canales de aguas lluvias. Acorde a las curvas de Intensidad, Duración y Frecuencia (IDF), se deberá realizar el cálculo y diseño de los canales de evacuación de aguas lluvias, especificando, acorde con la topografía del terreno, la pendiente mínima, el tipo y material de revestimiento del canal. La evacuación de las aguas que conduzca el canal deberá ser vertida sobre una corriente o campo natural libre de contacto con el lixiviado.  </w:t>
      </w:r>
    </w:p>
    <w:p w14:paraId="4636BEC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4264F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Manejo de Lixiviados. Se deberá dimensionar conforme con las condiciones meteorológicas de la zona y el tipo de residuos sólidos, el sistema de manejo de lixiviado que garantice el drenaje, la conducción y almacenamiento, incluyendo el análisis de la recirculación de lixiviados cuando técnicamente sea viable.  </w:t>
      </w:r>
    </w:p>
    <w:p w14:paraId="3728FF5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D7DC95"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Sistema de tratamiento de lixiviados. Cuando los lixiviados deban ser conducidos y vertidos a un cuerpo de agua se deberá diseñar un sistema de tratamiento que garantice el cumplimiento de la norma de la calidad.  </w:t>
      </w:r>
    </w:p>
    <w:p w14:paraId="06361A46"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9A903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u w:val="single"/>
          <w:lang w:eastAsia="es-CO"/>
        </w:rPr>
        <w:t>IV. Instrumentación.</w:t>
      </w:r>
      <w:r w:rsidRPr="009342F9">
        <w:rPr>
          <w:rFonts w:ascii="Arial" w:eastAsia="Times New Roman" w:hAnsi="Arial" w:cs="Arial"/>
          <w:color w:val="000000"/>
          <w:lang w:eastAsia="es-CO"/>
        </w:rPr>
        <w:t> </w:t>
      </w:r>
    </w:p>
    <w:p w14:paraId="189CB028"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1EBE41"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Todo relleno sanitario deberá contar con instrumentos que permitan la medición de niveles y calidad de agua subsuperficial, estabilidad de terreno y de la masa de residuos contenida en la celda o en la terraza, tales como: Piezómetros, instrumentación geotécnica y pozos de monitoreo. Para rellenos construidos por etapas o fases, se deberá proyectar la instalación de la instrumentación de medición en cada una de las celdas proyectadas  </w:t>
      </w:r>
    </w:p>
    <w:p w14:paraId="0C75A7A5"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AD2B3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u w:val="single"/>
          <w:lang w:eastAsia="es-CO"/>
        </w:rPr>
        <w:t>V. Infraestructura del Relleno Sanitario</w:t>
      </w:r>
      <w:r w:rsidRPr="009342F9">
        <w:rPr>
          <w:rFonts w:ascii="Arial" w:eastAsia="Times New Roman" w:hAnsi="Arial" w:cs="Arial"/>
          <w:color w:val="000000"/>
          <w:lang w:eastAsia="es-CO"/>
        </w:rPr>
        <w:t> </w:t>
      </w:r>
    </w:p>
    <w:p w14:paraId="46601215"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A28A71"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Está conformada por las celdas y las siguientes estructuras asociadas:  </w:t>
      </w:r>
    </w:p>
    <w:p w14:paraId="6CA5F095"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0B74B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Valla de información: Que deberá contener como mínimo la siguiente información:  </w:t>
      </w:r>
    </w:p>
    <w:p w14:paraId="138A9D8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CA0B3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Nombre del relleno. – Nombre del municipio. – Nombre de la persona prestadora a cargo del relleno.  </w:t>
      </w:r>
    </w:p>
    <w:p w14:paraId="2D1D78F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Número de Resolución de Licencia Ambiental otorgada o Plan de Manejo Ambiental establecido.  </w:t>
      </w:r>
    </w:p>
    <w:p w14:paraId="5EB6DE8B"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Vida útil expresada en volumen y tiempo de capacidad total.  </w:t>
      </w:r>
    </w:p>
    <w:p w14:paraId="28845E8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2B275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Cerramiento perimetral. Que garantice el cierre perimetral del predio.  </w:t>
      </w:r>
    </w:p>
    <w:p w14:paraId="07908388"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12ACEE"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Puertas de acceso: Que garantice el acceso de vehículos y controle el ingreso de personal ajeno al sitio de disposición.  </w:t>
      </w:r>
    </w:p>
    <w:p w14:paraId="3D810CF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DB25CB"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Báscula de pesaje: Que garantice el registro de toneladas de ingreso al relleno sanitario.  </w:t>
      </w:r>
    </w:p>
    <w:p w14:paraId="644589D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C6575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Caseta de registro: Que garantice el registro, control y sistematización de los datos de entrada y salida de cada uno de los vehículos que ingresen al sitio.  </w:t>
      </w:r>
    </w:p>
    <w:p w14:paraId="0612B5ED"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D9F37B"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Vías internas: Que garanticen el acceso y circulación de los vehículos en el sitio de disposición final.  </w:t>
      </w:r>
    </w:p>
    <w:p w14:paraId="425E79DE"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761EB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Áreas Administrativas y Dotaciones de Servicio: Que garantice las instalaciones requeridas para el personal administrativo, operativo y visitantes.  </w:t>
      </w:r>
    </w:p>
    <w:p w14:paraId="7785A0AE"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722E9E"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u w:val="single"/>
          <w:lang w:eastAsia="es-CO"/>
        </w:rPr>
        <w:t>VI. Presupuesto. </w:t>
      </w:r>
      <w:r w:rsidRPr="009342F9">
        <w:rPr>
          <w:rFonts w:ascii="Arial" w:eastAsia="Times New Roman" w:hAnsi="Arial" w:cs="Arial"/>
          <w:color w:val="000000"/>
          <w:lang w:eastAsia="es-CO"/>
        </w:rPr>
        <w:t> </w:t>
      </w:r>
    </w:p>
    <w:p w14:paraId="2373438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F293F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presupuesto que se presenta en el Documento Técnico de Estudios y Diseños deberá contener el presupuesto de obra ordenado por componentes y cada componente discriminado por capítulos, detallando conceptos, unidades y cantidades junto con el análisis de precios unitarios y debe corresponder al año de ejecución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así como los costos correspondientes al plan de manejo ambiental y otros que le sean pertinentes. </w:t>
      </w:r>
    </w:p>
    <w:p w14:paraId="19F3837F" w14:textId="77777777" w:rsidR="00FC79C1" w:rsidRPr="009342F9" w:rsidRDefault="00FC79C1" w:rsidP="00F74103">
      <w:pPr>
        <w:spacing w:after="0" w:line="240" w:lineRule="auto"/>
        <w:jc w:val="both"/>
        <w:rPr>
          <w:rFonts w:ascii="Arial" w:eastAsia="Times New Roman" w:hAnsi="Arial" w:cs="Arial"/>
          <w:color w:val="000000"/>
          <w:lang w:eastAsia="es-CO"/>
        </w:rPr>
      </w:pPr>
      <w:bookmarkStart w:id="1788" w:name="ver_30137328"/>
      <w:bookmarkEnd w:id="1788"/>
    </w:p>
    <w:p w14:paraId="2E0866B2"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2.3.2.3.12. Uso futuro de los sitios de disposición final de residuos sólidos. El uso futuro de los sitios donde se construyan y clausuren rellenos sanitarios, deberá estar considerado y determinado desde la etapa de diseño del relleno sanitario </w:t>
      </w:r>
    </w:p>
    <w:p w14:paraId="242C7703" w14:textId="77777777" w:rsidR="00FC79C1" w:rsidRPr="009342F9" w:rsidRDefault="00FC79C1" w:rsidP="00F74103">
      <w:pPr>
        <w:spacing w:after="0" w:line="240" w:lineRule="auto"/>
        <w:jc w:val="both"/>
        <w:rPr>
          <w:rFonts w:ascii="Arial" w:eastAsia="Times New Roman" w:hAnsi="Arial" w:cs="Arial"/>
          <w:color w:val="000000"/>
          <w:lang w:eastAsia="es-CO"/>
        </w:rPr>
      </w:pPr>
      <w:bookmarkStart w:id="1789" w:name="ver_30137329"/>
      <w:bookmarkEnd w:id="1789"/>
    </w:p>
    <w:p w14:paraId="58DE62C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2.3.2.3.13. Construcción de rellenos sanitarios. La construcción del relleno sanitario deberá realizarse conforme al Documento Técnico de Estudios y Diseños. Durante la ejecución deberán elaborarse los planos constructivos o “récord” con sus respectivas memorias de ajustes sí fueron realizados, los cuales reposarán en las instalaciones de la persona.  </w:t>
      </w:r>
    </w:p>
    <w:p w14:paraId="3A066EAD" w14:textId="77777777" w:rsidR="00FC79C1" w:rsidRPr="009342F9" w:rsidRDefault="00FC79C1" w:rsidP="00F74103">
      <w:pPr>
        <w:spacing w:after="0" w:line="240" w:lineRule="auto"/>
        <w:jc w:val="both"/>
        <w:rPr>
          <w:rFonts w:ascii="Arial" w:eastAsia="Times New Roman" w:hAnsi="Arial" w:cs="Arial"/>
          <w:color w:val="000000"/>
          <w:lang w:eastAsia="es-CO"/>
        </w:rPr>
      </w:pPr>
      <w:bookmarkStart w:id="1790" w:name="ver_30137330"/>
      <w:bookmarkEnd w:id="1790"/>
    </w:p>
    <w:p w14:paraId="23D0C2F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2.3.2.3.14. Criterios de Operación. La persona prestadora del servicio público de aseo en la actividad complementaria de disposición </w:t>
      </w:r>
      <w:proofErr w:type="gramStart"/>
      <w:r w:rsidRPr="009342F9">
        <w:rPr>
          <w:rFonts w:ascii="Arial" w:eastAsia="Times New Roman" w:hAnsi="Arial" w:cs="Arial"/>
          <w:color w:val="000000"/>
          <w:lang w:eastAsia="es-CO"/>
        </w:rPr>
        <w:t>final,</w:t>
      </w:r>
      <w:proofErr w:type="gramEnd"/>
      <w:r w:rsidRPr="009342F9">
        <w:rPr>
          <w:rFonts w:ascii="Arial" w:eastAsia="Times New Roman" w:hAnsi="Arial" w:cs="Arial"/>
          <w:color w:val="000000"/>
          <w:lang w:eastAsia="es-CO"/>
        </w:rPr>
        <w:t xml:space="preserve"> deberá garantizar, entre otras, el cumplimiento de las siguientes condiciones durante la fase de operación:  </w:t>
      </w:r>
    </w:p>
    <w:p w14:paraId="1AD4F2C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7161E0"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Documentación mínima disponible. La persona prestadora a cargo del relleno sanitario deberá contar como mínimo, con la siguiente documentación: Memorias de diseño, planos del diseño, planos récord, especificaciones técnicas, licencia ambiental, plan de manejo ambiental y Reglamento Operativo.  </w:t>
      </w:r>
    </w:p>
    <w:p w14:paraId="76C4BC11"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6FD561"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Vigilancia. Todo relleno sanitario deberá garantizar el control y registro de ingreso y salida de vehículos y personal al relleno sanitario, la seguridad de los elementos e infraestructura y hacer cumplir las normas establecidas en el Reglamento Operativo.  </w:t>
      </w:r>
    </w:p>
    <w:p w14:paraId="0159D82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C6625A"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Inspección visual para el ingreso de residuos sólidos. La persona prestadora deberá realizar inspección visual a los residuos que ingresan al relleno sanitario, con el propósito de controlar el tipo de residuos a ingresar, con la frecuencia que establezca el Reglamento Operativo, según la escala de operación.  </w:t>
      </w:r>
    </w:p>
    <w:p w14:paraId="4BB7FF25"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C41BC2"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Prohibición de la actividad de recuperación de residuos sólidos en el frente de operación. Para todos los efectos estará prohibida la actividad de recuperación de residuos sólidos en el frente de operación del relleno sanitario. La persona prestadora y el ente territorial deben garantizar el cumplimiento de esta medida.  </w:t>
      </w:r>
    </w:p>
    <w:p w14:paraId="3A69E234"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17C122"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Registro de parámetros meteorológicos. Con el objetivo de ajustar las condiciones de operación y mitigar riesgos en la prestación del servicio, se debe llevar un registro de los parámetros meteorológicos de la zona del relleno sanitario, los cuales podrán ser capturados in situ o tomados de las estaciones meteorológicas cercanas. Como mínimo: Precipitación diaria, Temperatura mínima y máxima diaria, Evaporación y Humedad relativa.  </w:t>
      </w:r>
    </w:p>
    <w:p w14:paraId="2958D978"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9B993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Frente de operación. La persona prestadora a cargo del relleno sanitario deberá diseñar el frente de trabajo, tomando en consideración los siguientes parámetros:  </w:t>
      </w:r>
    </w:p>
    <w:p w14:paraId="7C5113BD"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6F2E2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Número diario de vehículos que disponen en el sitio.  </w:t>
      </w:r>
    </w:p>
    <w:p w14:paraId="3D4B3935"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Zona de maniobra de los vehículos recolectores proporcional a la frecuencia de descarga y tipo de vehículos.  </w:t>
      </w:r>
    </w:p>
    <w:p w14:paraId="09DE7D5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Área del frente de operación más eficiente y su correspondiente número de auxiliares de descarga.  </w:t>
      </w:r>
    </w:p>
    <w:p w14:paraId="377A8F2D"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Pendiente del módulo de trabajo establecida en el diseño, con el fin de garantizar la estabilidad, el drenaje y demás parámetros de operación.  </w:t>
      </w:r>
    </w:p>
    <w:p w14:paraId="73D389C3"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Configuración de las capas de residuos, teniendo en cuenta el tipo de impermeabilización de fondo (geomembrana, geotextil-geomembrana u otro), el tipo de residuos.  </w:t>
      </w:r>
    </w:p>
    <w:p w14:paraId="1558E492"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4569B8"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Celda diaria. Los residuos sólidos deberán disponerse conforme al diseño y al Reglamento Operativo.  </w:t>
      </w:r>
    </w:p>
    <w:p w14:paraId="17F55F8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5FAEC4"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Aplicación de Coberturas. Las coberturas diaria, intermedia y final se realizarán acorde con lo definido en el Reglamento Operativo y las especificaciones técnicas del diseño.  </w:t>
      </w:r>
    </w:p>
    <w:p w14:paraId="60C0696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99345E"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Limpieza de ruedas. El relleno sanitario deberá contar con procesos de limpieza de ruedas.  </w:t>
      </w:r>
    </w:p>
    <w:p w14:paraId="207AD5B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57F9C"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Protección contra dispersión. En sitios donde la velocidad del viento potencie la dispersión de los residuos sólidos por fuera de la zona de disposición final se deberá colocar un sistema de pantallas, lo más cerca posible del frente de operación.  </w:t>
      </w:r>
    </w:p>
    <w:p w14:paraId="07DD4B02"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933C34"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 </w:t>
      </w:r>
      <w:proofErr w:type="gramStart"/>
      <w:r w:rsidRPr="009342F9">
        <w:rPr>
          <w:rFonts w:ascii="Arial" w:eastAsia="Times New Roman" w:hAnsi="Arial" w:cs="Arial"/>
          <w:color w:val="000000"/>
          <w:lang w:eastAsia="es-CO"/>
        </w:rPr>
        <w:t>Equipos</w:t>
      </w:r>
      <w:proofErr w:type="gramEnd"/>
      <w:r w:rsidRPr="009342F9">
        <w:rPr>
          <w:rFonts w:ascii="Arial" w:eastAsia="Times New Roman" w:hAnsi="Arial" w:cs="Arial"/>
          <w:color w:val="000000"/>
          <w:lang w:eastAsia="es-CO"/>
        </w:rPr>
        <w:t xml:space="preserve"> de operación. Todos los rellenos sanitarios deberán utilizar equipos para garantizar la descarga, distribución, compactación, nivelación, aplicación de cobertura, drenaje y transporte de material de cobertura. El número y disponibilidad de equipos necesario será calculado con base en la cantidad de toneladas recibidas y la densidad de compactación señalada en el diseño y establecida en el Reglamento Operativo. </w:t>
      </w:r>
    </w:p>
    <w:p w14:paraId="715D8F81" w14:textId="77777777" w:rsidR="00FC79C1" w:rsidRPr="009342F9" w:rsidRDefault="00FC79C1" w:rsidP="00F74103">
      <w:pPr>
        <w:spacing w:after="0" w:line="240" w:lineRule="auto"/>
        <w:jc w:val="both"/>
        <w:rPr>
          <w:rFonts w:ascii="Arial" w:eastAsia="Times New Roman" w:hAnsi="Arial" w:cs="Arial"/>
          <w:color w:val="000000"/>
          <w:lang w:eastAsia="es-CO"/>
        </w:rPr>
      </w:pPr>
      <w:bookmarkStart w:id="1791" w:name="ver_30137331"/>
      <w:bookmarkEnd w:id="1791"/>
    </w:p>
    <w:p w14:paraId="2D572D65"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2.3.2.3.15. Reglamento Operativo. Los sitios de disposición final deberán contar con un Reglamento Operativo que establezca los instrumentos de Planeación, Operación y Seguimiento para las diferentes etapas de desarrollo del proyecto. Los elementos mínimos que deberán ser considerados en el Reglamento Operativo son: Manuales de Operación, Bitácoras y Registros; de acuerdo con los criterios que para el efecto defina el Ministerio de Vivienda, Ciudad y Territorio.  </w:t>
      </w:r>
    </w:p>
    <w:p w14:paraId="30D5CC6B" w14:textId="0F47A1E1"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92" w:name="ver_30137332"/>
      <w:bookmarkEnd w:id="1792"/>
    </w:p>
    <w:p w14:paraId="150FF56C" w14:textId="4A19DDF3" w:rsidR="00FC79C1"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2.3.2.3.16. Monitoreo, Seguimiento y Control a la operación de las actividades de disposición final. Es responsabilidad de la persona prestadora las actividades de monitoreo, seguimiento y control técnico, dentro de las cuales deberán contemplarse como mínimo las siguientes: </w:t>
      </w:r>
    </w:p>
    <w:p w14:paraId="5D64895E" w14:textId="77777777" w:rsidR="000443A9" w:rsidRPr="009342F9" w:rsidRDefault="000443A9" w:rsidP="00F74103">
      <w:pPr>
        <w:spacing w:after="0" w:line="240" w:lineRule="auto"/>
        <w:jc w:val="both"/>
        <w:rPr>
          <w:rFonts w:ascii="Arial" w:eastAsia="Times New Roman" w:hAnsi="Arial" w:cs="Arial"/>
          <w:color w:val="000000"/>
          <w:lang w:eastAsia="es-CO"/>
        </w:rPr>
      </w:pPr>
    </w:p>
    <w:p w14:paraId="2046EDD4"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Monitoreo a la vida útil expresada en capacidad (m3): Se deberá monitorear la cantidad de residuos y la capacidad remanente de la celda de disposición en términos volumétricos, a fin de determinar la vida útil real del relleno sanitario.  </w:t>
      </w:r>
    </w:p>
    <w:p w14:paraId="5C1E9D54" w14:textId="1C032FED"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Monitoreo de compactación: Los niveles de compactación serán medidos acorde a lo establecido en el Reglamento Operativo del relleno.  </w:t>
      </w:r>
    </w:p>
    <w:p w14:paraId="1D868C04"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Monitoreo a la cobertura diaria: Se deberá verificar la cobertura diaria de la celda conforme a lo establecido en el Reglamento Operativo del relleno.  </w:t>
      </w:r>
    </w:p>
    <w:p w14:paraId="4DB62987"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Monitoreo a la calidad de Lixiviados: Se deberá definir dentro del relleno sanitario la toma de muestras para caracterización y medición del caudal de lixiviado; se llevarán registros de los caudales medidos en los pozos de inspección y se tomarán muestras para caracterizar como mínimo DBO, DQO y sólidos totales.  </w:t>
      </w:r>
    </w:p>
    <w:p w14:paraId="60640319"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Monitoreo de aguas subsuperficial: Se medirá la calidad de las aguas subsuperficiales en los pozos de monitoreo, se caracterizará la muestra teniendo en cuenta el nivel de cada pozo, pH, temperatura, DBO, DQO y sólidos suspendidos. Dicho monitoreo se realizará acorde a lo establecido en el Reglamento Operativo.  </w:t>
      </w:r>
    </w:p>
    <w:p w14:paraId="77D7B4DD"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Monitoreo de biogás: El control de los gases se realizará a fin de tomar medidas de control frente a posibles altas concentraciones en el fondo del relleno y de los índices de explosividad. Para ello, se deberá definir el sitio de muestreo de los gases producidos (ya sea chimeneas o pozo de monitoreo) y disponer de equipo con sonda para medición de concentración de gases CH4, H2S y del límite de explosividad. Dicho monitoreo se realizará acorde a lo establecido en el Reglamento Operativo.  </w:t>
      </w:r>
    </w:p>
    <w:p w14:paraId="294279DF"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Control de Olores y Vectores: Deberá disponer de sistemas de monitoreo y control de olores y vectores acorde con lo establecido en el Reglamento Operativo.  </w:t>
      </w:r>
    </w:p>
    <w:p w14:paraId="764A35F4"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Control de incendios: Debe realizarse el monitoreo de riesgo de incendio y contar con los equipos de emergencia para la atención acorde con lo establecido en el Reglamento Operativo.  </w:t>
      </w:r>
    </w:p>
    <w:p w14:paraId="1804B898" w14:textId="77777777" w:rsidR="00FC79C1" w:rsidRPr="009342F9" w:rsidRDefault="00FC79C1" w:rsidP="00F74103">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Seguridad Industrial: Debe disponer de los elementos de seguridad industrial y salud ocupacional, para el personal operativo, administrativo y visitantes, acorde con lo establecido en el Reglamento Operativo y la normatividad vigente. </w:t>
      </w:r>
    </w:p>
    <w:p w14:paraId="2C55544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93" w:name="ver_30137333"/>
      <w:bookmarkEnd w:id="1793"/>
    </w:p>
    <w:p w14:paraId="608EA5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2.3.2.3.17. Cierre y Clausura. Con el fin de garantizar la disponibilidad de recursos económicos para realizar el cierre, clausura, </w:t>
      </w:r>
      <w:proofErr w:type="spellStart"/>
      <w:r w:rsidRPr="009342F9">
        <w:rPr>
          <w:rFonts w:ascii="Arial" w:eastAsia="Times New Roman" w:hAnsi="Arial" w:cs="Arial"/>
          <w:color w:val="000000"/>
          <w:lang w:eastAsia="es-CO"/>
        </w:rPr>
        <w:t>pos</w:t>
      </w:r>
      <w:proofErr w:type="spellEnd"/>
      <w:r w:rsidRPr="009342F9">
        <w:rPr>
          <w:rFonts w:ascii="Arial" w:eastAsia="Times New Roman" w:hAnsi="Arial" w:cs="Arial"/>
          <w:color w:val="000000"/>
          <w:lang w:eastAsia="es-CO"/>
        </w:rPr>
        <w:t xml:space="preserve"> clausura y posterior monitoreo de los rellenos sanitarios, toda persona prestadora del servicio público de aseo en la actividad de disposición final de residuos sólidos, deberá constituir y mantener una provisión, que garantice la disponibilidad permanente de las sumas acumuladas durante el periodo de operación del relleno sanitario, necesarias para construir las obras de clausura y </w:t>
      </w:r>
      <w:proofErr w:type="spellStart"/>
      <w:r w:rsidRPr="009342F9">
        <w:rPr>
          <w:rFonts w:ascii="Arial" w:eastAsia="Times New Roman" w:hAnsi="Arial" w:cs="Arial"/>
          <w:color w:val="000000"/>
          <w:lang w:eastAsia="es-CO"/>
        </w:rPr>
        <w:t>pos</w:t>
      </w:r>
      <w:proofErr w:type="spellEnd"/>
      <w:r w:rsidRPr="009342F9">
        <w:rPr>
          <w:rFonts w:ascii="Arial" w:eastAsia="Times New Roman" w:hAnsi="Arial" w:cs="Arial"/>
          <w:color w:val="000000"/>
          <w:lang w:eastAsia="es-CO"/>
        </w:rPr>
        <w:t xml:space="preserve"> clausura requeridas y llevar a cabo el monitoreo por para dichas etapas. La forma de determinar los valores a provisionar será establecida por la Comisión de Regulación de Agua Potable y Saneamiento Básico en la metodología tarifaria del servicio público de aseo. </w:t>
      </w:r>
    </w:p>
    <w:p w14:paraId="47550554"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3A0DD53F" w14:textId="0EA7683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2.3.2.3.18. Minería de rellenos. La persona prestadora del servicio público de aseo en la actividad de disposición final de residuos sólidos podrá desarrollar proyectos de minería de rellenos con el fin de optimizar sistemas de disposición final existentes.  </w:t>
      </w:r>
    </w:p>
    <w:p w14:paraId="0D8D15A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94" w:name="ver_30137335"/>
      <w:bookmarkEnd w:id="1794"/>
    </w:p>
    <w:p w14:paraId="7884E3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2.3.2.3.19. Tratamientos de residuos en sitios de disposición final. Los sitios de disposición final podrán establecer instalaciones de tratamientos alternativos o complementarios a rellenos sanitarios y disposición final, de conformidad a lo dispuesto en el Capítulo 7 del presente Título, una vez realizado el análisis de beneficio-costo y de sostenibilidad que defina su viabilidad.  </w:t>
      </w:r>
    </w:p>
    <w:p w14:paraId="52373B2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95" w:name="ver_30137336"/>
      <w:bookmarkEnd w:id="1795"/>
    </w:p>
    <w:p w14:paraId="2BE4B2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2.3.2.3.20. Metodologías Tarifarias. De conformidad con la ley, las metodologías tarifarias del servicio público de aseo que establezca la Comisión de Regulación de Agua Potable y Saneamiento Básico (CRA) deberán incentivar el desarrollo de la actividad complementaria de tratamiento.  </w:t>
      </w:r>
    </w:p>
    <w:p w14:paraId="3C1F2995" w14:textId="77777777" w:rsidR="00F74103" w:rsidRPr="009342F9" w:rsidRDefault="00F74103" w:rsidP="00FC79C1">
      <w:pPr>
        <w:spacing w:after="0" w:line="240" w:lineRule="auto"/>
        <w:jc w:val="both"/>
        <w:rPr>
          <w:rFonts w:ascii="Arial" w:eastAsia="Times New Roman" w:hAnsi="Arial" w:cs="Arial"/>
          <w:color w:val="000000"/>
          <w:lang w:eastAsia="es-CO"/>
        </w:rPr>
      </w:pPr>
    </w:p>
    <w:p w14:paraId="335383E7" w14:textId="23BA461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2.3.2.3.22. Transitorio. Para el cumplimiento de las disposiciones de este Capítulo en lo relacionado con la actualización del Reglamento Operativo y cumplimiento de estándares mínimos en la operación, los sitios de disposición final que se encuentren en operación antes del 31 de diciembre de </w:t>
      </w:r>
      <w:proofErr w:type="gramStart"/>
      <w:r w:rsidRPr="009342F9">
        <w:rPr>
          <w:rFonts w:ascii="Arial" w:eastAsia="Times New Roman" w:hAnsi="Arial" w:cs="Arial"/>
          <w:color w:val="000000"/>
          <w:lang w:eastAsia="es-CO"/>
        </w:rPr>
        <w:t>2017,</w:t>
      </w:r>
      <w:proofErr w:type="gramEnd"/>
      <w:r w:rsidRPr="009342F9">
        <w:rPr>
          <w:rFonts w:ascii="Arial" w:eastAsia="Times New Roman" w:hAnsi="Arial" w:cs="Arial"/>
          <w:color w:val="000000"/>
          <w:lang w:eastAsia="es-CO"/>
        </w:rPr>
        <w:t xml:space="preserve"> contarán con un término de 36 meses a partir del 1° de enero de 2018.  </w:t>
      </w:r>
    </w:p>
    <w:p w14:paraId="584B00CE" w14:textId="77777777" w:rsidR="00F74103" w:rsidRPr="009342F9" w:rsidRDefault="00F74103" w:rsidP="00F74103">
      <w:pPr>
        <w:spacing w:after="0" w:line="240" w:lineRule="auto"/>
        <w:jc w:val="center"/>
        <w:rPr>
          <w:rFonts w:ascii="Arial" w:eastAsia="Times New Roman" w:hAnsi="Arial" w:cs="Arial"/>
          <w:b/>
          <w:bCs/>
          <w:color w:val="000000"/>
          <w:lang w:eastAsia="es-CO"/>
        </w:rPr>
      </w:pPr>
      <w:bookmarkStart w:id="1796" w:name="ver_30075800"/>
      <w:bookmarkEnd w:id="1796"/>
    </w:p>
    <w:p w14:paraId="179EB5B0" w14:textId="4085639B"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3EACE7F8"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LOCALIZACIÓN DE ÁREAS PARA LA DISPOSICIÓN FINAL DE RESIDUOS SÓLIDOS</w:t>
      </w:r>
    </w:p>
    <w:p w14:paraId="006E6A96" w14:textId="77777777" w:rsidR="00723293" w:rsidRDefault="00723293" w:rsidP="00F74103">
      <w:pPr>
        <w:spacing w:after="0" w:line="240" w:lineRule="auto"/>
        <w:jc w:val="center"/>
        <w:rPr>
          <w:rFonts w:ascii="Arial" w:eastAsia="Times New Roman" w:hAnsi="Arial" w:cs="Arial"/>
          <w:b/>
          <w:bCs/>
          <w:color w:val="000000"/>
          <w:lang w:eastAsia="es-CO"/>
        </w:rPr>
      </w:pPr>
    </w:p>
    <w:p w14:paraId="0A4BF66E"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1F398B91" w14:textId="77777777" w:rsidR="00FC79C1" w:rsidRPr="009342F9" w:rsidRDefault="00FC79C1" w:rsidP="00F74103">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INTERÉS SOCIAL Y DE UTILIDAD PÚBLICA</w:t>
      </w:r>
    </w:p>
    <w:p w14:paraId="7DABF69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797" w:name="ver_30075801"/>
      <w:bookmarkEnd w:id="1797"/>
    </w:p>
    <w:p w14:paraId="491FF2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2.3.2.3.2.1.2. Del interés social y utilidad pública. Las áreas potenciales que la entidad territorial seleccione y determine en los Planes de Ordenamiento Territorial, POT, Planes Básicos de Ordenamiento Territorial, PBOT, o Esquemas de Ordenamiento Territorial, EOT, según sea el caso, como Suelo de Protección-Zonas de Utilidad Pública para la ubicación de infraestructuras para la provisión del servicio público de aseo en la actividad complementaria de disposición final, mediante la utilización de la tecnología de relleno sanitario, hacen parte de los bienes y servicios de interés común, los cuales prevalecerán sobre el interés particular. </w:t>
      </w:r>
    </w:p>
    <w:p w14:paraId="69A8A9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83CE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territorial localizará y señalará las áreas potenciales en los Planes de Ordenamiento Territorial, Planes Básicos de Ordenamiento Territorial y Esquemas de Ordenamiento Territorial, de conformidad con lo señalado en la ley. </w:t>
      </w:r>
    </w:p>
    <w:p w14:paraId="3D428B7B" w14:textId="2F21F8A8"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798" w:name="ver_30075802"/>
      <w:bookmarkEnd w:id="1798"/>
    </w:p>
    <w:p w14:paraId="7FC67483" w14:textId="6242F1C9"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7B70C6EA"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PROCEDIMIENTO, CRITERIOS, METODOLOGÍA, PROHIBICIONES Y RESTRICCIONES PARA LA LOCALIZACIÓN DE ÁREAS PARA LA DISPOSICIÓN FINAL DE RESIDUOS SÓLIDOS</w:t>
      </w:r>
    </w:p>
    <w:p w14:paraId="308BECA1"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799" w:name="ver_30075803"/>
      <w:bookmarkEnd w:id="1799"/>
    </w:p>
    <w:p w14:paraId="0301AC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2.3.2.3.2.2.3. Procedimiento para la localización. Sin perjuicio de lo dispuesto en la Ley 388 de 1997, para la localización y definición de las áreas a que hace referencia el artículo anterior, se deberá garantizar el siguiente procedimiento: </w:t>
      </w:r>
    </w:p>
    <w:p w14:paraId="724117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261F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entidad territorial en el proceso de formulación del Plan de Gestión Integral de Residuos Sólidos, PGIRS, seleccionará y establecerá las áreas potenciales para la realización de la disposición final de residuos sólidos, mediante la tecnología de relleno sanitario y de la infraestructura que los compone. </w:t>
      </w:r>
    </w:p>
    <w:p w14:paraId="3F8A27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1960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 entidad territorial realizará visitas técnicas a cada uno de las áreas potenciales definidas en el PGIRS y con base en la información existente de generación de residuos sólidos de la entidad territorial, uso actual de dichas áreas, accesibilidad vial, topografía, distancia al perímetro urbano, disponibilidad de material de cobertura, distancia a cuerpos hídricos y los criterios de localización definidos en el 2.3.2.3.2.2.4 del presente capítulo, y suscribirá un acta, que hará parte del expediente del POT, PBOT y EOT, según sea el caso, en la que se dejará constancia del proceso de evaluación llevado a cabo, especificando los puntajes de evaluación asignados a cada una de ellas. </w:t>
      </w:r>
    </w:p>
    <w:p w14:paraId="12A5ED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9730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incorporación de las áreas potenciales para la disposición final de residuos sólidos, mediante la tecnología de relleno sanitario, en los Planes de Ordenamiento Territorial, Planes Básicos de Ordenamiento Territorial y Esquemas de Ordenamiento Territorial, según sea el caso, se hará durante el proceso de adopción, o en el proceso de revisión, modificación y ajustes de los mismos, y debe realizarse de acuerdo con las disposiciones establecidas en la normatividad y en la normatividad única para el sector de ambiente y desarrollo sostenible o las normas que lo adicionen, modifiquen o sustituyan. </w:t>
      </w:r>
    </w:p>
    <w:p w14:paraId="7D252A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E50E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Una vez expedido el acto administrativo correspondiente por la entidad territorial, que adopta o modifica los Planes de Ordenamiento Territorial, Planes Básicos de Ordenamiento Territorial y Esquemas de Ordenamiento Territorial, según sea el caso, en los cuales se establezcan las áreas potenciales para la disposición final de residuos sólidos, mediante la tecnología de relleno sanitario, la persona prestadora del servicio público de aseo en la actividad complementaria de disposición final, deberá surtir el proceso de licenciamiento, previsto en la ley y su decreto reglamentario. </w:t>
      </w:r>
    </w:p>
    <w:p w14:paraId="342535DF" w14:textId="0979AB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00" w:name="ver_30075804"/>
      <w:bookmarkEnd w:id="1800"/>
    </w:p>
    <w:p w14:paraId="129076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2.3.2.3.2.2.4. Criterios y metodología para la localización de áreas para disposición final de residuos sólidos, mediante la tecnología de relleno sanitario. Para la localización de áreas potenciales para disposición final de residuos sólidos, mediante la tecnología de relleno sanitario, las entidades territoriales, considerando la totalidad del área bajo su jurisdicción, tendrán en cuenta los criterios y la metodología de evaluación que se expone: </w:t>
      </w:r>
    </w:p>
    <w:p w14:paraId="4B1E88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62CB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Capacidad. El área donde se ubicará el relleno </w:t>
      </w:r>
      <w:proofErr w:type="gramStart"/>
      <w:r w:rsidRPr="009342F9">
        <w:rPr>
          <w:rFonts w:ascii="Arial" w:eastAsia="Times New Roman" w:hAnsi="Arial" w:cs="Arial"/>
          <w:color w:val="000000"/>
          <w:lang w:eastAsia="es-CO"/>
        </w:rPr>
        <w:t>sanitario,</w:t>
      </w:r>
      <w:proofErr w:type="gramEnd"/>
      <w:r w:rsidRPr="009342F9">
        <w:rPr>
          <w:rFonts w:ascii="Arial" w:eastAsia="Times New Roman" w:hAnsi="Arial" w:cs="Arial"/>
          <w:color w:val="000000"/>
          <w:lang w:eastAsia="es-CO"/>
        </w:rPr>
        <w:t xml:space="preserve"> debe ser suficiente para permitir que la vida útil de este sea compatible con la producción proyectada de residuos sólidos a disponer en el mismo, considerando tanto el municipio receptor como aquellos ubicados dentro de un radio de 60 kilómetros del mismo. Por lo tanto, este criterio se calificará en función de la cantidad de residuos sólidos que se puedan disponer dando 0 puntos para una capacidad igual o menor a 0.5 veces la producción de residuos producidos en treinta (30) años, hasta 200 puntos para una capacidad igual o mayor a 1.5 veces la producción de residuos sólidos producidos en treinta años (30) años, calificándose en forma lineal a partir de 0.5 veces la producción de residuos producidos en los treinta (30) años. </w:t>
      </w:r>
    </w:p>
    <w:p w14:paraId="0223EF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9FD5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cuantificar en esta fase la cantidad de residuos sólidos producidos para el período de 30 años, se utilizará el parámetro de producción per cápita definido en la Tabla F.1.2 y las proyecciones de población de acuerdo con los métodos establecidos en el Reglamento Técnico del Sector de Agua Potable y Saneamiento Básico, RAS, según el nivel de complejidad del proyecto de las entidades territoriales que dispondrán en el relleno sanitario. </w:t>
      </w:r>
    </w:p>
    <w:p w14:paraId="09BF43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9BDB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Ocupación actual del área. Determina las actividades que actualmente se vienen realizando con el objeto de prever posibles impactos sobre la comunidad o los recursos naturales dando un puntaje así: </w:t>
      </w:r>
    </w:p>
    <w:p w14:paraId="3B4ABD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56B1C6" w14:textId="072A136D"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2590DF76" wp14:editId="1452E4D7">
            <wp:extent cx="5546723" cy="1207770"/>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pic:cNvPicPr/>
                  </pic:nvPicPr>
                  <pic:blipFill>
                    <a:blip r:embed="rId30">
                      <a:extLst>
                        <a:ext uri="{28A0092B-C50C-407E-A947-70E740481C1C}">
                          <a14:useLocalDpi xmlns:a14="http://schemas.microsoft.com/office/drawing/2010/main" val="0"/>
                        </a:ext>
                      </a:extLst>
                    </a:blip>
                    <a:stretch>
                      <a:fillRect/>
                    </a:stretch>
                  </pic:blipFill>
                  <pic:spPr>
                    <a:xfrm>
                      <a:off x="0" y="0"/>
                      <a:ext cx="5546723" cy="120777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41EED3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40DF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Accesibilidad vial. Este criterio corresponde a la facilidad y economía que la persona prestadora del servicio público de aseo en el componente de recolección y </w:t>
      </w:r>
      <w:proofErr w:type="gramStart"/>
      <w:r w:rsidRPr="009342F9">
        <w:rPr>
          <w:rFonts w:ascii="Arial" w:eastAsia="Times New Roman" w:hAnsi="Arial" w:cs="Arial"/>
          <w:color w:val="000000"/>
          <w:lang w:eastAsia="es-CO"/>
        </w:rPr>
        <w:t>transporte,</w:t>
      </w:r>
      <w:proofErr w:type="gramEnd"/>
      <w:r w:rsidRPr="009342F9">
        <w:rPr>
          <w:rFonts w:ascii="Arial" w:eastAsia="Times New Roman" w:hAnsi="Arial" w:cs="Arial"/>
          <w:color w:val="000000"/>
          <w:lang w:eastAsia="es-CO"/>
        </w:rPr>
        <w:t xml:space="preserve"> tiene para llevar los residuos sólidos al área en que se efectuará dicha disposición final, mediante la tecnología de relleno sanitario. El criterio se divide en los siguientes subcriterios: </w:t>
      </w:r>
    </w:p>
    <w:p w14:paraId="0DC845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0782B4" w14:textId="212963F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Condiciones de la vía principal (puntaje máximo 20 puntos)   </w:t>
      </w:r>
    </w:p>
    <w:p w14:paraId="0A2DE260" w14:textId="235D47F6"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41D966FE" wp14:editId="0439AE5A">
            <wp:extent cx="5546723" cy="6935468"/>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pic:cNvPicPr/>
                  </pic:nvPicPr>
                  <pic:blipFill>
                    <a:blip r:embed="rId31">
                      <a:extLst>
                        <a:ext uri="{28A0092B-C50C-407E-A947-70E740481C1C}">
                          <a14:useLocalDpi xmlns:a14="http://schemas.microsoft.com/office/drawing/2010/main" val="0"/>
                        </a:ext>
                      </a:extLst>
                    </a:blip>
                    <a:stretch>
                      <a:fillRect/>
                    </a:stretch>
                  </pic:blipFill>
                  <pic:spPr>
                    <a:xfrm>
                      <a:off x="0" y="0"/>
                      <a:ext cx="5546723" cy="6935468"/>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1D522C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71E5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Condiciones del suelo y topografía. Este criterio determina las facilidades de construcción, operación y trabajabilidad en el área en que se efectuará dicha disposición final, mediante la tecnología de relleno sanitario, calificadas bajo los siguientes subcriterios: </w:t>
      </w:r>
    </w:p>
    <w:p w14:paraId="508761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BEA1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Pendiente promedio del terreno (puntaje máximo 40 puntos): </w:t>
      </w:r>
    </w:p>
    <w:p w14:paraId="50520A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5BEA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4BD7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A93E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Facilidad para el movimiento de tierras del área en que se efectuará dicha disposición final, mediante la tecnología de relleno sanitario (puntaje máximo 40 puntos): </w:t>
      </w:r>
    </w:p>
    <w:p w14:paraId="4FA4E29E" w14:textId="1CBD381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96B2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Distancia entre el perímetro urbano, respecto del área para la disposición final de residuos sólidos, mediante la tecnología de relleno sanitario. Este criterio se asocia a los costos de transporte en que incurriría la persona prestadora del servicio público de aseo para llevar los residuos sólidos desde el perímetro urbano, incluida la zona de expansión urbana, al área en la que se efectuará la disposición final de residuos sólidos: </w:t>
      </w:r>
    </w:p>
    <w:p w14:paraId="47547806" w14:textId="1E75265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8D4C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Disponibilidad de material de cobertura. Este criterio se asocia a los costos de transporte en que incurre la persona prestadora del servicio para obtener y llevar el material de cobertura necesario para dar cumplimiento a las especificaciones técnicas y ambientales en los procesos de operación diaria y cierre y clausura del relleno sanitario, calificado bajo dos subcriterios así: </w:t>
      </w:r>
    </w:p>
    <w:p w14:paraId="5DC19D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B67A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Distancia del sitio de obtención de material de cobertura hasta el área de disposición final (puntaje máximo 60 puntos) </w:t>
      </w:r>
    </w:p>
    <w:p w14:paraId="5E833C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C34DB1" w14:textId="12A41659"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4C50EFCC" wp14:editId="5A71B84E">
            <wp:extent cx="5546723" cy="1250950"/>
            <wp:effectExtent l="0" t="0" r="0" b="635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pic:cNvPicPr/>
                  </pic:nvPicPr>
                  <pic:blipFill>
                    <a:blip r:embed="rId32">
                      <a:extLst>
                        <a:ext uri="{28A0092B-C50C-407E-A947-70E740481C1C}">
                          <a14:useLocalDpi xmlns:a14="http://schemas.microsoft.com/office/drawing/2010/main" val="0"/>
                        </a:ext>
                      </a:extLst>
                    </a:blip>
                    <a:stretch>
                      <a:fillRect/>
                    </a:stretch>
                  </pic:blipFill>
                  <pic:spPr>
                    <a:xfrm>
                      <a:off x="0" y="0"/>
                      <a:ext cx="5546723" cy="125095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3E8863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6B99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Calidad del material de cobertura medida por su textura (puntaje máximo 40 puntos) </w:t>
      </w:r>
    </w:p>
    <w:p w14:paraId="67E904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54BA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Densidad poblacional en el área. Este criterio determina la posible afectación de la población “ubicada en el área de influencia directa del área en la que se efectuará la disposición de residuos sólidos: </w:t>
      </w:r>
    </w:p>
    <w:p w14:paraId="5A737F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E5F9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Incidencia en la congestión de tráfico en la vía principal. Este criterio determina la incidencia que puede tener sobre el tráfico de la vía principal, el desplazamiento de los vehículos que transportarán desde el perímetro urbano hasta el del área en la que se efectuará la disposición de residuos sólidos, cuantificados así: </w:t>
      </w:r>
    </w:p>
    <w:p w14:paraId="60A8D8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8CB1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Distancias a cuerpos hídricos. Este criterio establece la relación que tendrá el área en la que se efectuará la disposición final de residuos, respecto a las fuentes hídricas permanentes y superficiales existentes en la zona, cuantificándose de la siguiente forma: </w:t>
      </w:r>
    </w:p>
    <w:p w14:paraId="45F3576E" w14:textId="39ED38C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DFF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Dirección de los vientos. Este criterio determina la incidencia que puede tener la dirección de los vientos con respecto al casco urbano, en la operación de la infraestructura instalada en el área en que se efectuará la disposición final de residuos: </w:t>
      </w:r>
    </w:p>
    <w:p w14:paraId="1AA16091" w14:textId="28F9CD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0251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Geoformas del área respecto al entorno. Este criterio hace referencia a la incidencia que puede tener sobre el paisaje y el entorno, calificándose respecto a la zona urbana, la operación de la infraestructura ubicada en el área en que se efectuará la disposición final de residuos, así: </w:t>
      </w:r>
    </w:p>
    <w:p w14:paraId="4006F9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A38F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BB44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302F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Restricciones en la disponibilidad del área. Este criterio hace referencia a las restricciones del área en que se efectuará la disposición final de residuos, con base en las definidas en el artículo 2.3.2.3.2.2.5 Numeral 2 del presente capítulo, calificándose de acuerdo con el número de posibles restricciones así: </w:t>
      </w:r>
    </w:p>
    <w:p w14:paraId="61AF0BEA" w14:textId="7E58746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68E9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puntaje máximo de la evaluación será de 1.000 puntos. El puntaje obtenido por cada área potencial no indica el descarte o rechazo de alguna de las mismas, sino que indica una posición dentro de un orden de elegibilidad, de mayor a menor, de acuerdo con el valor del puntaje obtenido, y con base en este orden se incorporarán al POT, EOT o PBOT, según sea el caso, de cada entidad territorial. </w:t>
      </w:r>
    </w:p>
    <w:p w14:paraId="3AC8FC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8D0E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Deberá incluirse, en los Planes de que trata el numeral 4 del artículo 2.3.2.3.2.2.3 del presente capítulo, todas aquellas áreas que obtengan un puntaje igual o superior al 60% del puntaje obtenido por el área mejor calificada en el orden de elegibilidad. </w:t>
      </w:r>
    </w:p>
    <w:p w14:paraId="7D63D3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AACC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 identificación y ubicación de los proyectos de rellenos sanitarios, dentro de las áreas potenciales para la disposición final de residuos sólidos señaladas en el POT, EOT o PBOT, según sea el caso, de cada entidad territorial, corresponderá a los prestadores del servicio público de aseo en la actividad complementaria de disposición final, mediante la tecnología de relleno sanitario. </w:t>
      </w:r>
    </w:p>
    <w:p w14:paraId="15013596" w14:textId="38F374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01" w:name="ver_30109311"/>
      <w:bookmarkStart w:id="1802" w:name="ver_30109307"/>
      <w:bookmarkEnd w:id="1801"/>
    </w:p>
    <w:p w14:paraId="6A7179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2.3.2.3.2.2.5. Prohibiciones y restricciones en la localización de áreas para disposición final de residuos </w:t>
      </w:r>
      <w:proofErr w:type="spellStart"/>
      <w:proofErr w:type="gramStart"/>
      <w:r w:rsidRPr="009342F9">
        <w:rPr>
          <w:rFonts w:ascii="Arial" w:eastAsia="Times New Roman" w:hAnsi="Arial" w:cs="Arial"/>
          <w:color w:val="000000"/>
          <w:lang w:eastAsia="es-CO"/>
        </w:rPr>
        <w:t>sólidos.En</w:t>
      </w:r>
      <w:proofErr w:type="spellEnd"/>
      <w:proofErr w:type="gramEnd"/>
      <w:r w:rsidRPr="009342F9">
        <w:rPr>
          <w:rFonts w:ascii="Arial" w:eastAsia="Times New Roman" w:hAnsi="Arial" w:cs="Arial"/>
          <w:color w:val="000000"/>
          <w:lang w:eastAsia="es-CO"/>
        </w:rPr>
        <w:t xml:space="preserve"> la localización de áreas para realizar la disposición final de residuos sólidos, mediante la tecnología de relleno sanitario, se tendrán en cuenta las siguientes:  </w:t>
      </w:r>
    </w:p>
    <w:p w14:paraId="1E531F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E882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w:t>
      </w:r>
      <w:proofErr w:type="spellStart"/>
      <w:proofErr w:type="gramStart"/>
      <w:r w:rsidRPr="009342F9">
        <w:rPr>
          <w:rFonts w:ascii="Arial" w:eastAsia="Times New Roman" w:hAnsi="Arial" w:cs="Arial"/>
          <w:color w:val="000000"/>
          <w:lang w:eastAsia="es-CO"/>
        </w:rPr>
        <w:t>Prohibiciones:Corresponden</w:t>
      </w:r>
      <w:proofErr w:type="spellEnd"/>
      <w:proofErr w:type="gramEnd"/>
      <w:r w:rsidRPr="009342F9">
        <w:rPr>
          <w:rFonts w:ascii="Arial" w:eastAsia="Times New Roman" w:hAnsi="Arial" w:cs="Arial"/>
          <w:color w:val="000000"/>
          <w:lang w:eastAsia="es-CO"/>
        </w:rPr>
        <w:t xml:space="preserve"> a las áreas donde queda prohibido la localización, construcción y operación de rellenos sanitarios: </w:t>
      </w:r>
    </w:p>
    <w:p w14:paraId="73D2A3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CD25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Fuentes superficiales. Dentro de la faja paralela a la línea de mareas máximas o a la del cauce permanente de ríos y lagos, como mínimo de treinta (30) metros de ancho o las definidas en el respectivo POT, EOT y PBOT, según sea el caso; dentro de la faja paralela al sitio de pozos de agua potable, tanto en operación como en abandono, a los manantiales y aguas arriba de cualquier sitio de captación de una fuente superficial de abastecimiento hídrico para consumo humano de por lo menos quinientos (500) metros; en zonas de pantanos, humedales y áreas similares.  </w:t>
      </w:r>
    </w:p>
    <w:p w14:paraId="432CAD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FAA8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Fuentes subterráneas. En zonas de recarga de acuíferos.  </w:t>
      </w:r>
    </w:p>
    <w:p w14:paraId="6210A4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96AE84" w14:textId="4AB8A31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Hábitats naturales críticos:</w:t>
      </w:r>
      <w:r w:rsidR="0066689E">
        <w:rPr>
          <w:rFonts w:ascii="Arial" w:eastAsia="Times New Roman" w:hAnsi="Arial" w:cs="Arial"/>
          <w:color w:val="000000"/>
          <w:lang w:eastAsia="es-CO"/>
        </w:rPr>
        <w:t xml:space="preserve"> </w:t>
      </w:r>
      <w:r w:rsidRPr="009342F9">
        <w:rPr>
          <w:rFonts w:ascii="Arial" w:eastAsia="Times New Roman" w:hAnsi="Arial" w:cs="Arial"/>
          <w:color w:val="000000"/>
          <w:lang w:eastAsia="es-CO"/>
        </w:rPr>
        <w:t>Zonas donde habiten especies endémicas en peligro de extinción.  </w:t>
      </w:r>
    </w:p>
    <w:p w14:paraId="36B1DC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6B30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Áreas pertenecientes al Sistema de Parques Nacionales Naturales y demás áreas de manejo especial y de ecosistemas especiales tales como humedales, páramos y manglares.  </w:t>
      </w:r>
    </w:p>
    <w:p w14:paraId="0B1DBD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EE67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Restricciones. Corresponden a las áreas donde si bien se pueden localizar, construir y operar rellenos sanitarios, se debe cumplir con ciertas especificaciones y requisitos particulares, sin los cuales no es posible su ubicación, construcción y operación:  </w:t>
      </w:r>
    </w:p>
    <w:p w14:paraId="6B0ED7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6ACC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Distancia al suelo urbano. Dentro de los mil (1.000) metros de distancia horizontal, con respecto al límite del área urbana o suburbana, incluyendo zonas de expansión y crecimiento urbanístico, distancia que puede ser modificada según los resultados de los estudios ambientales específicos.  </w:t>
      </w:r>
    </w:p>
    <w:p w14:paraId="2341D5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9C4D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Proximidad a aeropuertos. Se deberá cumplir con la normatividad expedida sobre la materia por la Unidad Administrativa Especial de la Aeronáutica Civil o la entidad que haga sus veces.  </w:t>
      </w:r>
    </w:p>
    <w:p w14:paraId="1A6685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2975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Fuentes subterráneas. La infraestructura instalada, deberá estar ubicada a una altura mínima de cinco (5) metros por encima del nivel freático.  </w:t>
      </w:r>
    </w:p>
    <w:p w14:paraId="539CEE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848D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Áreas inestables. Se deberá procurar que las áreas para disposición final de residuos sólidos, no se ubiquen en zonas que puedan generar asentamientos que desestabilicen la integridad de la infraestructura allí instalada, como estratos de suelos altamente compresibles, sitios susceptibles a movimientos en masa y aquellos donde se pueda generar fenómenos de </w:t>
      </w:r>
      <w:proofErr w:type="spellStart"/>
      <w:r w:rsidRPr="009342F9">
        <w:rPr>
          <w:rFonts w:ascii="Arial" w:eastAsia="Times New Roman" w:hAnsi="Arial" w:cs="Arial"/>
          <w:color w:val="000000"/>
          <w:lang w:eastAsia="es-CO"/>
        </w:rPr>
        <w:t>carsismo</w:t>
      </w:r>
      <w:proofErr w:type="spellEnd"/>
      <w:r w:rsidRPr="009342F9">
        <w:rPr>
          <w:rFonts w:ascii="Arial" w:eastAsia="Times New Roman" w:hAnsi="Arial" w:cs="Arial"/>
          <w:color w:val="000000"/>
          <w:lang w:eastAsia="es-CO"/>
        </w:rPr>
        <w:t>.  </w:t>
      </w:r>
    </w:p>
    <w:p w14:paraId="662A7D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224C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Zonas de riesgo sísmico alto. En la localización de áreas para disposición final de residuos sólidos, se deberá tener en cuenta el nivel de amenaza sísmica del sitio donde se ubicará el relleno sanitario, así como la vulnerabilidad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49E266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7E38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En el evento en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por las condiciones geotécnicas, geomorfológicas e hidrológicas de la región, se deba ubicar infraestructura para la disposición final de residuos sólidos en áreas donde existen restricciones, se garantizará la seguridad y estabilidad de la infraestructura en la adopción de las respectivas medidas de control, mitigación y compensación que exija la autoridad ambiental competente”.  </w:t>
      </w:r>
    </w:p>
    <w:p w14:paraId="2BF78CA6"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2DB9398"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03" w:name="ver_30075806"/>
      <w:bookmarkEnd w:id="1802"/>
      <w:bookmarkEnd w:id="1803"/>
      <w:r w:rsidRPr="009342F9">
        <w:rPr>
          <w:rFonts w:ascii="Arial" w:eastAsia="Times New Roman" w:hAnsi="Arial" w:cs="Arial"/>
          <w:b/>
          <w:bCs/>
          <w:color w:val="000000"/>
          <w:lang w:eastAsia="es-CO"/>
        </w:rPr>
        <w:t>SECCIÓN 3</w:t>
      </w:r>
    </w:p>
    <w:p w14:paraId="4CBA1F83" w14:textId="77777777" w:rsidR="00FC79C1" w:rsidRDefault="00FC79C1" w:rsidP="004E2147">
      <w:pPr>
        <w:spacing w:after="0" w:line="240" w:lineRule="auto"/>
        <w:jc w:val="center"/>
        <w:rPr>
          <w:rFonts w:ascii="Arial" w:eastAsia="Times New Roman" w:hAnsi="Arial" w:cs="Arial"/>
          <w:b/>
          <w:bCs/>
          <w:color w:val="000000"/>
          <w:lang w:eastAsia="es-CO"/>
        </w:rPr>
      </w:pPr>
      <w:r w:rsidRPr="231E957E">
        <w:rPr>
          <w:rFonts w:ascii="Arial" w:eastAsia="Times New Roman" w:hAnsi="Arial" w:cs="Arial"/>
          <w:b/>
          <w:color w:val="000000" w:themeColor="text1"/>
          <w:lang w:eastAsia="es-CO"/>
        </w:rPr>
        <w:t>CONSIDERACIONES AMBIENTALES Y TÉCNICAS DE PLANEACIÓN, CONSTRUCCIÓN Y OPERACIÓN DE RELLENOS SANITARIOS</w:t>
      </w:r>
    </w:p>
    <w:p w14:paraId="22359C46" w14:textId="77777777" w:rsidR="00723293" w:rsidRPr="009342F9" w:rsidRDefault="00723293" w:rsidP="004E2147">
      <w:pPr>
        <w:spacing w:after="0" w:line="240" w:lineRule="auto"/>
        <w:jc w:val="center"/>
        <w:rPr>
          <w:rFonts w:ascii="Arial" w:eastAsia="Times New Roman" w:hAnsi="Arial" w:cs="Arial"/>
          <w:b/>
          <w:bCs/>
          <w:color w:val="000000"/>
          <w:lang w:eastAsia="es-CO"/>
        </w:rPr>
      </w:pPr>
    </w:p>
    <w:p w14:paraId="1B57B0A5"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1</w:t>
      </w:r>
    </w:p>
    <w:p w14:paraId="0E206B6F"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 LA PLANEACIÓN Y REGLAMENTO OPERATIVO</w:t>
      </w:r>
    </w:p>
    <w:p w14:paraId="0CC62B5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04" w:name="ver_30075807"/>
      <w:bookmarkEnd w:id="1804"/>
    </w:p>
    <w:p w14:paraId="297A3E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2.3.2.3.3.1.6. De Planeación. El proceso de planificación del servicio público de aseo en la actividad complementaria de disposición final de residuos </w:t>
      </w:r>
      <w:proofErr w:type="gramStart"/>
      <w:r w:rsidRPr="009342F9">
        <w:rPr>
          <w:rFonts w:ascii="Arial" w:eastAsia="Times New Roman" w:hAnsi="Arial" w:cs="Arial"/>
          <w:color w:val="000000"/>
          <w:lang w:eastAsia="es-CO"/>
        </w:rPr>
        <w:t>sólidos,</w:t>
      </w:r>
      <w:proofErr w:type="gramEnd"/>
      <w:r w:rsidRPr="009342F9">
        <w:rPr>
          <w:rFonts w:ascii="Arial" w:eastAsia="Times New Roman" w:hAnsi="Arial" w:cs="Arial"/>
          <w:color w:val="000000"/>
          <w:lang w:eastAsia="es-CO"/>
        </w:rPr>
        <w:t xml:space="preserve"> se realizará con base en los siguientes instrumentos: </w:t>
      </w:r>
    </w:p>
    <w:p w14:paraId="51BA3C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B3F2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Los Planes de Gestión Integral de Residuos Sólidos, PGIRS. </w:t>
      </w:r>
    </w:p>
    <w:p w14:paraId="4259E4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A274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Los Planes de Ordenamiento Territorial. </w:t>
      </w:r>
    </w:p>
    <w:p w14:paraId="2C620C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8D12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Licencia Ambiental. </w:t>
      </w:r>
    </w:p>
    <w:p w14:paraId="671727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4108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Reglamento Técnico del Sector, RAS. </w:t>
      </w:r>
    </w:p>
    <w:p w14:paraId="1FE5FE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5016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Reglamento operativo. </w:t>
      </w:r>
    </w:p>
    <w:p w14:paraId="3A3D2239" w14:textId="7D20596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05" w:name="ver_30075809"/>
      <w:bookmarkEnd w:id="1805"/>
    </w:p>
    <w:p w14:paraId="5656A7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2.3.2.3.3.1.7. Reglamento operativo. El prestador del servicio público de aseo en la actividad complementaria de disposición final de residuos </w:t>
      </w:r>
      <w:proofErr w:type="gramStart"/>
      <w:r w:rsidRPr="009342F9">
        <w:rPr>
          <w:rFonts w:ascii="Arial" w:eastAsia="Times New Roman" w:hAnsi="Arial" w:cs="Arial"/>
          <w:color w:val="000000"/>
          <w:lang w:eastAsia="es-CO"/>
        </w:rPr>
        <w:t>sólidos,</w:t>
      </w:r>
      <w:proofErr w:type="gramEnd"/>
      <w:r w:rsidRPr="009342F9">
        <w:rPr>
          <w:rFonts w:ascii="Arial" w:eastAsia="Times New Roman" w:hAnsi="Arial" w:cs="Arial"/>
          <w:color w:val="000000"/>
          <w:lang w:eastAsia="es-CO"/>
        </w:rPr>
        <w:t xml:space="preserve"> deberá formular y desarrollar antes del inicio de la operación un reglamento operativo, que se dé a conocer a los usuarios al momento de la solicitud de acceso al servicio, el cual incluirá: </w:t>
      </w:r>
    </w:p>
    <w:p w14:paraId="5571D9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BA2F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Cronograma de actividades de acuerdo con las especificaciones técnicas definidas en el numeral F.6.7.1.1 del Título F del RAS, o las normas que lo modifiquen, adicionen o sustituyan. </w:t>
      </w:r>
    </w:p>
    <w:p w14:paraId="00CD66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F14A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Condiciones de acceso. </w:t>
      </w:r>
    </w:p>
    <w:p w14:paraId="5DB7FB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4A00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Frentes de trabajo. </w:t>
      </w:r>
    </w:p>
    <w:p w14:paraId="100523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2C07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Restricción e identificación de residuos. </w:t>
      </w:r>
    </w:p>
    <w:p w14:paraId="241B29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1D88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Compactación de los residuos. </w:t>
      </w:r>
    </w:p>
    <w:p w14:paraId="250F9F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6878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Material de cubierta diaria. </w:t>
      </w:r>
    </w:p>
    <w:p w14:paraId="39E4B5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13BC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Control del agua de infiltración y de escorrentía. </w:t>
      </w:r>
    </w:p>
    <w:p w14:paraId="0E42B5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4333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Recolección y tratamiento de lixiviados. </w:t>
      </w:r>
    </w:p>
    <w:p w14:paraId="1D1520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9208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Recolección, concentración y venteo de gases. </w:t>
      </w:r>
    </w:p>
    <w:p w14:paraId="535BDC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16C8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Actividades y acciones de manejo y control para la estabilidad de taludes. </w:t>
      </w:r>
    </w:p>
    <w:p w14:paraId="330769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5FC9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k) Equipos e instalaciones de Instrumentación. </w:t>
      </w:r>
    </w:p>
    <w:p w14:paraId="7BC9B5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3ABD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 Procedimientos constructivos. </w:t>
      </w:r>
    </w:p>
    <w:p w14:paraId="5C84B7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7A1D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 Calidad y cantidad de materiales a utilizar. </w:t>
      </w:r>
    </w:p>
    <w:p w14:paraId="69DB1C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DEBA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 Equipo y maquinaria requerida. </w:t>
      </w:r>
    </w:p>
    <w:p w14:paraId="1CA665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86EF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 Personal requerido y calidades profesionales. </w:t>
      </w:r>
    </w:p>
    <w:p w14:paraId="718E16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F29C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 Procesos operativos desde la entrada de los residuos hasta su disposición final. </w:t>
      </w:r>
    </w:p>
    <w:p w14:paraId="606683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E17A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 Planos y esquemas de los procesos e instalaciones en el relleno. </w:t>
      </w:r>
    </w:p>
    <w:p w14:paraId="001C4C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BE4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 Programa de seguridad industrial a aplicar en la construcción y operación del relleno sanitario. </w:t>
      </w:r>
    </w:p>
    <w:p w14:paraId="17A461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4B36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 Criterios operacionales entre otros los determinados en el artículo 2.3.2.3.3.1.9 del presente capítulo. </w:t>
      </w:r>
    </w:p>
    <w:p w14:paraId="0F4B4879" w14:textId="67FC317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06" w:name="ver_30075810"/>
      <w:bookmarkEnd w:id="1806"/>
    </w:p>
    <w:p w14:paraId="562803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2.3.2.3.3.1.8. Del plan de trabajo y construcción. Con base en el reglamento operativo, el prestador del servicio público de aseo en la actividad complementaria de disposición </w:t>
      </w:r>
      <w:proofErr w:type="gramStart"/>
      <w:r w:rsidRPr="009342F9">
        <w:rPr>
          <w:rFonts w:ascii="Arial" w:eastAsia="Times New Roman" w:hAnsi="Arial" w:cs="Arial"/>
          <w:color w:val="000000"/>
          <w:lang w:eastAsia="es-CO"/>
        </w:rPr>
        <w:t>final,</w:t>
      </w:r>
      <w:proofErr w:type="gramEnd"/>
      <w:r w:rsidRPr="009342F9">
        <w:rPr>
          <w:rFonts w:ascii="Arial" w:eastAsia="Times New Roman" w:hAnsi="Arial" w:cs="Arial"/>
          <w:color w:val="000000"/>
          <w:lang w:eastAsia="es-CO"/>
        </w:rPr>
        <w:t xml:space="preserve"> deberá iniciar la ejecución de acuerdo con la secuencia programada, iniciando desde la fase de replanteo en terreno hasta el momento de clausura y </w:t>
      </w:r>
      <w:proofErr w:type="spellStart"/>
      <w:r w:rsidRPr="009342F9">
        <w:rPr>
          <w:rFonts w:ascii="Arial" w:eastAsia="Times New Roman" w:hAnsi="Arial" w:cs="Arial"/>
          <w:color w:val="000000"/>
          <w:lang w:eastAsia="es-CO"/>
        </w:rPr>
        <w:t>posclausura</w:t>
      </w:r>
      <w:proofErr w:type="spellEnd"/>
      <w:r w:rsidRPr="009342F9">
        <w:rPr>
          <w:rFonts w:ascii="Arial" w:eastAsia="Times New Roman" w:hAnsi="Arial" w:cs="Arial"/>
          <w:color w:val="000000"/>
          <w:lang w:eastAsia="es-CO"/>
        </w:rPr>
        <w:t xml:space="preserve"> del relleno sanitario. </w:t>
      </w:r>
    </w:p>
    <w:p w14:paraId="6E7B37CC" w14:textId="2659946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07" w:name="ver_30075811"/>
      <w:bookmarkEnd w:id="1807"/>
    </w:p>
    <w:p w14:paraId="08188A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2.3.2.3.3.1.9. Criterios operacionales. La persona prestadora del servicio público de aseo en la actividad complementaria de disposición </w:t>
      </w:r>
      <w:proofErr w:type="gramStart"/>
      <w:r w:rsidRPr="009342F9">
        <w:rPr>
          <w:rFonts w:ascii="Arial" w:eastAsia="Times New Roman" w:hAnsi="Arial" w:cs="Arial"/>
          <w:color w:val="000000"/>
          <w:lang w:eastAsia="es-CO"/>
        </w:rPr>
        <w:t>final,</w:t>
      </w:r>
      <w:proofErr w:type="gramEnd"/>
      <w:r w:rsidRPr="009342F9">
        <w:rPr>
          <w:rFonts w:ascii="Arial" w:eastAsia="Times New Roman" w:hAnsi="Arial" w:cs="Arial"/>
          <w:color w:val="000000"/>
          <w:lang w:eastAsia="es-CO"/>
        </w:rPr>
        <w:t xml:space="preserve"> deberá garantizar, entre otras, el cumplimiento de las siguientes condiciones durante la fase de operación: </w:t>
      </w:r>
    </w:p>
    <w:p w14:paraId="307F0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21E4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Prohibición del ingreso de residuos peligrosos, si no existen celdas de seguridad en los términos de la normatividad vigente. </w:t>
      </w:r>
    </w:p>
    <w:p w14:paraId="50585F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6586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Prohibición del ingreso de residuos líquidos y lodos contaminados. </w:t>
      </w:r>
    </w:p>
    <w:p w14:paraId="76E3EB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C211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Prohibición del ingreso de cenizas prendidas. </w:t>
      </w:r>
    </w:p>
    <w:p w14:paraId="503130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18A8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Pesaje y registro de cada uno de los vehículos que ingresan al relleno sanitario. </w:t>
      </w:r>
    </w:p>
    <w:p w14:paraId="6F049B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C6B5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Cubrimiento diario de los residuos. </w:t>
      </w:r>
    </w:p>
    <w:p w14:paraId="482582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1E28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Control de vectores y roedores. </w:t>
      </w:r>
    </w:p>
    <w:p w14:paraId="3A0790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39BD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Control de gases y las concentraciones que los hacen explosivos. </w:t>
      </w:r>
    </w:p>
    <w:p w14:paraId="752EDF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4043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Control del acceso al público y prevención del tráfico vehicular no autorizado y de la descarga ilegal de residuos. </w:t>
      </w:r>
    </w:p>
    <w:p w14:paraId="167053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3018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Prohibición de la realización de reciclaje en los frentes de trabajo del relleno. </w:t>
      </w:r>
    </w:p>
    <w:p w14:paraId="462153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952B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Condiciones establecidas en el permiso de vertimiento para la descarga, directa e indirecta, del efluente del sistema de tratamiento de lixiviados, en los cuerpos de agua, tanto subterránea como superficial. </w:t>
      </w:r>
    </w:p>
    <w:p w14:paraId="00BF65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A567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Mantenimiento del registro actualizado de las operaciones realizadas. </w:t>
      </w:r>
    </w:p>
    <w:p w14:paraId="4747141C" w14:textId="2FCC6398"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4DC1E8"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08" w:name="ver_30075812"/>
      <w:bookmarkEnd w:id="1808"/>
      <w:r w:rsidRPr="009342F9">
        <w:rPr>
          <w:rFonts w:ascii="Arial" w:eastAsia="Times New Roman" w:hAnsi="Arial" w:cs="Arial"/>
          <w:b/>
          <w:bCs/>
          <w:color w:val="000000"/>
          <w:lang w:eastAsia="es-CO"/>
        </w:rPr>
        <w:t>SUBSECCIÓN 2</w:t>
      </w:r>
    </w:p>
    <w:p w14:paraId="29149788"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DEL CONTROL Y MONITOREO</w:t>
      </w:r>
    </w:p>
    <w:p w14:paraId="1606035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09" w:name="ver_30075813"/>
      <w:bookmarkEnd w:id="1809"/>
    </w:p>
    <w:p w14:paraId="7FBBE1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2.3.2.3.3.2.10. Del control y monitoreo en el área de disposición final de residuos sólidos. Todo prestador del servicio público de aseo en la actividad complementaria de disposición final de residuos </w:t>
      </w:r>
      <w:proofErr w:type="gramStart"/>
      <w:r w:rsidRPr="009342F9">
        <w:rPr>
          <w:rFonts w:ascii="Arial" w:eastAsia="Times New Roman" w:hAnsi="Arial" w:cs="Arial"/>
          <w:color w:val="000000"/>
          <w:lang w:eastAsia="es-CO"/>
        </w:rPr>
        <w:t>sólidos,</w:t>
      </w:r>
      <w:proofErr w:type="gramEnd"/>
      <w:r w:rsidRPr="009342F9">
        <w:rPr>
          <w:rFonts w:ascii="Arial" w:eastAsia="Times New Roman" w:hAnsi="Arial" w:cs="Arial"/>
          <w:color w:val="000000"/>
          <w:lang w:eastAsia="es-CO"/>
        </w:rPr>
        <w:t xml:space="preserve"> deberá incluir en los diseños correspondientes la red de monitoreo de aguas subterráneas, la identificación de las fuentes superficiales y los puntos donde se realizará el control y monitoreo, sin perjuicio de lo dispuesto en la licencia ambiental. </w:t>
      </w:r>
    </w:p>
    <w:p w14:paraId="65B94A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7AEF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Asimismo, dicho prestador deberá incluir en los diseños correspondientes los sitios donde se realizará el control de cada actividad para los siguientes parámetros: </w:t>
      </w:r>
    </w:p>
    <w:p w14:paraId="574EB0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C35E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Pesaje y registro de cada uno de los vehículos que ingresan al sitio para disposición final de residuos sólidos. </w:t>
      </w:r>
    </w:p>
    <w:p w14:paraId="62188D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0010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Caracterización anual de los residuos sólidos de acuerdo con las especificaciones técnicas establecidas en el Numeral F.1.4.3 del Título F del RAS o la norma que lo modifique, adicione o sustituya. </w:t>
      </w:r>
    </w:p>
    <w:p w14:paraId="147F03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B0DE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Monitoreo mensual de la señalización presentada en el programa de monitoreo. </w:t>
      </w:r>
    </w:p>
    <w:p w14:paraId="074190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4A90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Control de las instalaciones sanitarias anualmente. </w:t>
      </w:r>
    </w:p>
    <w:p w14:paraId="3C8FA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1E9F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Control y monitoreo al sistema de compactación de acuerdo con las especificaciones técnicas definidas en el Numeral F.6.6.4 del Título F del RAS o la norma que lo modifique, adicione o sustituya. </w:t>
      </w:r>
    </w:p>
    <w:p w14:paraId="27D923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2B1C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Control y monitoreo de la calidad del recurso agua, como mínimo, de acuerdo con los siguientes parámetros y frecuencia, sin perjuicio de lo que disponga la autoridad ambiental. </w:t>
      </w:r>
    </w:p>
    <w:p w14:paraId="20EBA6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5C757F" w14:textId="365B6E09"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580C3090" wp14:editId="7A26F5E4">
            <wp:extent cx="5477512" cy="5020312"/>
            <wp:effectExtent l="0" t="0" r="8890" b="889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pic:cNvPicPr/>
                  </pic:nvPicPr>
                  <pic:blipFill>
                    <a:blip r:embed="rId33">
                      <a:extLst>
                        <a:ext uri="{28A0092B-C50C-407E-A947-70E740481C1C}">
                          <a14:useLocalDpi xmlns:a14="http://schemas.microsoft.com/office/drawing/2010/main" val="0"/>
                        </a:ext>
                      </a:extLst>
                    </a:blip>
                    <a:stretch>
                      <a:fillRect/>
                    </a:stretch>
                  </pic:blipFill>
                  <pic:spPr>
                    <a:xfrm>
                      <a:off x="0" y="0"/>
                      <a:ext cx="5477512" cy="5020312"/>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751451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76E1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 las fuentes superficiales y lixiviados, se deberá caracterizar las aguas provenientes del sistema de drenaje, para corroborar que no existe contacto con lixiviados. </w:t>
      </w:r>
    </w:p>
    <w:p w14:paraId="16B1F9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B879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Control y monitoreo de la calidad de aire, como mínimo, de acuerdo con los siguientes parámetros y frecuencia, sin perjuicio de lo dispuesto por la autoridad ambiental. </w:t>
      </w:r>
    </w:p>
    <w:p w14:paraId="74290B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AB08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procedimiento para realizar el monitoreo de aguas subterráneas y superficiales, y de la calidad del aire se basará en los reglamentos técnicos que para el efecto adopte el Ministerio de Ambiente, Vivienda y Desarrollo Territorial. </w:t>
      </w:r>
    </w:p>
    <w:p w14:paraId="6D5F45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EB44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la autoridad ambiental encuentre que las medidas establecidas en la licencia ambiental respectiva no se han ejecutado, podrá incrementar el seguimiento y control en las frecuencias que considere necesarias, con cargo al prestador. </w:t>
      </w:r>
    </w:p>
    <w:p w14:paraId="52E1888C" w14:textId="36F7FFA6"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0" w:name="ver_30075814"/>
      <w:bookmarkEnd w:id="1810"/>
    </w:p>
    <w:p w14:paraId="125FB25C" w14:textId="0CDB448D"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7C4A3B93"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COMPETENCIAS</w:t>
      </w:r>
    </w:p>
    <w:p w14:paraId="46DC738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11" w:name="ver_30075815"/>
      <w:bookmarkEnd w:id="1811"/>
    </w:p>
    <w:p w14:paraId="12490F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2.3.2.3.4.11. De los municipios y distritos. Dentro de las funciones asignadas a los municipios o distritos, señaladas en la ley, les corresponde la definición y adopción de los PGIRS, la identificación y localización de áreas potenciales para la disposición final de residuos sólidos, en los que se ubique la infraestructura del relleno sanitario, de acuerdo con la normatividad vigente en los POT, PBOT y EOT, según sea el caso, para asegurar la prestación del servicio de disposición final de los residuos sólidos generados en su jurisdicción de manera eficiente, sin poner en peligro la salud humana, ni utilizar procedimientos y/o métodos que puedan afectar el ambiente. </w:t>
      </w:r>
    </w:p>
    <w:p w14:paraId="17E1E5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39A0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Esta disposición rige para el departamento Archipiélago de San Andrés, Providencia y Santa Catalina. </w:t>
      </w:r>
    </w:p>
    <w:p w14:paraId="34B94CDD" w14:textId="2347A1D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2" w:name="ver_30075816"/>
      <w:bookmarkEnd w:id="1812"/>
    </w:p>
    <w:p w14:paraId="43C68B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2.3.2.3.4.12. De los departamentos. Dentro de las funciones asignadas en la ley a los departamentos, les corresponde con relación a la prestación del servicio público de aseo, apoyar financiera, técnica y administrativamente a las personas prestadoras que operen en el departamento o a los Municipios que hayan asumido la prestación directa de la actividad complementaria de disposición final de residuos sólidos, así como a las empresas organizadas con participación de la Nación o de los departamentos y entidades territoriales locales para desarrollar las funciones de su competencia en esta materia. </w:t>
      </w:r>
    </w:p>
    <w:p w14:paraId="32E5B0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9F52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Igualmente les corresponde impulsar y organizar sistemas de coordinación de las entidades prestadoras de servicios públicos y promover, cuando razones técnicas y económicas lo aconsejen, la organización de asociaciones de entidades territoriales para la prestación de la actividad complementaria de disposición final de residuos sólidos, o la celebración de convenios interadministrativos para el mismo efecto. </w:t>
      </w:r>
    </w:p>
    <w:p w14:paraId="0130CB60" w14:textId="16D9D3A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3" w:name="ver_30075817"/>
      <w:bookmarkEnd w:id="1813"/>
    </w:p>
    <w:p w14:paraId="47F6CD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2.3.2.3.4.13. De la persona prestadora del servicio público de aseo en la actividad complementaria de disposición final. La responsable de la operación y funcionamiento de los rellenos sanitarios será la persona prestadora de esta actividad complementaria del servicio público de aseo, quien deberá cumplir con las disposiciones que para el efecto se establecen en el Reglamento Técnico del Sector, RAS, en el PGIRS, en el presente capítulo, en la licencia ambiental. Asimismo, deberá responder ante las autoridades ambiental y de salud, según corresponda, por los impactos ambientales y sanitarios ocasionados por el inadecuado manejo del relleno sanitario. </w:t>
      </w:r>
    </w:p>
    <w:p w14:paraId="572B8DE3" w14:textId="69D96E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4" w:name="ver_30075818"/>
      <w:bookmarkEnd w:id="1814"/>
    </w:p>
    <w:p w14:paraId="3CEF2C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2.3.2.3.4.14. Permisos municipales o Distritales. En cada municipio quienes prestan el servicio público de aseo en la actividad complementaria de disposición final de residuos sólidos, están sujetos a las normas generales sobre la planeación urbana, las normas de circulación y tránsito, el uso del espacio público y la seguridad y tranquilidad ciudadanas, y las autoridades pueden exigirles garantías adecuadas a los riesgos que generen. </w:t>
      </w:r>
    </w:p>
    <w:p w14:paraId="0AD534A4" w14:textId="40C00C4C"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5" w:name="ver_30075820"/>
      <w:bookmarkEnd w:id="1815"/>
    </w:p>
    <w:p w14:paraId="60E58A51" w14:textId="31404CF6"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60F82A47"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SISTEMAS REGIONALES DE DISPOSICIÓN FINAL DE RESIDUOS SÓLIDOS</w:t>
      </w:r>
    </w:p>
    <w:p w14:paraId="2B7AD25E"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ÚNICA</w:t>
      </w:r>
    </w:p>
    <w:p w14:paraId="21E51B32"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FOMENTO A LA REGIONALIZACIÓN</w:t>
      </w:r>
    </w:p>
    <w:p w14:paraId="6D5105B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16" w:name="ver_30075821"/>
      <w:bookmarkEnd w:id="1816"/>
    </w:p>
    <w:p w14:paraId="5855DC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2.3.2.3.5.15. Fomento a la regionalización de sistemas de disposición final de residuos sólidos. En la medida en que las condiciones ambientales, topográficas, viales y distancias lo permitan, los proyectos de disposición final de residuos sólidos que vaya a formular y desarrollar cualquier entidad </w:t>
      </w:r>
      <w:proofErr w:type="gramStart"/>
      <w:r w:rsidRPr="009342F9">
        <w:rPr>
          <w:rFonts w:ascii="Arial" w:eastAsia="Times New Roman" w:hAnsi="Arial" w:cs="Arial"/>
          <w:color w:val="000000"/>
          <w:lang w:eastAsia="es-CO"/>
        </w:rPr>
        <w:t>territorial,</w:t>
      </w:r>
      <w:proofErr w:type="gramEnd"/>
      <w:r w:rsidRPr="009342F9">
        <w:rPr>
          <w:rFonts w:ascii="Arial" w:eastAsia="Times New Roman" w:hAnsi="Arial" w:cs="Arial"/>
          <w:color w:val="000000"/>
          <w:lang w:eastAsia="es-CO"/>
        </w:rPr>
        <w:t xml:space="preserve"> propenderán a que se enfoquen desde el ámbito regional, teniendo en cuenta los beneficios sociales, ambientales y económicos derivados de este nivel, en gestión conjunta con otros municipios y distritos. </w:t>
      </w:r>
    </w:p>
    <w:p w14:paraId="70F742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B96C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áreas potenciales para la localización de rellenos </w:t>
      </w:r>
      <w:proofErr w:type="gramStart"/>
      <w:r w:rsidRPr="009342F9">
        <w:rPr>
          <w:rFonts w:ascii="Arial" w:eastAsia="Times New Roman" w:hAnsi="Arial" w:cs="Arial"/>
          <w:color w:val="000000"/>
          <w:lang w:eastAsia="es-CO"/>
        </w:rPr>
        <w:t>sanitarios,</w:t>
      </w:r>
      <w:proofErr w:type="gramEnd"/>
      <w:r w:rsidRPr="009342F9">
        <w:rPr>
          <w:rFonts w:ascii="Arial" w:eastAsia="Times New Roman" w:hAnsi="Arial" w:cs="Arial"/>
          <w:color w:val="000000"/>
          <w:lang w:eastAsia="es-CO"/>
        </w:rPr>
        <w:t xml:space="preserve"> deberán considerar un horizonte de planeación no menor a treinta (30) años, de acuerdo con los parámetros presuntivos de generación de residuos sólidos por habitante, definidos en el Reglamento Técnico del Sector, RAS. </w:t>
      </w:r>
    </w:p>
    <w:p w14:paraId="5C7DD9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1222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Se promoverán las actuaciones regionales e integrales relacionadas con el servicio público de aseo, en las cuales confluyan en forma coordinada la iniciativa, la acción planificadora, la organización y la gestión de las entidades territoriales con las políticas urbana y de saneamiento básico nacionales. </w:t>
      </w:r>
    </w:p>
    <w:p w14:paraId="17A2C4DE" w14:textId="234F533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7" w:name="ver_30075822"/>
      <w:bookmarkEnd w:id="1817"/>
    </w:p>
    <w:p w14:paraId="5A6734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2.3.2.3.5.16. Cofinanciación de la Nación. Para que las entidades territoriales puedan acceder a los recursos de cofinanciación de la Nación para proyectos de sistemas de disposición final de residuos sólidos, y deberán haber identificado, planteado, analizado y evaluado, dentro de los correspondientes estudios de factibilidad que soportan el proyecto, alternativas de regionalización del servicio y presentarlas en su solicitud, con la copia del acto administrativo respectivo donde se ubican y delimitan las áreas para este tipo de proyectos, sin perjuicio de la reglamentación que sobre el particular disponga cada entidad en su orden correspondiente. </w:t>
      </w:r>
    </w:p>
    <w:p w14:paraId="119E6FC0" w14:textId="6868940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8" w:name="ver_30075823"/>
      <w:bookmarkEnd w:id="1818"/>
    </w:p>
    <w:p w14:paraId="0631CB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2.3.2.3.5.17. Tarifas por el servicio público de aseo en la actividad complementaria de disposición final. De conformidad con la ley, las tarifas del servicio público de aseo en la actividad complementaria de disposición final que establezca la Comisión de Regulación de Agua Potable y Saneamiento Básico deberán incentivar el desarrollo de esquemas regionalizados de disposición final de residuos sólidos. </w:t>
      </w:r>
    </w:p>
    <w:p w14:paraId="675CD7AA" w14:textId="576E1A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19" w:name="ver_30075824"/>
      <w:bookmarkEnd w:id="1819"/>
    </w:p>
    <w:p w14:paraId="6FCA6F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2.3.2.3.5.18. Disponibilidad de recursos económicos. Con el fin de garantizar la disponibilidad de recursos económicos para realizar el cierre, clausura, </w:t>
      </w:r>
      <w:proofErr w:type="spellStart"/>
      <w:r w:rsidRPr="009342F9">
        <w:rPr>
          <w:rFonts w:ascii="Arial" w:eastAsia="Times New Roman" w:hAnsi="Arial" w:cs="Arial"/>
          <w:color w:val="000000"/>
          <w:lang w:eastAsia="es-CO"/>
        </w:rPr>
        <w:t>posclausura</w:t>
      </w:r>
      <w:proofErr w:type="spellEnd"/>
      <w:r w:rsidRPr="009342F9">
        <w:rPr>
          <w:rFonts w:ascii="Arial" w:eastAsia="Times New Roman" w:hAnsi="Arial" w:cs="Arial"/>
          <w:color w:val="000000"/>
          <w:lang w:eastAsia="es-CO"/>
        </w:rPr>
        <w:t xml:space="preserve"> y posterior monitoreo de los rellenos sanitarios , toda persona prestadora del servicio público de aseo en la actividad de disposición final de residuos sólidos, deberá constituir y mantener una provisión, que garantice la disponibilidad permanente de las sumas acumuladas durante el periodo de operación del relleno sanitario, necesarias para construir las obras de clausura y </w:t>
      </w:r>
      <w:proofErr w:type="spellStart"/>
      <w:r w:rsidRPr="009342F9">
        <w:rPr>
          <w:rFonts w:ascii="Arial" w:eastAsia="Times New Roman" w:hAnsi="Arial" w:cs="Arial"/>
          <w:color w:val="000000"/>
          <w:lang w:eastAsia="es-CO"/>
        </w:rPr>
        <w:t>posclausura</w:t>
      </w:r>
      <w:proofErr w:type="spellEnd"/>
      <w:r w:rsidRPr="009342F9">
        <w:rPr>
          <w:rFonts w:ascii="Arial" w:eastAsia="Times New Roman" w:hAnsi="Arial" w:cs="Arial"/>
          <w:color w:val="000000"/>
          <w:lang w:eastAsia="es-CO"/>
        </w:rPr>
        <w:t xml:space="preserve"> requeridas y llevar a cabo el monitoreo por el período que se determine en la licencia ambiental. La forma de determinar los valores a provisionar será establecida por la Comisión de Regulación de Agua Potable y Saneamiento Básico en la metodología tarifaria del servicio público de aseo. </w:t>
      </w:r>
    </w:p>
    <w:p w14:paraId="33133F19" w14:textId="510633D4"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20" w:name="ver_30075825"/>
      <w:bookmarkEnd w:id="1820"/>
    </w:p>
    <w:p w14:paraId="3B01903D" w14:textId="30511EB1"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6</w:t>
      </w:r>
    </w:p>
    <w:p w14:paraId="46074D40"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212B68F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21" w:name="ver_30075827"/>
      <w:bookmarkEnd w:id="1821"/>
    </w:p>
    <w:p w14:paraId="1966A7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2.3.2.3.6.19. De la selección del método de relleno sanitario. La selección del método a utilizar para la operación del relleno sanitario se realizará con base en las condiciones topográficas, geotécnicas y geohidrológicas del sitio seleccionado para la disposición final de los residuos. Igualmente, se establecerá el perfil estratigráfico del suelo y el nivel de los acuíferos freáticos permanentes y transitorios de la zona. </w:t>
      </w:r>
    </w:p>
    <w:p w14:paraId="12469F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649302"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Los métodos a utilizar</w:t>
      </w:r>
      <w:proofErr w:type="gramEnd"/>
      <w:r w:rsidRPr="009342F9">
        <w:rPr>
          <w:rFonts w:ascii="Arial" w:eastAsia="Times New Roman" w:hAnsi="Arial" w:cs="Arial"/>
          <w:color w:val="000000"/>
          <w:lang w:eastAsia="es-CO"/>
        </w:rPr>
        <w:t xml:space="preserve"> corresponden a los establecidos en el reglamento técnico de agua potable y saneamiento básico, RAS. La técnica de disposición final será de tipo mecanizado o manual según el caso, recomendándose manual para rellenos sanitarios donde se disponga una cantidad menor o igual a quince (15) toneladas por día. </w:t>
      </w:r>
    </w:p>
    <w:p w14:paraId="3F688D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D1D87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22" w:name="ver_30075830"/>
      <w:bookmarkEnd w:id="1822"/>
      <w:r w:rsidRPr="009342F9">
        <w:rPr>
          <w:rFonts w:ascii="Arial" w:eastAsia="Times New Roman" w:hAnsi="Arial" w:cs="Arial"/>
          <w:color w:val="000000"/>
          <w:lang w:eastAsia="es-CO"/>
        </w:rPr>
        <w:t>Artículo 2.3.2.3.6.20. Recuperación de sitios de disposición final. Sin perjuicio de las responsabilidades establecidas en el respectivo plan de manejo ambiental, corresponde a las entidades territoriales y a los prestadores del servicio de aseo en la actividad complementaria de disposición final, recuperar ambientalmente los sitios que hayan sido utilizados como «botaderos» u otros sitios de disposición final no adecuada de residuos sólidos municipales o transformarlos, previo estudio, en rellenos sanitarios de ser viable técnica, económica y ambientalmente. </w:t>
      </w:r>
    </w:p>
    <w:p w14:paraId="3E11D61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23" w:name="ver_30075832"/>
      <w:bookmarkEnd w:id="1823"/>
    </w:p>
    <w:p w14:paraId="4D4E3A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2.3.2.3.6.21. Uso futuro de los sitios de disposición final. El uso futuro de los sitios donde se construyan y clausuren rellenos sanitarios, deberá estar considerado y determinado desde la etapa de diseño del relleno sanitario. </w:t>
      </w:r>
    </w:p>
    <w:p w14:paraId="11137B7F" w14:textId="1AE1E2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24" w:name="ver_30075833"/>
      <w:bookmarkEnd w:id="1824"/>
    </w:p>
    <w:p w14:paraId="33757F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2.3.2.3.6.22. Disposición de escombros. Los escombros que no sean objeto de un programa de recuperación y aprovechamiento deberán ser dispuestos adecuadamente en escombreras cuya ubicación haya sido previamente definida por el municipio o distrito, teniendo en cuenta lo dispuesto en la Resolución 541 de 1994 del Ministerio del Ambiente, Vivienda y Desarrollo Territorial o la norma que la sustituya, modifique o adicione y demás disposiciones ambientales vigentes. </w:t>
      </w:r>
    </w:p>
    <w:p w14:paraId="7386A20C" w14:textId="37B3AA0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25" w:name="ver_30075836"/>
      <w:bookmarkEnd w:id="1825"/>
    </w:p>
    <w:p w14:paraId="0F0399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2.3.2.3.6.23. Restricción a la recuperación en rellenos sanitarios. Se prohíbe el desarrollo de las actividades de recicladores en el frente de trabajo de los rellenos sanitarios. </w:t>
      </w:r>
    </w:p>
    <w:p w14:paraId="16B4B70E" w14:textId="66B9F150" w:rsidR="00FC79C1" w:rsidRPr="009342F9" w:rsidRDefault="00FC79C1" w:rsidP="000443A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DF429E"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26" w:name="ver_30075837"/>
      <w:bookmarkEnd w:id="1826"/>
      <w:r w:rsidRPr="009342F9">
        <w:rPr>
          <w:rFonts w:ascii="Arial" w:eastAsia="Times New Roman" w:hAnsi="Arial" w:cs="Arial"/>
          <w:b/>
          <w:bCs/>
          <w:color w:val="000000"/>
          <w:lang w:eastAsia="es-CO"/>
        </w:rPr>
        <w:t>CAPÍTULO 4</w:t>
      </w:r>
    </w:p>
    <w:p w14:paraId="690B7985" w14:textId="5559C352"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INCENTIVO A LOS MUNICIPIOS DONDE SE UBIQUEN RELLENOS SANITARIOS Y ESTACIONES DE TRANSFERENCIA REGIONALES PARA RESIDUOS SÓLIDOS</w:t>
      </w:r>
    </w:p>
    <w:p w14:paraId="7841C026"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27" w:name="ver_30075839"/>
      <w:bookmarkEnd w:id="1827"/>
    </w:p>
    <w:p w14:paraId="0D7574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2.3.2.4.1. Objeto. Reglamentar la forma en que el prestador del componente de disposición final, responsable del relleno sanitario regional o de la estación de transferencia regional debe calcular el valor del incentivo a reconocer al municipio donde se ubiquen dichas infraestructuras. </w:t>
      </w:r>
    </w:p>
    <w:p w14:paraId="1FC94F0C" w14:textId="3266869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28" w:name="ver_30075840"/>
      <w:bookmarkEnd w:id="1828"/>
    </w:p>
    <w:p w14:paraId="08EA47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2.3.2.4.2. Cálculo del valor del incentivo para rellenos sanitarios de carácter regional. Para determinar el valor del incentivo se adopta como base de cálculo el promedio de toneladas totales de residuos sólidos dispuestas mensualmente en el relleno sanitario de carácter regional, descontando el promedio de las toneladas mensuales provenientes del municipio donde está ubicado el relleno sanitario, calculadas de acuerdo con los periodos de facturación previstos en el artículo 16 de la Resolución CRA 351 de 2005 expedida por la Comisión de Regulación de Agua Potable y Saneamiento Básico – CRA o la norma que la modifique, adicione o sustituya. </w:t>
      </w:r>
    </w:p>
    <w:p w14:paraId="1EC389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8C34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establecida la base de cálculo, el valor del incentivo por tonelada se determinará así: </w:t>
      </w:r>
    </w:p>
    <w:p w14:paraId="73D391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8343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Cuando la base de cálculo sea menor a 4.500 Toneladas mensuales, el valor del incentivo será de 0,23% de </w:t>
      </w: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xml:space="preserve"> ($/tonelada regional dispuesta). </w:t>
      </w:r>
    </w:p>
    <w:p w14:paraId="44D00C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7E09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Cuando la base de cálculo sea mayor de 4.500 toneladas mensuales pero menor o igual a 24.000 toneladas mensuales el valor del incentivo será el resultante de aplicar la siguiente fórmula: </w:t>
      </w:r>
    </w:p>
    <w:p w14:paraId="0A39F8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02C7E4"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INCrellreg</w:t>
      </w:r>
      <w:proofErr w:type="spellEnd"/>
      <w:r w:rsidRPr="009342F9">
        <w:rPr>
          <w:rFonts w:ascii="Arial" w:eastAsia="Times New Roman" w:hAnsi="Arial" w:cs="Arial"/>
          <w:color w:val="000000"/>
          <w:lang w:eastAsia="es-CO"/>
        </w:rPr>
        <w:t xml:space="preserve"> = (0,000822*C2+0,15873*C+212.637,</w:t>
      </w:r>
      <w:proofErr w:type="gramStart"/>
      <w:r w:rsidRPr="009342F9">
        <w:rPr>
          <w:rFonts w:ascii="Arial" w:eastAsia="Times New Roman" w:hAnsi="Arial" w:cs="Arial"/>
          <w:color w:val="000000"/>
          <w:lang w:eastAsia="es-CO"/>
        </w:rPr>
        <w:t>362637)*</w:t>
      </w:r>
      <w:proofErr w:type="spellStart"/>
      <w:proofErr w:type="gramEnd"/>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/100.000.000 </w:t>
      </w:r>
    </w:p>
    <w:p w14:paraId="1EBB6C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3ED3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Donde: </w:t>
      </w:r>
    </w:p>
    <w:p w14:paraId="603199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C90001"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INCrellreg</w:t>
      </w:r>
      <w:proofErr w:type="spellEnd"/>
      <w:r w:rsidRPr="009342F9">
        <w:rPr>
          <w:rFonts w:ascii="Arial" w:eastAsia="Times New Roman" w:hAnsi="Arial" w:cs="Arial"/>
          <w:color w:val="000000"/>
          <w:lang w:eastAsia="es-CO"/>
        </w:rPr>
        <w:t>: Valor del incentivo para el municipio ($/Tonelada regional dispuesta). </w:t>
      </w:r>
    </w:p>
    <w:p w14:paraId="5F120B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Promedio de toneladas mensuales de residuos sólidos de carácter regional dispuestos en el relleno sanitario. </w:t>
      </w:r>
    </w:p>
    <w:p w14:paraId="524AE94B"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Valor del Salario Mínimo Mensual Legal Vigente correspondiente al periodo de liquidación. </w:t>
      </w:r>
    </w:p>
    <w:p w14:paraId="1EE4BB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F68A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Cuando la base de cálculo sea mayor a 24.000 Toneladas mensuales, el valor del incentivo será 0,69 % de </w:t>
      </w: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xml:space="preserve"> ($/tonelada regional dispuesta). </w:t>
      </w:r>
    </w:p>
    <w:p w14:paraId="5838BF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0946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valor total mensual del incentivo que se reconocerá al municipio por la ubicación del relleno sanitario de carácter regional será el resultado de multiplicar el valor del incentivo (</w:t>
      </w:r>
      <w:proofErr w:type="spellStart"/>
      <w:r w:rsidRPr="009342F9">
        <w:rPr>
          <w:rFonts w:ascii="Arial" w:eastAsia="Times New Roman" w:hAnsi="Arial" w:cs="Arial"/>
          <w:color w:val="000000"/>
          <w:lang w:eastAsia="es-CO"/>
        </w:rPr>
        <w:t>INCrellreg</w:t>
      </w:r>
      <w:proofErr w:type="spellEnd"/>
      <w:r w:rsidRPr="009342F9">
        <w:rPr>
          <w:rFonts w:ascii="Arial" w:eastAsia="Times New Roman" w:hAnsi="Arial" w:cs="Arial"/>
          <w:color w:val="000000"/>
          <w:lang w:eastAsia="es-CO"/>
        </w:rPr>
        <w:t>) por las toneladas efectivamente dispuestas en el mes a liquidar. </w:t>
      </w:r>
    </w:p>
    <w:p w14:paraId="74AE8500" w14:textId="6764BDC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29" w:name="ver_30075842"/>
      <w:bookmarkEnd w:id="1829"/>
    </w:p>
    <w:p w14:paraId="663150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2.3.2.4.3. Cálculo del valor del incentivo para estaciones de transferencia de carácter regional. Para determinar el valor del incentivo se adopta como base de cálculo el promedio de toneladas totales de residuos sólidos manejadas mensualmente en la estación de transferencia de carácter regional, descontando el promedio de las toneladas mensuales provenientes del municipio donde está ubicada la estación de transferencia, calculadas de acuerdo con los periodos de facturación previstos en el Artículo 16 de la Resolución CRA 351 de 2005 o la norma que la modifique adicione o sustituya. </w:t>
      </w:r>
    </w:p>
    <w:p w14:paraId="0CF98A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35EB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Una vez establecida la base de cálculo, el valor del incentivo se determinará así: </w:t>
      </w:r>
    </w:p>
    <w:p w14:paraId="1B859A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8C78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Cuando la base de cálculo sea menor o igual a 51.000 toneladas mensuales el valor del incentivo será el resultante de aplicar la siguiente fórmula: </w:t>
      </w:r>
    </w:p>
    <w:p w14:paraId="7B061D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B578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INC= (0,00000315*T2 +0,045237*T+12499,</w:t>
      </w:r>
      <w:proofErr w:type="gramStart"/>
      <w:r w:rsidRPr="009342F9">
        <w:rPr>
          <w:rFonts w:ascii="Arial" w:eastAsia="Times New Roman" w:hAnsi="Arial" w:cs="Arial"/>
          <w:color w:val="000000"/>
          <w:lang w:eastAsia="es-CO"/>
        </w:rPr>
        <w:t>95476)*</w:t>
      </w:r>
      <w:proofErr w:type="spellStart"/>
      <w:proofErr w:type="gramEnd"/>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/100.000.000 </w:t>
      </w:r>
    </w:p>
    <w:p w14:paraId="30E3CF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8C15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Donde: </w:t>
      </w:r>
    </w:p>
    <w:p w14:paraId="4F2649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CD85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INC: Valor del incentivo para el municipio ($/Tonelada regional transferida). </w:t>
      </w:r>
    </w:p>
    <w:p w14:paraId="097B59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33E5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 Promedio de toneladas mensuales de residuos sólidos de carácter regional transferidas en la estación. </w:t>
      </w:r>
    </w:p>
    <w:p w14:paraId="4DFC2F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A87A7F"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Valor del Salario Mínimo Mensual Legal Vigente correspondiente al periodo de liquidación. </w:t>
      </w:r>
    </w:p>
    <w:p w14:paraId="007049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CE29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Cuando la base de cálculo sea mayor a 51.000 Toneladas mensuales, el valor del incentivo será 0,023% de </w:t>
      </w: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($/tonelada regional transferida). </w:t>
      </w:r>
    </w:p>
    <w:p w14:paraId="7623B6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1316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valor total mensual del incentivo que se reconocerá al municipio por la ubicación de la estación de transferencia de residuos sólidos de carácter regional será el resultado de multiplicar el valor del incentivo (INC) por las toneladas efectivamente transferidas en la estación durante el mes a liquidar. </w:t>
      </w:r>
    </w:p>
    <w:p w14:paraId="6B0B6214" w14:textId="6BB74F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30" w:name="ver_30075845"/>
      <w:bookmarkEnd w:id="1830"/>
    </w:p>
    <w:p w14:paraId="2EBE8A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2.3.2.4.4. Pago del incentivo. Para efectos de asegurar el pago del incentivo al municipio, deberá suscribirse un convenio entre este y el prestador del componente de disposición final, responsable del relleno sanitario de carácter regional, o de la estación de transferencia de carácter regional, en el cual se pacte como mínimo las condiciones de pago y los intereses que se causen en caso de mora o incumplimiento, así como los términos y plazos en que se harán los reportes de información al municipio beneficiario sobre las toneladas mensuales de residuos dispuestos o transferidos que lo originan. </w:t>
      </w:r>
    </w:p>
    <w:p w14:paraId="5EE1DB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ADFB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no suscripción del convenio no releva al prestador de la obligación de pagar el valor del incentivo. </w:t>
      </w:r>
    </w:p>
    <w:p w14:paraId="3E2F3258" w14:textId="70BFEE9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31" w:name="ver_30075848"/>
      <w:bookmarkEnd w:id="1831"/>
    </w:p>
    <w:p w14:paraId="33AB26D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2.3.2.4.5. Reporte al Sistema Único de Información-SUI. El prestador del componente de disposición final, responsable del relleno sanitario regional, deberá reportar al SUI, el total de toneladas dispuestas, y el número de toneladas que correspondan al municipio donde se encuentra ubicado el relleno sanitario, de acuerdo con lo establecido por la Superintendencia de Servicios Públicos Domiciliarios. </w:t>
      </w:r>
    </w:p>
    <w:p w14:paraId="47FE14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5B7E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Igualmente, el prestador responsable de la estación de transferencia </w:t>
      </w:r>
      <w:proofErr w:type="gramStart"/>
      <w:r w:rsidRPr="009342F9">
        <w:rPr>
          <w:rFonts w:ascii="Arial" w:eastAsia="Times New Roman" w:hAnsi="Arial" w:cs="Arial"/>
          <w:color w:val="000000"/>
          <w:lang w:eastAsia="es-CO"/>
        </w:rPr>
        <w:t>regional,</w:t>
      </w:r>
      <w:proofErr w:type="gramEnd"/>
      <w:r w:rsidRPr="009342F9">
        <w:rPr>
          <w:rFonts w:ascii="Arial" w:eastAsia="Times New Roman" w:hAnsi="Arial" w:cs="Arial"/>
          <w:color w:val="000000"/>
          <w:lang w:eastAsia="es-CO"/>
        </w:rPr>
        <w:t xml:space="preserve"> deberá reportar al SUI, el total de toneladas transferidas, y el número de toneladas que correspondan al municipio donde se encuentra ubicada la estación de transferencia, de acuerdo con lo establecido por la Superintendencia de Servicios Públicos Domiciliarios. </w:t>
      </w:r>
    </w:p>
    <w:p w14:paraId="35C0516B" w14:textId="706EAB9B"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32" w:name="ver_30110649"/>
      <w:bookmarkEnd w:id="1832"/>
    </w:p>
    <w:p w14:paraId="458098B3" w14:textId="046870E9"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5</w:t>
      </w:r>
    </w:p>
    <w:p w14:paraId="716ED6C7" w14:textId="64D73695" w:rsidR="00FC79C1" w:rsidRDefault="00FC79C1" w:rsidP="004E2147">
      <w:pPr>
        <w:spacing w:after="0" w:line="240" w:lineRule="auto"/>
        <w:jc w:val="center"/>
        <w:rPr>
          <w:rFonts w:ascii="Arial" w:eastAsia="Times New Roman" w:hAnsi="Arial" w:cs="Arial"/>
          <w:b/>
          <w:bCs/>
          <w:color w:val="000000"/>
          <w:lang w:eastAsia="es-CO"/>
        </w:rPr>
      </w:pPr>
      <w:r w:rsidRPr="0CEF5355">
        <w:rPr>
          <w:rFonts w:ascii="Arial" w:eastAsia="Times New Roman" w:hAnsi="Arial" w:cs="Arial"/>
          <w:b/>
          <w:color w:val="000000" w:themeColor="text1"/>
          <w:lang w:eastAsia="es-CO"/>
        </w:rPr>
        <w:t>ESQUEMA OPERATIVO DE LA ACTIVIDAD DE APROVECHAMIENTO DEL SERVICIO PÚBLICO DE ASEO Y RÉGIMEN TRANSITORIO PARA LA FORMALIZACIÓN DE LOS RECICLADORES DE OFICIO</w:t>
      </w:r>
    </w:p>
    <w:p w14:paraId="77ACB8D5" w14:textId="64D73695" w:rsidR="00AA07E8" w:rsidRDefault="00AA07E8" w:rsidP="004E2147">
      <w:pPr>
        <w:spacing w:after="0" w:line="240" w:lineRule="auto"/>
        <w:jc w:val="center"/>
        <w:rPr>
          <w:rFonts w:ascii="Arial" w:eastAsia="Times New Roman" w:hAnsi="Arial" w:cs="Arial"/>
          <w:b/>
          <w:bCs/>
          <w:color w:val="000000"/>
          <w:lang w:eastAsia="es-CO"/>
        </w:rPr>
      </w:pPr>
    </w:p>
    <w:p w14:paraId="67D0BC9D" w14:textId="64D73695" w:rsidR="00AA07E8" w:rsidRPr="009342F9" w:rsidRDefault="00AA07E8" w:rsidP="004E2147">
      <w:pPr>
        <w:spacing w:after="0" w:line="240" w:lineRule="auto"/>
        <w:jc w:val="center"/>
        <w:rPr>
          <w:rFonts w:ascii="Arial" w:eastAsia="Times New Roman" w:hAnsi="Arial" w:cs="Arial"/>
          <w:b/>
          <w:bCs/>
          <w:color w:val="000000"/>
          <w:lang w:eastAsia="es-CO"/>
        </w:rPr>
      </w:pPr>
    </w:p>
    <w:p w14:paraId="443282A2"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60CA61E2"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4F19FD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33" w:name="ver_30110655"/>
      <w:bookmarkEnd w:id="1833"/>
    </w:p>
    <w:p w14:paraId="332124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2.3.2.5.1.1. Objeto. El presente capítulo tiene como objeto definir el esquema operativo de la actividad de aprovechamiento y la transitoriedad para el cumplimiento de las obligaciones que deben atender los recicladores de oficio y las organizaciones de recicladores de oficio que estén en proceso de formalización como personas prestadoras de la actividad de aprovechamiento en el servicio público de aseo, para todo el territorio nacional.  </w:t>
      </w:r>
    </w:p>
    <w:p w14:paraId="4EF2FDE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34" w:name="ver_30110661"/>
      <w:bookmarkEnd w:id="1834"/>
    </w:p>
    <w:p w14:paraId="5B02C2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2.3.2.5.1.2. Ámbito de aplicación. El presente capítulo aplica a las entidades territoriales, a las personas prestadoras de la actividad de recolección y transporte de residuos no aprovechables, personas prestadoras de la actividad de aprovechamiento incluidas las organizaciones de recicladores de oficio que estén en proceso de formalización, a los usuarios, a la Superintendencia de Servicios Públicos Domiciliarios (SSPD), a la Comisión de Regulación de Agua Potable y Saneamiento Básico (CRA). </w:t>
      </w:r>
    </w:p>
    <w:p w14:paraId="13E715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3252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dispuesto en el presente capítulo aplica la actividad de aprovechamiento del servicio público de aseo ya sea en libre competencia o a través de áreas de servicio exclusivo en las que se incluya o no, esa actividad. </w:t>
      </w:r>
    </w:p>
    <w:p w14:paraId="77A103E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35" w:name="ver_30110666"/>
      <w:bookmarkEnd w:id="1835"/>
    </w:p>
    <w:p w14:paraId="771EAD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2.3.2.5.1.3. Criterios orientadores. Los siguientes criterios orientadores deberán ser aplicados para la interpretación del presente capítulo:  </w:t>
      </w:r>
    </w:p>
    <w:p w14:paraId="6EFF3E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0C01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Escalas diferenciales en las cuales se tenga en cuenta el tamaño del municipio, de la población recicladora de oficio y del mercado para la incorporación de los residuos aprovechables.  </w:t>
      </w:r>
    </w:p>
    <w:p w14:paraId="549D5E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FF9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Progresividad para la formalización de los recicladores de oficio como personas prestadoras de la actividad de aprovechamiento en el servicio público de aseo en los términos del artículo 15 de la Ley 142 de 1994.  </w:t>
      </w:r>
    </w:p>
    <w:p w14:paraId="154C92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ADB3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Colaboración entre los actores que participan en el desarrollo de la actividad como son las personas prestadoras; incluidos los recicladores de oficio en proceso de formalización, personas prestadoras de las demás actividades del servicio público de aseo, usuarios, concedentes de la facturación conjunta del servicio público de aseo, administraciones municipales, comercializadores de residuos aprovechables, así como agentes encargados de la incorporación de estos materiales en las cadenas productivas.  </w:t>
      </w:r>
    </w:p>
    <w:p w14:paraId="63DED0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F52F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Visión de largo plazo, implementación gradual, flexible y dinámica, viabilidad administrativa, técnica, operativa y económica.  </w:t>
      </w:r>
    </w:p>
    <w:p w14:paraId="5A25C1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6DA1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Responsabilidad social, ambiental y empresarial para el aprovechamiento de los residuos sólidos en el marco del servicio público de aseo.  </w:t>
      </w:r>
    </w:p>
    <w:p w14:paraId="09CF94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7175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Reconocimiento de la labor de los recicladores de oficio en proceso de formalización como prestadores del servicio público de aseo en la actividad de aprovechamiento.  </w:t>
      </w:r>
    </w:p>
    <w:p w14:paraId="4AB570FD"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304CEE76"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36" w:name="ver_30110670"/>
      <w:bookmarkEnd w:id="1836"/>
      <w:r w:rsidRPr="009342F9">
        <w:rPr>
          <w:rFonts w:ascii="Arial" w:eastAsia="Times New Roman" w:hAnsi="Arial" w:cs="Arial"/>
          <w:b/>
          <w:bCs/>
          <w:color w:val="000000"/>
          <w:lang w:eastAsia="es-CO"/>
        </w:rPr>
        <w:t>SECCIÓN 2</w:t>
      </w:r>
    </w:p>
    <w:p w14:paraId="1264E42F" w14:textId="64D73695" w:rsidR="00FC79C1" w:rsidRDefault="00FC79C1" w:rsidP="004E2147">
      <w:pPr>
        <w:spacing w:after="0" w:line="240" w:lineRule="auto"/>
        <w:jc w:val="center"/>
        <w:rPr>
          <w:rFonts w:ascii="Arial" w:eastAsia="Times New Roman" w:hAnsi="Arial" w:cs="Arial"/>
          <w:b/>
          <w:bCs/>
          <w:color w:val="000000"/>
          <w:lang w:eastAsia="es-CO"/>
        </w:rPr>
      </w:pPr>
      <w:r w:rsidRPr="0CEF5355">
        <w:rPr>
          <w:rFonts w:ascii="Arial" w:eastAsia="Times New Roman" w:hAnsi="Arial" w:cs="Arial"/>
          <w:b/>
          <w:color w:val="000000" w:themeColor="text1"/>
          <w:lang w:eastAsia="es-CO"/>
        </w:rPr>
        <w:t>APROVECHAMIENTO EN EL SERVICIO PÚBLICO DE ASEO</w:t>
      </w:r>
    </w:p>
    <w:p w14:paraId="44D27FCE" w14:textId="64D73695" w:rsidR="00AA07E8" w:rsidRPr="009342F9" w:rsidRDefault="00AA07E8" w:rsidP="004E2147">
      <w:pPr>
        <w:spacing w:after="0" w:line="240" w:lineRule="auto"/>
        <w:jc w:val="center"/>
        <w:rPr>
          <w:rFonts w:ascii="Arial" w:eastAsia="Times New Roman" w:hAnsi="Arial" w:cs="Arial"/>
          <w:b/>
          <w:bCs/>
          <w:color w:val="000000"/>
          <w:lang w:eastAsia="es-CO"/>
        </w:rPr>
      </w:pPr>
    </w:p>
    <w:p w14:paraId="4392A535"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6BD8BCB1"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ESQUEMA OPERATIVO DE LA ACTIVIDAD DE APROVECHAMIENTO</w:t>
      </w:r>
    </w:p>
    <w:p w14:paraId="74CBB55A"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37" w:name="ver_30110676"/>
      <w:bookmarkEnd w:id="1837"/>
    </w:p>
    <w:p w14:paraId="45F942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2.3.2.5.2.1.</w:t>
      </w:r>
      <w:proofErr w:type="gramStart"/>
      <w:r w:rsidRPr="009342F9">
        <w:rPr>
          <w:rFonts w:ascii="Arial" w:eastAsia="Times New Roman" w:hAnsi="Arial" w:cs="Arial"/>
          <w:color w:val="000000"/>
          <w:lang w:eastAsia="es-CO"/>
        </w:rPr>
        <w:t>1.Presentación</w:t>
      </w:r>
      <w:proofErr w:type="gramEnd"/>
      <w:r w:rsidRPr="009342F9">
        <w:rPr>
          <w:rFonts w:ascii="Arial" w:eastAsia="Times New Roman" w:hAnsi="Arial" w:cs="Arial"/>
          <w:color w:val="000000"/>
          <w:lang w:eastAsia="es-CO"/>
        </w:rPr>
        <w:t xml:space="preserve"> de residuos para aprovechamiento. De conformidad con el numeral 3 del artículo 2.3.2.2.4.2.109 del presente decreto, es obligación de los usuarios presentar los residuos separados en la fuente con el fin de ser aprovechados y entregados a la persona prestadora de la actividad de aprovechamiento, que será la responsable de su recolección y transporte hasta la Estación de Clasificación y Aprovechamiento (ECA), y del pesaje y clasificación en la ECA.  </w:t>
      </w:r>
    </w:p>
    <w:p w14:paraId="068BE9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89F4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presentación de los residuos aprovechables, de acuerdo con los avances de la cultura ciudadana y de capacidad de los usuarios para la separación en la fuente, deberá efectuarse con un incremento gradual del nivel de desagregación de conformidad con lo dispuesto en los Planes de Gestión Integral de Residuos Sólidos (PGIRS).  </w:t>
      </w:r>
    </w:p>
    <w:p w14:paraId="68ADC7F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38" w:name="ver_30110680"/>
      <w:bookmarkEnd w:id="1838"/>
    </w:p>
    <w:p w14:paraId="6DDC411D" w14:textId="383D3C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2.3.2.5.2.1.2.</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Metodología Tarifaria para la Actividad de Aprovechamiento. El pago de la actividad de aprovechamiento se continuará efectuando de conformidad con la metodología tarifaria vigente adoptada por la Comisión de Regulación de Agua Potable y Saneamiento Básico (CRA).  </w:t>
      </w:r>
    </w:p>
    <w:p w14:paraId="35BAEA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B779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las medidas regulatorias que se adopten en adelante la Comisión de Regulación de Agua Potable y Saneamiento Básico (CRA), siguiendo los parámetros del principio de colaboración armónica, deberá incluir los costos ambientales inherentes a la prestación del servicio público de aseo dentro de la tarifa que se deriven de los instrumentos económicos que definan las autoridades competentes.  </w:t>
      </w:r>
    </w:p>
    <w:p w14:paraId="3FB633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F4DA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metodología tarifaria vigente para el servicio público de aseo indicará el valor máximo a reconocer vía tarifa a la persona prestadora de la actividad de aprovechamiento por conceptos de campañas educativas, atención a Peticiones, Quejas y Recursos (PQR) así como del reporte de información al Sistema Único de Información (SUI) a la persona prestadora de la actividad de aprovechamiento; valor que será definido en el costo de comercialización por usuario.  </w:t>
      </w:r>
    </w:p>
    <w:p w14:paraId="0B80BA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7AD8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usuarios no podrán exigir a las personas prestadoras de la actividad de aprovechamiento contraprestación alguna por los residuos aprovechables.  </w:t>
      </w:r>
    </w:p>
    <w:p w14:paraId="6CD9385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39" w:name="ver_30110681"/>
      <w:bookmarkEnd w:id="1839"/>
    </w:p>
    <w:p w14:paraId="64536EB2" w14:textId="205440C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2.3.2.5.2.1.3.</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Campañas educativas. En el marco de las estrategias definidas en el programa de aprovechamiento de los Planes de Gestión Integral de Residuos Sólidos (PGIRS), el ente territorial y la persona prestadora de la actividad de aprovechamiento deberán implementar de manera permanente y coordinada campañas educativas, con la finalidad de concientizar a los usuarios sobre el reciclaje, el reúso, el aprovechamiento y la adecuada presentación de los residuos aprovechables.  </w:t>
      </w:r>
    </w:p>
    <w:p w14:paraId="6FCA7D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4530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conformidad con lo dispuesto en el artículo 2.3.2.2.3.87 del presente decreto, los entes territoriales deberán contar con los recursos para financiar las campañas educativas a su cargo de acuerdo con el Plan de Gestión Integral de Residuos Sólidos (PGIRS).  </w:t>
      </w:r>
    </w:p>
    <w:p w14:paraId="5554B20D" w14:textId="5BB9F96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40" w:name="ver_30110683"/>
      <w:bookmarkEnd w:id="1840"/>
    </w:p>
    <w:p w14:paraId="2D3F87A6" w14:textId="5B45D40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2.3.2.5.2.1.4.</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Aprovechamiento en los Planes de Gestión Integral de Residuos Sólidos (PGIRS). En aquellos casos en que el aprovechamiento resulte viable, de acuerdo con los estudios y evaluaciones del PGIRS, el ente territorial tendrá la obligación de contar con los recursos para los proyectos que se establezcan en los Planes de Gestión Integral de Residuos Sólidos (PGIRS).  </w:t>
      </w:r>
    </w:p>
    <w:p w14:paraId="40C7933E"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1B1ABA44" w14:textId="20E30FA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2.3.2.5.2.1.5.</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Integralidad de la actividad de aprovechamiento. Para efectos de la prestación y remuneración vía tarifa, la persona prestadora deberá responder por la actividad de aprovechamiento de forma integral que incluye: i) la recolección de residuos aprovechables, ii) el transporte selectivo hasta la estación de clasificación y aprovechamiento (ECA), y iii) la clasificación y pesaje de los residuos en la estación de clasificación y aprovechamiento (ECA).  </w:t>
      </w:r>
    </w:p>
    <w:p w14:paraId="1236818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41" w:name="ver_30110687"/>
      <w:bookmarkEnd w:id="1841"/>
    </w:p>
    <w:p w14:paraId="501469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2.3.2.5.2.1.6. Registro de las personas prestadoras de la actividad de aprovechamiento. Las personas prestadoras del servicio público de aseo en la actividad de aprovechamiento se deberán registrar ante la Superintendencia de Servicios Públicos Domiciliarios (SSPD) de conformidad con lo establecido en el numeral 9 del artículo 79 de la Ley 142 de 1994.  </w:t>
      </w:r>
    </w:p>
    <w:p w14:paraId="3A192E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1EA7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Las personas prestadoras de la actividad de aprovechamiento que se inscriban únicamente para la prestación de esta </w:t>
      </w:r>
      <w:proofErr w:type="gramStart"/>
      <w:r w:rsidRPr="009342F9">
        <w:rPr>
          <w:rFonts w:ascii="Arial" w:eastAsia="Times New Roman" w:hAnsi="Arial" w:cs="Arial"/>
          <w:color w:val="000000"/>
          <w:lang w:eastAsia="es-CO"/>
        </w:rPr>
        <w:t>actividad,</w:t>
      </w:r>
      <w:proofErr w:type="gramEnd"/>
      <w:r w:rsidRPr="009342F9">
        <w:rPr>
          <w:rFonts w:ascii="Arial" w:eastAsia="Times New Roman" w:hAnsi="Arial" w:cs="Arial"/>
          <w:color w:val="000000"/>
          <w:lang w:eastAsia="es-CO"/>
        </w:rPr>
        <w:t xml:space="preserve"> solamente podrán recolectar y transportar los residuos presentados por los usuarios para el aprovechamiento.  </w:t>
      </w:r>
    </w:p>
    <w:p w14:paraId="79FAE8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ABB8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Quienes inscriban la actividad de recolección y transporte de residuos no aprovechables deberán asumir todas las responsabilidades asociadas a dicha prestación y en estos casos no aplicará el régimen de transición de que trata la Sección 3 del presente capítulo. La Superintendencia de Servicios Públicos Domiciliarios (SSPD) verificará lo aquí dispuesto.  </w:t>
      </w:r>
    </w:p>
    <w:p w14:paraId="0AB184A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42" w:name="ver_30110689"/>
      <w:bookmarkEnd w:id="1842"/>
    </w:p>
    <w:p w14:paraId="573B6C3C" w14:textId="64D73695" w:rsidR="00FC79C1" w:rsidRPr="009342F9" w:rsidRDefault="00FC79C1" w:rsidP="00FC79C1">
      <w:pPr>
        <w:spacing w:after="0" w:line="240" w:lineRule="auto"/>
        <w:jc w:val="both"/>
        <w:rPr>
          <w:rFonts w:ascii="Arial" w:eastAsia="Times New Roman" w:hAnsi="Arial" w:cs="Arial"/>
          <w:color w:val="000000"/>
          <w:lang w:eastAsia="es-CO"/>
        </w:rPr>
      </w:pPr>
      <w:r w:rsidRPr="0CEF5355">
        <w:rPr>
          <w:rFonts w:ascii="Arial" w:eastAsia="Times New Roman" w:hAnsi="Arial" w:cs="Arial"/>
          <w:color w:val="000000" w:themeColor="text1"/>
          <w:lang w:eastAsia="es-CO"/>
        </w:rPr>
        <w:t>Artículo 2.3.2.5.2.1.7.</w:t>
      </w:r>
      <w:r w:rsidR="00FC5DB8" w:rsidRPr="0CEF5355">
        <w:rPr>
          <w:rFonts w:ascii="Arial" w:eastAsia="Times New Roman" w:hAnsi="Arial" w:cs="Arial"/>
          <w:color w:val="000000" w:themeColor="text1"/>
          <w:lang w:eastAsia="es-CO"/>
        </w:rPr>
        <w:t xml:space="preserve"> </w:t>
      </w:r>
      <w:r w:rsidRPr="0CEF5355">
        <w:rPr>
          <w:rFonts w:ascii="Arial" w:eastAsia="Times New Roman" w:hAnsi="Arial" w:cs="Arial"/>
          <w:color w:val="000000" w:themeColor="text1"/>
          <w:lang w:eastAsia="es-CO"/>
        </w:rPr>
        <w:t>Reporte al Sistema Único de Información (SUI). Las personas prestadoras de la actividad de aprovechamiento deberán reportar al Sistema Único de Información (SUI) de la Superintendencia de Servicios Públicos Domiciliarios (SSPD) la información técnica, administrativa, comercial, operativa y financiera en los términos y condiciones que para el efecto establezca dicha entidad.  </w:t>
      </w:r>
    </w:p>
    <w:p w14:paraId="1DB42B04" w14:textId="43688B96" w:rsidR="00FC79C1" w:rsidRPr="009342F9" w:rsidRDefault="00FC79C1" w:rsidP="004E2147">
      <w:pPr>
        <w:spacing w:after="0" w:line="240" w:lineRule="auto"/>
        <w:jc w:val="center"/>
        <w:rPr>
          <w:rFonts w:ascii="Arial" w:eastAsia="Times New Roman" w:hAnsi="Arial" w:cs="Arial"/>
          <w:b/>
          <w:bCs/>
          <w:color w:val="000000"/>
          <w:lang w:eastAsia="es-CO"/>
        </w:rPr>
      </w:pPr>
      <w:bookmarkStart w:id="1843" w:name="ver_30110691"/>
      <w:bookmarkEnd w:id="1843"/>
      <w:r w:rsidRPr="009342F9">
        <w:rPr>
          <w:rFonts w:ascii="Arial" w:eastAsia="Times New Roman" w:hAnsi="Arial" w:cs="Arial"/>
          <w:b/>
          <w:bCs/>
          <w:color w:val="000000"/>
          <w:lang w:eastAsia="es-CO"/>
        </w:rPr>
        <w:t>SUBSECCIÓN 2</w:t>
      </w:r>
    </w:p>
    <w:p w14:paraId="23E2FD8A"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FACTURACIÓN E INFORMACIÓN DE LA ACTIVIDAD DE APROVECHAMIENTO DEL SERVICIO PÚBLICO DE ASEO</w:t>
      </w:r>
    </w:p>
    <w:p w14:paraId="56255CB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44" w:name="ver_30110693"/>
      <w:bookmarkEnd w:id="1844"/>
    </w:p>
    <w:p w14:paraId="7263B50B" w14:textId="510E86F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2.3.2.5.2.2.1.</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Obligación de facturación integral del servicio público de aseo. Todas las personas prestadoras de la actividad de recolección y transporte de residuos no aprovechables deberán facturar de manera integral el servicio público de aseo incluyendo la actividad de aprovechamiento, sin exigir trámites, requisitos o información adicional de los dispuestos en el presente Capítulo.  </w:t>
      </w:r>
    </w:p>
    <w:p w14:paraId="762566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E961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costos de esta gestión comercial se continuarán remunerando de acuerdo con lo dispuesto en la metodología tarifaria vigente adoptada por la Comisión de Regulación de Agua Potable y Saneamiento Básico (CRA).  </w:t>
      </w:r>
    </w:p>
    <w:p w14:paraId="7B5973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A920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Las personas prestadoras del servicio público de aseo en la actividad de recolección y transporte de residuos sólidos no </w:t>
      </w:r>
      <w:proofErr w:type="gramStart"/>
      <w:r w:rsidRPr="009342F9">
        <w:rPr>
          <w:rFonts w:ascii="Arial" w:eastAsia="Times New Roman" w:hAnsi="Arial" w:cs="Arial"/>
          <w:color w:val="000000"/>
          <w:lang w:eastAsia="es-CO"/>
        </w:rPr>
        <w:t>aprovechables,</w:t>
      </w:r>
      <w:proofErr w:type="gramEnd"/>
      <w:r w:rsidRPr="009342F9">
        <w:rPr>
          <w:rFonts w:ascii="Arial" w:eastAsia="Times New Roman" w:hAnsi="Arial" w:cs="Arial"/>
          <w:color w:val="000000"/>
          <w:lang w:eastAsia="es-CO"/>
        </w:rPr>
        <w:t xml:space="preserve"> deberán adelantar las gestiones ante el concedente de la facturación conjunta, para ajustar los convenios vigentes de acuerdo con lo dispuesto en la metodología tarifaria. Dentro de los ajustes deberán incluirse los necesarios para facturar la actividad de aprovechamiento prestada por terceros.  </w:t>
      </w:r>
    </w:p>
    <w:p w14:paraId="405271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C9CE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sistemas comerciales de facturación, recaudo, así como la recepción, reparto y trámite de Peticiones, Quejas y Recursos (PQR) deberán ajustarse para el cumplimiento de las disposiciones del presente capítulo.  </w:t>
      </w:r>
    </w:p>
    <w:p w14:paraId="17A48D07"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28E2E749" w14:textId="355CDFA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2.3.2.5.2.2.2.</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Reporte de información para el cálculo de la remuneración vía tarifa de la actividad de aprovechamiento. El reporte de información al Sistema Único de Información (SUI) para el cálculo de la remuneración vía tarifa de la actividad de aprovechamiento, por el prestador de no aprovechables, se hará en los términos y condiciones que señale la Superintendencia de Servicios Públicos Domiciliarios (SSPD)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lineamientos que establezca el Ministerio de Vivienda, Ciudad y Territorio. </w:t>
      </w:r>
    </w:p>
    <w:p w14:paraId="23CFB6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8CFA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la persona prestadora de la actividad de aprovechamiento deberá suministrar a la persona prestadora de la actividad de recolección y transporte de residuos no aprovechables, la información para el cálculo de la remuneración vía tarifa de la actividad de aprovechamiento de conformidad con los lineamientos que establezca el Ministerio de Vivienda, Ciudad y Territorio. </w:t>
      </w:r>
    </w:p>
    <w:p w14:paraId="3AE60ED2"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4AC34B26" w14:textId="46FC609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2.3.2.5.2.2.3.</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Publicación de Información reportada al Sistema Único de Información (SUI) para el cálculo de la remuneración vía tarifa de la actividad de aprovechamiento. Para la consulta y cálculo de la remuneración vía tarifa de la actividad de aprovechamiento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 definido en el artículo 2.3.2.5.2.2.6 del presente capítulo, la Superintendencia de Servicios Públicos Domiciliarios a través del Sistema Único de Información (SUI) deberá publicarla en la página web de la entidad, dentro de los dos (2) días siguientes al reporte de la información suministrada en cumplimiento del artículo 2.3.2.5.2.2.2.  </w:t>
      </w:r>
    </w:p>
    <w:p w14:paraId="4126BF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9DE0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determinará los lineamientos de la información a publicar para el cálculo de la remuneración vía tarifa de la actividad de aprovechamiento.  </w:t>
      </w:r>
    </w:p>
    <w:p w14:paraId="5B203C0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45" w:name="ver_30110697"/>
      <w:bookmarkEnd w:id="1845"/>
    </w:p>
    <w:p w14:paraId="7EAAF629" w14:textId="5B1305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2.3.2.5.2.2.4.</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Incentivo a la separación en la fuente (DINC). Aquellas </w:t>
      </w:r>
      <w:proofErr w:type="spellStart"/>
      <w:r w:rsidRPr="009342F9">
        <w:rPr>
          <w:rFonts w:ascii="Arial" w:eastAsia="Times New Roman" w:hAnsi="Arial" w:cs="Arial"/>
          <w:color w:val="000000"/>
          <w:lang w:eastAsia="es-CO"/>
        </w:rPr>
        <w:t>macrorrutas</w:t>
      </w:r>
      <w:proofErr w:type="spellEnd"/>
      <w:r w:rsidRPr="009342F9">
        <w:rPr>
          <w:rFonts w:ascii="Arial" w:eastAsia="Times New Roman" w:hAnsi="Arial" w:cs="Arial"/>
          <w:color w:val="000000"/>
          <w:lang w:eastAsia="es-CO"/>
        </w:rPr>
        <w:t xml:space="preserve"> de recolección de residuos aprovechables, que tengan niveles de rechazo inferiores al 20% de los residuos presentados, les será otorgado un incentivo a la separación en la fuente (DINC). Este incentivo se mantendrá siempre y cuando los porcentajes de rechazo no superen dicho valor.  </w:t>
      </w:r>
    </w:p>
    <w:p w14:paraId="7FB270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84E8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persona prestadora de la actividad de aprovechamiento deberá llevar un registro de las cantidades de residuos efectivamente aprovechados y los rechazos asociados a cada </w:t>
      </w:r>
      <w:proofErr w:type="spellStart"/>
      <w:r w:rsidRPr="009342F9">
        <w:rPr>
          <w:rFonts w:ascii="Arial" w:eastAsia="Times New Roman" w:hAnsi="Arial" w:cs="Arial"/>
          <w:color w:val="000000"/>
          <w:lang w:eastAsia="es-CO"/>
        </w:rPr>
        <w:t>macrorruta</w:t>
      </w:r>
      <w:proofErr w:type="spellEnd"/>
      <w:r w:rsidRPr="009342F9">
        <w:rPr>
          <w:rFonts w:ascii="Arial" w:eastAsia="Times New Roman" w:hAnsi="Arial" w:cs="Arial"/>
          <w:color w:val="000000"/>
          <w:lang w:eastAsia="es-CO"/>
        </w:rPr>
        <w:t xml:space="preserve"> de recolección. Para hacer efectivo el incentivo a la separación en la fuente (DINC) la persona prestadora de la actividad de aprovechamiento deberá reportar la base de datos de los suscriptores beneficiarios a:  </w:t>
      </w:r>
    </w:p>
    <w:p w14:paraId="34DD09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D4C3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La persona prestadora de la actividad de recolección y transporte de residuos no aprovechables en su área de prestación.  </w:t>
      </w:r>
    </w:p>
    <w:p w14:paraId="635D76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A7F8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Sistema Único de Información (SUI).  </w:t>
      </w:r>
    </w:p>
    <w:p w14:paraId="2DFAEB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3C5A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Continuará vigente el valor del incentivo es el definido en la metodología tarifaria del servicio público de aseo expedido por la Comisión de Regulación de Agua y Saneamiento Básico (CRA).  </w:t>
      </w:r>
    </w:p>
    <w:p w14:paraId="5289003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46" w:name="ver_30110700"/>
      <w:bookmarkEnd w:id="1846"/>
    </w:p>
    <w:p w14:paraId="6CD9D7FA" w14:textId="03D388F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2.3.2.5.2.2.5.</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Cálculo de la tarifa mensual final al suscriptor. Las personas prestadoras de la actividad de recolección y transporte de residuos no aprovechables deberán realizar el cálculo de la tarifa final por suscriptor de acuerdo con la metodología tarifaria vigente, de acuerdo con la información publicada por el Sistema Único de Información (SUI).  </w:t>
      </w:r>
    </w:p>
    <w:p w14:paraId="592C95C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47" w:name="ver_30110704"/>
      <w:bookmarkEnd w:id="1847"/>
    </w:p>
    <w:p w14:paraId="1E7A2C6A" w14:textId="6539EAE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2.3.2.5.2.2.6.</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Medición y balance de masas. El Ministerio de Vivienda, Ciudad y Territorio señalará lineamientos para la medición y el balance de masas de los residuos sólidos para la prestación de la actividad de aprovechamiento.  </w:t>
      </w:r>
    </w:p>
    <w:p w14:paraId="676FCA5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48" w:name="ver_30110706"/>
      <w:bookmarkEnd w:id="1848"/>
    </w:p>
    <w:p w14:paraId="46B1E6F6" w14:textId="79F5A03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2.3.2.5.2.2.7.</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Publicaciones de tarifas. Las personas prestadoras de la actividad de recolección y transporte de residuos no aprovechables deberán incluir dentro la información periódica a los usuarios, definida por la regulación vigente, la correspondiente a la actividad de aprovechamiento.  </w:t>
      </w:r>
    </w:p>
    <w:p w14:paraId="193455CF" w14:textId="77777777" w:rsidR="004E2147" w:rsidRPr="009342F9" w:rsidRDefault="004E2147" w:rsidP="00FC79C1">
      <w:pPr>
        <w:spacing w:after="0" w:line="240" w:lineRule="auto"/>
        <w:jc w:val="both"/>
        <w:rPr>
          <w:rFonts w:ascii="Arial" w:eastAsia="Times New Roman" w:hAnsi="Arial" w:cs="Arial"/>
          <w:color w:val="000000"/>
          <w:lang w:eastAsia="es-CO"/>
        </w:rPr>
      </w:pPr>
      <w:bookmarkStart w:id="1849" w:name="ver_30110708"/>
      <w:bookmarkEnd w:id="1849"/>
    </w:p>
    <w:p w14:paraId="02CB0278" w14:textId="26D374CB"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3</w:t>
      </w:r>
    </w:p>
    <w:p w14:paraId="412A6686"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COBRO Y GESTIÓN DE LOS RECURSOS DE LA ACTIVIDAD DE APROVECHAMIENTO DEL SERVICIO PÚBLICO DE ASEO</w:t>
      </w:r>
    </w:p>
    <w:p w14:paraId="12ABED9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50" w:name="ver_30110710"/>
      <w:bookmarkEnd w:id="1850"/>
    </w:p>
    <w:p w14:paraId="68C75C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2.3.2.5.2.3.1. Cobro de la actividad de aprovechamiento. El cobro de la actividad de aprovechamiento se realizará a todos los usuarios del servicio público de aseo en el municipio o distrito de acuerdo con la regulación vigente, de conformidad con los criterios del artículo 87 de la Ley 142 de 1994.  </w:t>
      </w:r>
    </w:p>
    <w:p w14:paraId="433D2A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8EB6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Vivienda, Ciudad y Territorio, de conformidad con el numeral 1 del artículo 2° del Decreto número 3571 de 2011, podrá identificar prácticas no autorizadas que afecten la implementación del esquema operativo de la actividad de aprovechamiento.  </w:t>
      </w:r>
    </w:p>
    <w:p w14:paraId="421789B2" w14:textId="4E3BFE8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51" w:name="ver_30110712"/>
      <w:bookmarkEnd w:id="1851"/>
    </w:p>
    <w:p w14:paraId="1C0A3AF2" w14:textId="5F0F76C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2.3.2.5.2.3.2.</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Recaudo. Los recursos de la facturación del servicio público de aseo, correspondientes a la actividad de aprovechamiento, deberán ser recaudados por parte del prestador de la actividad de recolección y transporte de residuos no aprovechables, quien deberá hacer los traslados a la persona prestadora de la actividad de aprovechamiento de acuerdo con lo establecido en el presente capítulo.  </w:t>
      </w:r>
    </w:p>
    <w:p w14:paraId="38E2ED78" w14:textId="027BC2B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52" w:name="ver_30110714"/>
      <w:bookmarkEnd w:id="1852"/>
    </w:p>
    <w:p w14:paraId="74BCD51B" w14:textId="6F4D92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2.3.2.5.2.3.3.</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Recursos de la facturación del servicio público de aseo correspondientes a la actividad de aprovechamiento. Las personas prestadoras de la actividad de aprovechamiento deberán recibir el valor correspondiente a la remuneración de los residuos efectivamente aprovechados, que resultará de sumar los recursos provenientes de:  </w:t>
      </w:r>
    </w:p>
    <w:p w14:paraId="0B4855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0CE5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Recaudo asociado al cobro máximo tarifario de las toneladas de residuos efectivamente aprovechados de usuarios no aforados, los que se distribuirán proporcionalmente con las toneladas efectivamente aprovechadas de acuerdo con la información reportada por el Sistema Único de Información (SUI).  </w:t>
      </w:r>
    </w:p>
    <w:p w14:paraId="16DFB7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8545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Recaudo asociado al cobro máximo tarifario de las toneladas de residuos efectivamente aprovechados de usuarios aforados, los que se trasladarán a cada persona prestadora de la actividad de aprovechamiento de acuerdo con la base de datos de recaudo de los usuarios aforados.  </w:t>
      </w:r>
    </w:p>
    <w:p w14:paraId="56D19F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D2A0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Recaudo correspondiente al valor máximo de la actividad de aprovechamiento, en lo relacionado con campañas educativas, atención al usuario y cargue al SUI en el marco de la comercialización por usuario, de acuerdo con la regulación vigente.  </w:t>
      </w:r>
    </w:p>
    <w:p w14:paraId="2D45EEFE"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33BA6FBF" w14:textId="0DEDC44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2.3.2.5.2.3.4.</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Traslado de recursos de la facturación del servicio público de aseo correspondientes a la actividad de aprovechamiento. La persona prestadora de la actividad de recolección y transporte de residuos sólidos no aprovechables deberá realizar cortes quincenales para trasladar los recursos recaudados en dicho periodo a la persona prestadora de la actividad de aprovechamiento. Las fechas de dichos traslados serán acordados entre las partes.  </w:t>
      </w:r>
    </w:p>
    <w:p w14:paraId="125DD2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6AB3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informes soporte de dicho traslado deberán entregarse, por parte de la persona prestadora de la actividad de recolección y transporte de residuos sólidos no aprovechables, a más tardar dentro de los diez (10) días siguientes a las fechas acordadas para los traslados de recursos.  </w:t>
      </w:r>
    </w:p>
    <w:p w14:paraId="7C74B4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4CCA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ajustes por la conciliación entre los valores trasladados, y los obtenidos de acuerdo con los informes de facturación y recaudo, deberán realizarse dentro de los quince (15) días siguientes a la conciliación.  </w:t>
      </w:r>
    </w:p>
    <w:p w14:paraId="30FC91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5C3B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el traslado de los recursos no se da en los términos aquí definidos, se aplicarán las condiciones previstas en la regulación vigente sobre mora en el giro de recursos. Dicha actuación deberá ser puesta en conocimiento de la Superintendencia de Servicios Públicos Domiciliarios (SSPD) para lo de su competencia.  </w:t>
      </w:r>
    </w:p>
    <w:p w14:paraId="4160D1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47E8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persona prestadora de la actividad de recolección y transporte de residuos sólidos no aprovechables deberá informar a la persona prestadora de la actividad de aprovechamiento, los tiempos de reporte de información y traslado de recursos establecidos en el convenio de facturación conjunta del servicio público de aseo.  </w:t>
      </w:r>
    </w:p>
    <w:p w14:paraId="1B094E19" w14:textId="77777777" w:rsidR="004E2147" w:rsidRPr="009342F9" w:rsidRDefault="004E2147" w:rsidP="00FC79C1">
      <w:pPr>
        <w:spacing w:after="0" w:line="240" w:lineRule="auto"/>
        <w:jc w:val="both"/>
        <w:rPr>
          <w:rFonts w:ascii="Arial" w:eastAsia="Times New Roman" w:hAnsi="Arial" w:cs="Arial"/>
          <w:color w:val="000000"/>
          <w:lang w:eastAsia="es-CO"/>
        </w:rPr>
      </w:pPr>
      <w:bookmarkStart w:id="1853" w:name="ver_30110718"/>
      <w:bookmarkEnd w:id="1853"/>
    </w:p>
    <w:p w14:paraId="3723D500" w14:textId="758FC26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2.3.2.5.2.3.5.</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Gestión de recuperación de Cartera. Los costos de la gestión de recuperación de cartera de la actividad de aprovechamiento se sujetarán a las reglas definidas en el convenio de facturación conjunta de cada una de las personas prestadoras de la actividad de recolección y transporte de residuos no aprovechables. De las condiciones de recuperación de cartera pactadas en los convenios de facturación conjunta, deberán ser informadas las personas prestadoras de la actividad de aprovechamiento.  </w:t>
      </w:r>
    </w:p>
    <w:p w14:paraId="74AF3D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E416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Las mismas condiciones para la recuperación de cartera pactadas en los convenios de facturación conjunta serán aplicables cuando quiera que la recuperación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sea efectuada por las personas prestadoras de la actividad de recolección y transporte de residuos no aprovechables.  </w:t>
      </w:r>
    </w:p>
    <w:p w14:paraId="264406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B8A1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el caso de las personas prestadoras de la actividad de recolección y transporte de residuos no aprovechables que al momento de entrar en vigencia el presente capítulo no cuenten con convenios de facturación conjunta por prestar un servicio susceptible a suspensión o el corte deberán adoptar un convenio de facturación conjunta para la facturación y recaudo de los recursos de tarifa de la actividad de aprovechamiento con las personas prestadoras de la mencionada actividad, de conformidad con la regulación vigente en la materia.  </w:t>
      </w:r>
    </w:p>
    <w:p w14:paraId="5D62289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54" w:name="ver_30110720"/>
      <w:bookmarkEnd w:id="1854"/>
    </w:p>
    <w:p w14:paraId="19BC1309" w14:textId="2722488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2.3.2.5.2.3.6.</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Comité de Conciliación de Cuentas. Las personas prestadoras de la actividad de recolección y transporte de residuos no aprovechables y las personas prestadoras de la actividad de aprovechamiento, deberán conformar un comité de conciliación de cuentas que se deberá reunir por lo menos una vez al mes, a efectos de revisar las cuentas y demás aspectos que surjan como consecuencia de la prestación de la actividad de aprovechamiento, la comercialización y su facturación dentro del servicio público de aseo.  </w:t>
      </w:r>
    </w:p>
    <w:p w14:paraId="5F32F3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A6B9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de Conciliación de cuentas estará conformado por un representante de cada empresa debidamente facultado para adoptar decisiones en los aspectos que sean objeto de revisión.  </w:t>
      </w:r>
    </w:p>
    <w:p w14:paraId="5717A1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A3B4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Comité de conciliación creado mediante este capítulo deberá adoptar su propio reglamento. La Comisión de Regulación de Agua Potable y Saneamiento Básico (CRA) evaluará la necesidad de establecer una regulación de carácter general para el funcionamiento y operatividad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w:t>
      </w:r>
    </w:p>
    <w:p w14:paraId="63586B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58B5B1"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55" w:name="ver_30110722"/>
      <w:bookmarkEnd w:id="1855"/>
      <w:r w:rsidRPr="009342F9">
        <w:rPr>
          <w:rFonts w:ascii="Arial" w:eastAsia="Times New Roman" w:hAnsi="Arial" w:cs="Arial"/>
          <w:b/>
          <w:bCs/>
          <w:color w:val="000000"/>
          <w:lang w:eastAsia="es-CO"/>
        </w:rPr>
        <w:t>SUBSECCIÓN 4</w:t>
      </w:r>
    </w:p>
    <w:p w14:paraId="663F0929"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ATENCIÓN AL USUARIO</w:t>
      </w:r>
    </w:p>
    <w:p w14:paraId="1B4F5D2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56" w:name="ver_30110724"/>
      <w:bookmarkEnd w:id="1856"/>
    </w:p>
    <w:p w14:paraId="4EB4D783" w14:textId="694646B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2.3.2.5.2.4.1.</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Contrato de condiciones uniformes del servicio público de aseo (CCU) para la actividad de aprovechamiento. Las personas prestadoras de la actividad de aprovechamiento deberán adoptar un contrato de condiciones uniformes del servicio público de aseo (CCU) para la actividad de aprovechamiento.  </w:t>
      </w:r>
    </w:p>
    <w:p w14:paraId="0ABCA7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760E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efecto podrán acoger el modelo que defina la Comisión de Regulación de Agua Potable y Saneamiento Básico (CRA), el cual deberá ser expedido dentro de los tres (3) meses siguientes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presente capítulo.  </w:t>
      </w:r>
    </w:p>
    <w:p w14:paraId="401BF6C7" w14:textId="2D087AD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57" w:name="ver_30110727"/>
      <w:bookmarkEnd w:id="1857"/>
    </w:p>
    <w:p w14:paraId="0BD6F77A" w14:textId="481430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2.3.2.5.2.4.2.</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Vinculación de catastros. Las personas prestadoras de la actividad de recolección y transporte de residuos no aprovechables deberán vincular el catastro de usuarios a partir de la base de usuarios entregado por las personas prestadoras de la actividad de aprovechamiento. La vinculación deberá realizarse con la dirección y la cuenta contrato o número único de identificación del usuario, de tal forma que el trámite de las Peticiones, Quejas y Recursos (PQR) se realice a partir de la cuenta contrato.  </w:t>
      </w:r>
    </w:p>
    <w:p w14:paraId="4E16FBC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58" w:name="ver_30110729"/>
      <w:bookmarkEnd w:id="1858"/>
    </w:p>
    <w:p w14:paraId="62C5C793" w14:textId="49A5C86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2.3.2.5.2.4.3.</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Recibo de Peticiones, Quejas y Recursos (PQR). Las Peticiones, Quejas y Recursos (PQR) relacionados con la actividad de aprovechamiento, presentadas por los usuarios, deberán ser recibidas por las personas prestadoras de recolección y transporte de residuos no aprovechables, en los términos y medios dispuestos por el Código de Procedimiento Administrativo y de lo Contencioso Administrativo.  </w:t>
      </w:r>
    </w:p>
    <w:p w14:paraId="58863AC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424B5026" w14:textId="78058B6D" w:rsidR="00FC79C1" w:rsidRPr="009342F9" w:rsidRDefault="00FC79C1" w:rsidP="00FC79C1">
      <w:pPr>
        <w:spacing w:after="0" w:line="240" w:lineRule="auto"/>
        <w:jc w:val="both"/>
        <w:rPr>
          <w:rFonts w:ascii="Arial" w:eastAsia="Times New Roman" w:hAnsi="Arial" w:cs="Arial"/>
          <w:color w:val="000000"/>
          <w:lang w:eastAsia="es-CO"/>
        </w:rPr>
      </w:pPr>
      <w:bookmarkStart w:id="1859" w:name="ver_30110732"/>
      <w:bookmarkEnd w:id="1859"/>
      <w:r w:rsidRPr="009342F9">
        <w:rPr>
          <w:rFonts w:ascii="Arial" w:eastAsia="Times New Roman" w:hAnsi="Arial" w:cs="Arial"/>
          <w:color w:val="000000"/>
          <w:lang w:eastAsia="es-CO"/>
        </w:rPr>
        <w:t>Artículo 2.3.2.5.2.4.4.</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Atención de Peticiones, Quejas y Recursos (PQR) relativos al contrato de servicios públicos. Las Peticiones, Quejas y Recursos (PQR) relacionadas con la facturación del servicio deberán ser tramitadas en su integralidad por la persona prestadora de la actividad de recolección y transporte de residuos no aprovechables. Los reclamos relacionados con el cobro de la actividad de aprovechamiento se sujetarán a lo dispuesto en la Ley 142 de 1994.  </w:t>
      </w:r>
    </w:p>
    <w:p w14:paraId="5E4E94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B326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Peticiones, Quejas y Recursos (PQR) relacionadas con las cantidades de residuos aprovechables facturadas, aforos y aspectos operativos relacionados con horarios y frecuencias, deberán ser trasladadas, a más tardar dentro de los cinco (5) días siguientes, a la persona prestadora de la actividad de aprovechamiento para que dentro de los términos establecidos en la Ley 142 de 1994, se dé respuesta al usuario.  </w:t>
      </w:r>
    </w:p>
    <w:p w14:paraId="7ECF58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79FB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 respuesta de este tipo de Peticiones, Quejas y Recursos (PQR) implique ajuste en el valor facturado, la persona prestadora de la actividad de aprovechamiento deberá informar a la persona prestadora de la actividad de recolección y transporte de residuos no aprovechables el ajuste para que genere una nueva factura. Los costos de la expedición de nuevas facturas serán asumidos por la persona prestadora de la actividad de aprovechamiento de acuerdo con los valores establecidos en los convenios de facturación conjunta.  </w:t>
      </w:r>
    </w:p>
    <w:p w14:paraId="29B50C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A772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Peticiones, Quejas y Recursos (PQR) que se relacionen con una solicitud de prestación de la actividad de aprovechamiento presentadas por los usuarios, deberán indicar a cuál persona prestadora de la actividad de aprovechamiento se dirigen, en desarrollo a lo dispuesto en el numeral 9.2 del artículo 9° de la Ley 142 de 1994.  </w:t>
      </w:r>
    </w:p>
    <w:p w14:paraId="2FF371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471C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términos para respuesta de una Petición, Queja o Recurso (PQR), relacionada con la prestación de la actividad de aprovechamiento, correrán a partir de la fecha del recibo del traslado.  </w:t>
      </w:r>
    </w:p>
    <w:p w14:paraId="281014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E8C6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Para el reporte ante el Sistema Único de Información (SUI) de las Peticiones, Quejas y Recursos (PQR), se deberá dar cumplimiento a las disposiciones de la Superintendencia de Servicios Públicos Domiciliarios (SSPD) vigentes en la materia.  </w:t>
      </w:r>
    </w:p>
    <w:p w14:paraId="7C1939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B344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El reporte de facturación correspondiente a la actividad de aprovechamiento, así como sus ajustes, deberán ser reportados por la persona prestadora de la actividad de recolección y transporte de residuos no aprovechables al Sistema Único de Información (SUI).  </w:t>
      </w:r>
    </w:p>
    <w:p w14:paraId="6E5D4AED"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8D8D042"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60" w:name="ver_30110733"/>
      <w:bookmarkEnd w:id="1860"/>
      <w:r w:rsidRPr="009342F9">
        <w:rPr>
          <w:rFonts w:ascii="Arial" w:eastAsia="Times New Roman" w:hAnsi="Arial" w:cs="Arial"/>
          <w:b/>
          <w:bCs/>
          <w:color w:val="000000"/>
          <w:lang w:eastAsia="es-CO"/>
        </w:rPr>
        <w:t>SECCIÓN 3</w:t>
      </w:r>
    </w:p>
    <w:p w14:paraId="60BA54C8"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FORMALIZACIÓN DE LOS RECICLADORES DE OFICIO</w:t>
      </w:r>
    </w:p>
    <w:p w14:paraId="6753709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61" w:name="ver_30110734"/>
      <w:bookmarkEnd w:id="1861"/>
    </w:p>
    <w:p w14:paraId="07126ACF" w14:textId="07C2D26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2.3.2.5.3.1.</w:t>
      </w:r>
      <w:r w:rsidR="00FC5DB8">
        <w:rPr>
          <w:rFonts w:ascii="Arial" w:eastAsia="Times New Roman" w:hAnsi="Arial" w:cs="Arial"/>
          <w:color w:val="000000"/>
          <w:lang w:eastAsia="es-CO"/>
        </w:rPr>
        <w:t xml:space="preserve"> </w:t>
      </w:r>
      <w:r w:rsidRPr="009342F9">
        <w:rPr>
          <w:rFonts w:ascii="Arial" w:eastAsia="Times New Roman" w:hAnsi="Arial" w:cs="Arial"/>
          <w:color w:val="000000"/>
          <w:lang w:eastAsia="es-CO"/>
        </w:rPr>
        <w:t>Progresividad para la formalización. Las organizaciones de recicladores de oficio que estén en proceso de formalización como personas prestadoras de la actividad de aprovechamiento contarán con un término de cinco (5) años para efectos de cumplir de manera progresiva con las obligaciones administrativas, comerciales, financieras y técnicas definidas en el presente capítulo, en los términos que señale el Ministerio de Vivienda, Ciudad y Territorio.  </w:t>
      </w:r>
    </w:p>
    <w:p w14:paraId="2D5D4006" w14:textId="2E59E27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62" w:name="ver_30110735"/>
      <w:bookmarkEnd w:id="1862"/>
    </w:p>
    <w:p w14:paraId="6D6DE0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2.3.2.5.3.2. Fases para la formalización progresiva de los recicladores de oficio. El proceso de formalización de las organizaciones de recicladores de oficio se adelantará de acuerdo con las siguientes fases:  </w:t>
      </w:r>
    </w:p>
    <w:p w14:paraId="2B4C47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tbl>
      <w:tblPr>
        <w:tblW w:w="10027" w:type="dxa"/>
        <w:jc w:val="center"/>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27"/>
        <w:gridCol w:w="2065"/>
        <w:gridCol w:w="7235"/>
      </w:tblGrid>
      <w:tr w:rsidR="00FC79C1" w:rsidRPr="009342F9" w14:paraId="7B6E8155" w14:textId="77777777" w:rsidTr="004E2147">
        <w:trPr>
          <w:trHeight w:val="105"/>
          <w:tblCellSpacing w:w="0" w:type="dxa"/>
          <w:jc w:val="center"/>
        </w:trPr>
        <w:tc>
          <w:tcPr>
            <w:tcW w:w="102" w:type="dxa"/>
            <w:tcBorders>
              <w:top w:val="outset" w:sz="6" w:space="0" w:color="auto"/>
              <w:left w:val="outset" w:sz="6" w:space="0" w:color="auto"/>
              <w:bottom w:val="outset" w:sz="6" w:space="0" w:color="auto"/>
              <w:right w:val="outset" w:sz="6" w:space="0" w:color="auto"/>
            </w:tcBorders>
            <w:vAlign w:val="center"/>
            <w:hideMark/>
          </w:tcPr>
          <w:p w14:paraId="286B87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40484E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TÓPICO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30EFD2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ASPECTO  </w:t>
            </w:r>
          </w:p>
        </w:tc>
      </w:tr>
      <w:tr w:rsidR="00FC79C1" w:rsidRPr="009342F9" w14:paraId="3D989B2F" w14:textId="77777777" w:rsidTr="004E2147">
        <w:trPr>
          <w:trHeight w:val="105"/>
          <w:tblCellSpacing w:w="0" w:type="dxa"/>
          <w:jc w:val="center"/>
        </w:trPr>
        <w:tc>
          <w:tcPr>
            <w:tcW w:w="102" w:type="dxa"/>
            <w:tcBorders>
              <w:top w:val="outset" w:sz="6" w:space="0" w:color="auto"/>
              <w:left w:val="outset" w:sz="6" w:space="0" w:color="auto"/>
              <w:bottom w:val="outset" w:sz="6" w:space="0" w:color="auto"/>
              <w:right w:val="outset" w:sz="6" w:space="0" w:color="auto"/>
            </w:tcBorders>
            <w:vAlign w:val="center"/>
            <w:hideMark/>
          </w:tcPr>
          <w:p w14:paraId="596486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1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008C8B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2ABD5C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Único de Prestadores (RUP)  </w:t>
            </w:r>
          </w:p>
        </w:tc>
      </w:tr>
      <w:tr w:rsidR="00FC79C1" w:rsidRPr="009342F9" w14:paraId="64854E74" w14:textId="77777777" w:rsidTr="004E2147">
        <w:trPr>
          <w:trHeight w:val="105"/>
          <w:tblCellSpacing w:w="0" w:type="dxa"/>
          <w:jc w:val="center"/>
        </w:trPr>
        <w:tc>
          <w:tcPr>
            <w:tcW w:w="102" w:type="dxa"/>
            <w:vMerge w:val="restart"/>
            <w:tcBorders>
              <w:top w:val="outset" w:sz="6" w:space="0" w:color="auto"/>
              <w:left w:val="outset" w:sz="6" w:space="0" w:color="auto"/>
              <w:bottom w:val="outset" w:sz="6" w:space="0" w:color="auto"/>
              <w:right w:val="outset" w:sz="6" w:space="0" w:color="auto"/>
            </w:tcBorders>
            <w:vAlign w:val="center"/>
            <w:hideMark/>
          </w:tcPr>
          <w:p w14:paraId="22862C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2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106A26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534A4D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Definir el área de prestación  </w:t>
            </w:r>
          </w:p>
        </w:tc>
      </w:tr>
      <w:tr w:rsidR="00FC79C1" w:rsidRPr="009342F9" w14:paraId="73F4E998"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691FA828"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7E82F5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0113E9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toneladas transportadas  </w:t>
            </w:r>
          </w:p>
        </w:tc>
      </w:tr>
      <w:tr w:rsidR="00FC79C1" w:rsidRPr="009342F9" w14:paraId="0F3017C5"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15B25EB7"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76E840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46F063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toneladas área de prestación  </w:t>
            </w:r>
          </w:p>
        </w:tc>
      </w:tr>
      <w:tr w:rsidR="00FC79C1" w:rsidRPr="009342F9" w14:paraId="154F6120"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430C9192"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54395F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Comercial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382242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toneladas aprovechadas  </w:t>
            </w:r>
          </w:p>
        </w:tc>
      </w:tr>
      <w:tr w:rsidR="00FC79C1" w:rsidRPr="009342F9" w14:paraId="57226CD8"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214DD581"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420477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Comercial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4060A8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factura de comercialización de material aprovechable  </w:t>
            </w:r>
          </w:p>
        </w:tc>
      </w:tr>
      <w:tr w:rsidR="00FC79C1" w:rsidRPr="009342F9" w14:paraId="2F1E9E79"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5EB68803"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1B8CCA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033BFB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de estaciones de clasificación y aprovechamiento (ECA)  </w:t>
            </w:r>
          </w:p>
        </w:tc>
      </w:tr>
      <w:tr w:rsidR="00FC79C1" w:rsidRPr="009342F9" w14:paraId="16D7BC19"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44B24E3E"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077079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00F374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vehículos para el transporte  </w:t>
            </w:r>
          </w:p>
        </w:tc>
      </w:tr>
      <w:tr w:rsidR="00FC79C1" w:rsidRPr="009342F9" w14:paraId="4CE137C8" w14:textId="77777777" w:rsidTr="004E2147">
        <w:trPr>
          <w:trHeight w:val="105"/>
          <w:tblCellSpacing w:w="0" w:type="dxa"/>
          <w:jc w:val="center"/>
        </w:trPr>
        <w:tc>
          <w:tcPr>
            <w:tcW w:w="102" w:type="dxa"/>
            <w:tcBorders>
              <w:top w:val="outset" w:sz="6" w:space="0" w:color="auto"/>
              <w:left w:val="outset" w:sz="6" w:space="0" w:color="auto"/>
              <w:bottom w:val="outset" w:sz="6" w:space="0" w:color="auto"/>
              <w:right w:val="outset" w:sz="6" w:space="0" w:color="auto"/>
            </w:tcBorders>
            <w:vAlign w:val="center"/>
            <w:hideMark/>
          </w:tcPr>
          <w:p w14:paraId="6D57D5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3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5D9A6A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Comercial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07E3E5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Condiciones uniformes del servicio público de aseo (CCU)  </w:t>
            </w:r>
          </w:p>
        </w:tc>
      </w:tr>
      <w:tr w:rsidR="00FC79C1" w:rsidRPr="009342F9" w14:paraId="12134827" w14:textId="77777777" w:rsidTr="004E2147">
        <w:trPr>
          <w:trHeight w:val="105"/>
          <w:tblCellSpacing w:w="0" w:type="dxa"/>
          <w:jc w:val="center"/>
        </w:trPr>
        <w:tc>
          <w:tcPr>
            <w:tcW w:w="102" w:type="dxa"/>
            <w:vMerge w:val="restart"/>
            <w:tcBorders>
              <w:top w:val="outset" w:sz="6" w:space="0" w:color="auto"/>
              <w:left w:val="outset" w:sz="6" w:space="0" w:color="auto"/>
              <w:bottom w:val="outset" w:sz="6" w:space="0" w:color="auto"/>
              <w:right w:val="outset" w:sz="6" w:space="0" w:color="auto"/>
            </w:tcBorders>
            <w:vAlign w:val="center"/>
            <w:hideMark/>
          </w:tcPr>
          <w:p w14:paraId="7725C7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4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7F749C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Comercial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37A00C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Portafolio de servicios  </w:t>
            </w:r>
          </w:p>
        </w:tc>
      </w:tr>
      <w:tr w:rsidR="00FC79C1" w:rsidRPr="009342F9" w14:paraId="350D14E2"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08C3CAF3"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5A4D8A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Administrativo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6BC30E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Plan de fortalecimiento empresarial  </w:t>
            </w:r>
          </w:p>
        </w:tc>
      </w:tr>
      <w:tr w:rsidR="00FC79C1" w:rsidRPr="009342F9" w14:paraId="6945383A"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51E6FF3D"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25DA98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Comercial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4E1A7D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Base de datos de usuarios  </w:t>
            </w:r>
          </w:p>
        </w:tc>
      </w:tr>
      <w:tr w:rsidR="00FC79C1" w:rsidRPr="009342F9" w14:paraId="51D3EFCB"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1F8AF9B1"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3199AF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Comercial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6FDB79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Página web  </w:t>
            </w:r>
          </w:p>
        </w:tc>
      </w:tr>
      <w:tr w:rsidR="00FC79C1" w:rsidRPr="009342F9" w14:paraId="34780A38" w14:textId="77777777" w:rsidTr="004E2147">
        <w:trPr>
          <w:trHeight w:val="105"/>
          <w:tblCellSpacing w:w="0" w:type="dxa"/>
          <w:jc w:val="center"/>
        </w:trPr>
        <w:tc>
          <w:tcPr>
            <w:tcW w:w="102" w:type="dxa"/>
            <w:vMerge w:val="restart"/>
            <w:tcBorders>
              <w:top w:val="outset" w:sz="6" w:space="0" w:color="auto"/>
              <w:left w:val="outset" w:sz="6" w:space="0" w:color="auto"/>
              <w:bottom w:val="outset" w:sz="6" w:space="0" w:color="auto"/>
              <w:right w:val="outset" w:sz="6" w:space="0" w:color="auto"/>
            </w:tcBorders>
            <w:vAlign w:val="center"/>
            <w:hideMark/>
          </w:tcPr>
          <w:p w14:paraId="4AA30E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5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6C6096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5071AF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de calibración básculas  </w:t>
            </w:r>
          </w:p>
        </w:tc>
      </w:tr>
      <w:tr w:rsidR="00FC79C1" w:rsidRPr="009342F9" w14:paraId="18F8A1B8"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7C2CD35E"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5EB5B2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7B9B89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Supervisores y sistemas de control operativo  </w:t>
            </w:r>
          </w:p>
        </w:tc>
      </w:tr>
      <w:tr w:rsidR="00FC79C1" w:rsidRPr="009342F9" w14:paraId="2CD373B9"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1560CC04"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3D7F63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5B176D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Programa de prestación del servicio  </w:t>
            </w:r>
          </w:p>
        </w:tc>
      </w:tr>
      <w:tr w:rsidR="00FC79C1" w:rsidRPr="009342F9" w14:paraId="4540DC36" w14:textId="77777777" w:rsidTr="004E2147">
        <w:trPr>
          <w:trHeight w:val="105"/>
          <w:tblCellSpacing w:w="0" w:type="dxa"/>
          <w:jc w:val="center"/>
        </w:trPr>
        <w:tc>
          <w:tcPr>
            <w:tcW w:w="102" w:type="dxa"/>
            <w:vMerge w:val="restart"/>
            <w:tcBorders>
              <w:top w:val="outset" w:sz="6" w:space="0" w:color="auto"/>
              <w:left w:val="outset" w:sz="6" w:space="0" w:color="auto"/>
              <w:bottom w:val="outset" w:sz="6" w:space="0" w:color="auto"/>
              <w:right w:val="outset" w:sz="6" w:space="0" w:color="auto"/>
            </w:tcBorders>
            <w:vAlign w:val="center"/>
            <w:hideMark/>
          </w:tcPr>
          <w:p w14:paraId="470B59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6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197351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Administrativo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77F9CD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Personal por categoría de empleo  </w:t>
            </w:r>
          </w:p>
        </w:tc>
      </w:tr>
      <w:tr w:rsidR="00FC79C1" w:rsidRPr="009342F9" w14:paraId="482ADD15"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644CEB8A"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75F50A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54AE922E"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Microrrutas</w:t>
            </w:r>
            <w:proofErr w:type="spellEnd"/>
            <w:r w:rsidRPr="009342F9">
              <w:rPr>
                <w:rFonts w:ascii="Arial" w:eastAsia="Times New Roman" w:hAnsi="Arial" w:cs="Arial"/>
                <w:color w:val="000000"/>
                <w:lang w:eastAsia="es-CO"/>
              </w:rPr>
              <w:t xml:space="preserve"> de recolección  </w:t>
            </w:r>
          </w:p>
        </w:tc>
      </w:tr>
      <w:tr w:rsidR="00FC79C1" w:rsidRPr="009342F9" w14:paraId="6A394810"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2F703776"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7F0C72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Administrativo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1B9625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Certificación de competencias laborales  </w:t>
            </w:r>
          </w:p>
        </w:tc>
      </w:tr>
      <w:tr w:rsidR="00FC79C1" w:rsidRPr="009342F9" w14:paraId="56DE8071" w14:textId="77777777" w:rsidTr="004E2147">
        <w:trPr>
          <w:trHeight w:val="105"/>
          <w:tblCellSpacing w:w="0" w:type="dxa"/>
          <w:jc w:val="center"/>
        </w:trPr>
        <w:tc>
          <w:tcPr>
            <w:tcW w:w="102" w:type="dxa"/>
            <w:vMerge w:val="restart"/>
            <w:tcBorders>
              <w:top w:val="outset" w:sz="6" w:space="0" w:color="auto"/>
              <w:left w:val="outset" w:sz="6" w:space="0" w:color="auto"/>
              <w:bottom w:val="outset" w:sz="6" w:space="0" w:color="auto"/>
              <w:right w:val="outset" w:sz="6" w:space="0" w:color="auto"/>
            </w:tcBorders>
            <w:vAlign w:val="center"/>
            <w:hideMark/>
          </w:tcPr>
          <w:p w14:paraId="328E87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7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20F6AC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Comercial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3235D9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Registro de Peticiones, Quejas y Recursos (PQR)  </w:t>
            </w:r>
          </w:p>
        </w:tc>
      </w:tr>
      <w:tr w:rsidR="00FC79C1" w:rsidRPr="009342F9" w14:paraId="3740A545"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30F2599A"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5C6427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095259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Planes de emergencia y contingencia  </w:t>
            </w:r>
          </w:p>
        </w:tc>
      </w:tr>
      <w:tr w:rsidR="00FC79C1" w:rsidRPr="009342F9" w14:paraId="7AF625F5" w14:textId="77777777" w:rsidTr="004E2147">
        <w:trPr>
          <w:trHeight w:val="105"/>
          <w:tblCellSpacing w:w="0" w:type="dxa"/>
          <w:jc w:val="center"/>
        </w:trPr>
        <w:tc>
          <w:tcPr>
            <w:tcW w:w="102" w:type="dxa"/>
            <w:vMerge w:val="restart"/>
            <w:tcBorders>
              <w:top w:val="outset" w:sz="6" w:space="0" w:color="auto"/>
              <w:left w:val="outset" w:sz="6" w:space="0" w:color="auto"/>
              <w:bottom w:val="outset" w:sz="6" w:space="0" w:color="auto"/>
              <w:right w:val="outset" w:sz="6" w:space="0" w:color="auto"/>
            </w:tcBorders>
            <w:vAlign w:val="center"/>
            <w:hideMark/>
          </w:tcPr>
          <w:p w14:paraId="461128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Fase 8  </w:t>
            </w:r>
          </w:p>
        </w:tc>
        <w:tc>
          <w:tcPr>
            <w:tcW w:w="2120" w:type="dxa"/>
            <w:tcBorders>
              <w:top w:val="outset" w:sz="6" w:space="0" w:color="auto"/>
              <w:left w:val="outset" w:sz="6" w:space="0" w:color="auto"/>
              <w:bottom w:val="outset" w:sz="6" w:space="0" w:color="auto"/>
              <w:right w:val="outset" w:sz="6" w:space="0" w:color="auto"/>
            </w:tcBorders>
            <w:vAlign w:val="center"/>
            <w:hideMark/>
          </w:tcPr>
          <w:p w14:paraId="1B3D28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Financiero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143CC8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Información financiera  </w:t>
            </w:r>
          </w:p>
        </w:tc>
      </w:tr>
      <w:tr w:rsidR="00FC79C1" w:rsidRPr="009342F9" w14:paraId="317071D6" w14:textId="77777777" w:rsidTr="004E2147">
        <w:trPr>
          <w:trHeight w:val="105"/>
          <w:tblCellSpacing w:w="0" w:type="dxa"/>
          <w:jc w:val="center"/>
        </w:trPr>
        <w:tc>
          <w:tcPr>
            <w:tcW w:w="102" w:type="dxa"/>
            <w:vMerge/>
            <w:tcBorders>
              <w:top w:val="outset" w:sz="6" w:space="0" w:color="auto"/>
              <w:left w:val="outset" w:sz="6" w:space="0" w:color="auto"/>
              <w:bottom w:val="outset" w:sz="6" w:space="0" w:color="auto"/>
              <w:right w:val="outset" w:sz="6" w:space="0" w:color="auto"/>
            </w:tcBorders>
            <w:vAlign w:val="center"/>
            <w:hideMark/>
          </w:tcPr>
          <w:p w14:paraId="501B28BB" w14:textId="77777777" w:rsidR="00FC79C1" w:rsidRPr="009342F9" w:rsidRDefault="00FC79C1" w:rsidP="00FC79C1">
            <w:pPr>
              <w:spacing w:after="0" w:line="240" w:lineRule="auto"/>
              <w:jc w:val="both"/>
              <w:rPr>
                <w:rFonts w:ascii="Arial" w:eastAsia="Times New Roman" w:hAnsi="Arial" w:cs="Arial"/>
                <w:color w:val="000000"/>
                <w:lang w:eastAsia="es-CO"/>
              </w:rPr>
            </w:pPr>
          </w:p>
        </w:tc>
        <w:tc>
          <w:tcPr>
            <w:tcW w:w="2120" w:type="dxa"/>
            <w:tcBorders>
              <w:top w:val="outset" w:sz="6" w:space="0" w:color="auto"/>
              <w:left w:val="outset" w:sz="6" w:space="0" w:color="auto"/>
              <w:bottom w:val="outset" w:sz="6" w:space="0" w:color="auto"/>
              <w:right w:val="outset" w:sz="6" w:space="0" w:color="auto"/>
            </w:tcBorders>
            <w:vAlign w:val="center"/>
            <w:hideMark/>
          </w:tcPr>
          <w:p w14:paraId="3CF66A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Técnico  </w:t>
            </w:r>
          </w:p>
        </w:tc>
        <w:tc>
          <w:tcPr>
            <w:tcW w:w="7805" w:type="dxa"/>
            <w:tcBorders>
              <w:top w:val="outset" w:sz="6" w:space="0" w:color="auto"/>
              <w:left w:val="outset" w:sz="6" w:space="0" w:color="auto"/>
              <w:bottom w:val="outset" w:sz="6" w:space="0" w:color="auto"/>
              <w:right w:val="outset" w:sz="6" w:space="0" w:color="auto"/>
            </w:tcBorders>
            <w:vAlign w:val="center"/>
            <w:hideMark/>
          </w:tcPr>
          <w:p w14:paraId="5453E4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Mapa del área de prestación en sistema de referencia Magna-Sirgas  </w:t>
            </w:r>
          </w:p>
        </w:tc>
      </w:tr>
    </w:tbl>
    <w:p w14:paraId="41CBF8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1A9D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organizaciones de recicladores de oficio que estén en proceso de formalización como personas prestadoras de la actividad de aprovechamiento efectuarán los reportes al Sistema Único de Información (SUI) de acuerdo con las fases anteriormente definidas, iniciando con el registro ante la Superintendencia de Servicios Públicos Domiciliarios (SSPD) momento a partir del cual se considerarán como personas prestadoras de la actividad de aprovechamiento del servicio público de aseo para los efectos del presente capítulo.  </w:t>
      </w:r>
    </w:p>
    <w:p w14:paraId="1D0BCC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AA0F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Superintendencia de Servicios Públicos Domiciliarios (SSPD) solamente podrá solicitar información a las organizaciones de recicladores de oficio a partir de la fecha en la cual hagan su inscripción en el RUPS y de acuerdo con la gradualidad aquí establecida. En ningún caso se podrá exigir el cargue de información anterior a la fecha de la inscripción o la entrada en vigor del presente capítulo.  </w:t>
      </w:r>
    </w:p>
    <w:p w14:paraId="5F2268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03D1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Ministerio de Vivienda, Ciudad y Territorio definirá los plazos en los que se ejecutarán cada una de las fases descritas en el presente artículo.  </w:t>
      </w:r>
    </w:p>
    <w:p w14:paraId="502FED3E" w14:textId="068856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CD56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2.3.2.5.3.</w:t>
      </w:r>
      <w:proofErr w:type="gramStart"/>
      <w:r w:rsidRPr="009342F9">
        <w:rPr>
          <w:rFonts w:ascii="Arial" w:eastAsia="Times New Roman" w:hAnsi="Arial" w:cs="Arial"/>
          <w:color w:val="000000"/>
          <w:lang w:eastAsia="es-CO"/>
        </w:rPr>
        <w:t>3.Registro</w:t>
      </w:r>
      <w:proofErr w:type="gramEnd"/>
      <w:r w:rsidRPr="009342F9">
        <w:rPr>
          <w:rFonts w:ascii="Arial" w:eastAsia="Times New Roman" w:hAnsi="Arial" w:cs="Arial"/>
          <w:color w:val="000000"/>
          <w:lang w:eastAsia="es-CO"/>
        </w:rPr>
        <w:t xml:space="preserve"> ante la Superintendencia de Servicios Públicos Domiciliarios (SSPD). Las organizaciones de recicladores de oficio que estén en proceso de formalización como personas prestadoras de la actividad de aprovechamiento deberán registrarse ante la Superintendencia de Servicios Públicos Domiciliarios (SSPD), e indicar:  </w:t>
      </w:r>
    </w:p>
    <w:p w14:paraId="3F7B35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B000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municipio o distrito donde se presta el servicio.  </w:t>
      </w:r>
    </w:p>
    <w:p w14:paraId="1F207A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18FF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Documentos de constitución de la organización.  </w:t>
      </w:r>
    </w:p>
    <w:p w14:paraId="262051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ECA3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Relación de recicladores de oficio que conforman la organización con sus respectivos datos de identificación, el cual deberá ir como anexo a los documentos de registro.  </w:t>
      </w:r>
    </w:p>
    <w:p w14:paraId="514AC3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47FF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Superintendencia de Servicios Públicos Domiciliarios (SSPD) en un plazo de hasta tres (3) meses contados a partir de la publicación del presente capítulo, deberá estructurar y habilitar un procedimiento simplificado para la inscripción, actualización y cancelación del registro de las organizaciones de recicladores de oficio que estén en proceso de formalización como personas prestadoras de la actividad de aprovechamiento, donde se verificará que dichas organizaciones en su formación, funcionamiento y desarrollo del objeto social, cumplan con la normatividad legal y estatutaria, y estén conformadas por recicladores de oficio.  </w:t>
      </w:r>
    </w:p>
    <w:p w14:paraId="312A3646"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C029A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2.3.2.5.3.</w:t>
      </w:r>
      <w:proofErr w:type="gramStart"/>
      <w:r w:rsidRPr="009342F9">
        <w:rPr>
          <w:rFonts w:ascii="Arial" w:eastAsia="Times New Roman" w:hAnsi="Arial" w:cs="Arial"/>
          <w:color w:val="000000"/>
          <w:lang w:eastAsia="es-CO"/>
        </w:rPr>
        <w:t>4.Planes</w:t>
      </w:r>
      <w:proofErr w:type="gramEnd"/>
      <w:r w:rsidRPr="009342F9">
        <w:rPr>
          <w:rFonts w:ascii="Arial" w:eastAsia="Times New Roman" w:hAnsi="Arial" w:cs="Arial"/>
          <w:color w:val="000000"/>
          <w:lang w:eastAsia="es-CO"/>
        </w:rPr>
        <w:t xml:space="preserve"> de Fortalecimiento Empresarial. Las organizaciones de recicladores de oficio que estén en proceso de formalización como personas prestadoras de la actividad de aprovechamiento deberán formular un Plan de Fortalecimiento Empresarial, en el cual se definirán: objetivos, metas, actividades, cronogramas, costos y fuentes de financiación.  </w:t>
      </w:r>
    </w:p>
    <w:p w14:paraId="3AEBC8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7E76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Este Plan deberá contemplar un horizonte de planeación de corto plazo cuatro (4) años, mediano plazo ocho (8) años y largo plazo doce (12) años.  </w:t>
      </w:r>
    </w:p>
    <w:p w14:paraId="489F99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D611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Vivienda, Ciudad y Territorio (MVCT) definirá los lineamientos para la formulación de los Planes de Fortalecimiento Empresarial de que trata el presente artículo.  </w:t>
      </w:r>
    </w:p>
    <w:p w14:paraId="3AE6E44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63" w:name="ver_30110738"/>
      <w:bookmarkEnd w:id="1863"/>
    </w:p>
    <w:p w14:paraId="46D0165D" w14:textId="4B2FFD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2.3.2.5.3.5.</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Provisión de inversiones. Las organizaciones de recicladores de oficio que estén en proceso de formalización como personas prestadoras de la actividad de aprovechamiento deberán reservar una provisión para inversiones con recursos de la tarifa, la cual se hará mensualmente en el porcentaje de los recursos del recaudo del servicio público de aseo correspondientes a la actividad de aprovechamiento que para el efecto defina la Comisión de Regulación de Agua Potable y Saneamiento Básico (CRA).  </w:t>
      </w:r>
    </w:p>
    <w:p w14:paraId="37F6CB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F60F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Estos recursos se destinarán a las inversiones requeridas de acuerdo con los respectivos Planes de Fortalecimiento Empresarial, y serán reportados a la Superintendencia de Servicios Públicos Domiciliarios (SSPD).  </w:t>
      </w:r>
    </w:p>
    <w:p w14:paraId="27BF93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85AD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recursos de la provisión deberán destinarse para realizar las inversiones propias de la prestación de la actividad de acuerdo con los objetivos de fortalecimiento definidos en los Planes de Fortalecimiento Empresarial.  </w:t>
      </w:r>
    </w:p>
    <w:p w14:paraId="47CB6F6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64" w:name="ver_30110739"/>
      <w:bookmarkEnd w:id="1864"/>
    </w:p>
    <w:p w14:paraId="627D2B1D" w14:textId="0B0F9E3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2.3.2.5.3.6.</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Aspectos administrativos mínimos. Las organizaciones de recicladores de oficio que estén en proceso de formalización como prestadores de la actividad de aprovechamiento deberán contar como mínimo con los siguientes aspectos:  </w:t>
      </w:r>
    </w:p>
    <w:p w14:paraId="76EBE4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BA5F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Portafolios de servicios. En donde se deberá indicar como mínimo los siguientes elementos (i) Descripción de la organización; (ii) Visión y misión; (iii) Productos y servicios que se ofrecen y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Medios de contacto.  </w:t>
      </w:r>
    </w:p>
    <w:p w14:paraId="52F9C6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4BF7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Base de datos de usuarios. La Base de datos deberá contener al menos la siguiente información (i) Dirección del suscriptor, (ii) Tipo y uso de usuario, y (iii) Cuenta contrato o número único de identificación del usuario.  </w:t>
      </w:r>
    </w:p>
    <w:p w14:paraId="2459DB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3DD1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lo anterior, el ente territorial deberá prestar asistencia técnica en el marco del Plan de Gestión Integral de Residuos Sólidos (PGIRS).  </w:t>
      </w:r>
    </w:p>
    <w:p w14:paraId="2CA13A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468A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Supervisión y Sistemas de Control Operativo. Tendrán que contar con supervisores y sistemas de control operativo para el seguimiento en tiempo real de la prestación de la actividad.  </w:t>
      </w:r>
    </w:p>
    <w:p w14:paraId="6D2D7B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DBB5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Competencias laborales. Se deberá asegurar que los miembros de la organización cuenten con certificación de competencias laborales para el manejo adecuado de residuos, reciclaje y aprovechamiento, de conformidad con los diferentes niveles establecidos por el Servicio Nacional de Aprendizaje (SENA).  </w:t>
      </w:r>
    </w:p>
    <w:p w14:paraId="7BD0EF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852A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Página web. Contarán con una página web en la que se deberá publicar: el contrato de condiciones uniformes del servicio público de aseo (CCU) para la actividad de aprovechamiento, la evolución en el otorgamiento del incentivo a la separación en la fuente (DINC), así como de los rechazos y de las toneladas efectivamente aprovechadas en su zona de prestación, sin perjuicio de lo establecido en el artículo 2.3.2.2.4.2.112 del presente decreto </w:t>
      </w:r>
    </w:p>
    <w:p w14:paraId="6837E96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65" w:name="ver_30110740"/>
      <w:bookmarkEnd w:id="1865"/>
    </w:p>
    <w:p w14:paraId="44023FEE" w14:textId="270C4B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2.3.2.5.3.7.</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Incentivo a la separación en la fuente (DINC). Las organizaciones de recicladores de oficio que estén en proceso de formalización como personas prestadoras de la actividad de aprovechamiento deberán contar con la base de datos de los usuarios, de que trata el numeral 2 del artículo anterior, para poder iniciar el proceso de otorgamiento del incentivo a la separación en la fuente (DINC) a aquellos usuarios que den cumplimiento a lo dispuesto en el artículo 2.3.2.5.2.2.4.  </w:t>
      </w:r>
    </w:p>
    <w:p w14:paraId="0CAC92C0" w14:textId="77777777" w:rsidR="004E2147" w:rsidRPr="009342F9" w:rsidRDefault="004E2147" w:rsidP="004E2147">
      <w:pPr>
        <w:spacing w:after="0" w:line="240" w:lineRule="auto"/>
        <w:jc w:val="center"/>
        <w:rPr>
          <w:rFonts w:ascii="Arial" w:eastAsia="Times New Roman" w:hAnsi="Arial" w:cs="Arial"/>
          <w:b/>
          <w:bCs/>
          <w:color w:val="000000"/>
          <w:lang w:eastAsia="es-CO"/>
        </w:rPr>
      </w:pPr>
      <w:bookmarkStart w:id="1866" w:name="ver_30110741"/>
      <w:bookmarkEnd w:id="1866"/>
    </w:p>
    <w:p w14:paraId="2FADEFE8" w14:textId="149E0182"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3ED960C9"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DEBERES Y DERECHOS</w:t>
      </w:r>
    </w:p>
    <w:p w14:paraId="3462E02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67" w:name="ver_30110742"/>
      <w:bookmarkEnd w:id="1867"/>
    </w:p>
    <w:p w14:paraId="503D150C" w14:textId="1DB3D63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2.3.2.5.4.1.</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Derechos de los usuarios. Acorde con los definidos en la ley y los reglamentos, y sin perjuicio de aquellos contemplados en el artículo 2.3.2.2.4.2.108 del presente decreto, los usuarios de la actividad de aprovechamiento en el servicio público de aseo tendrán el derecho a:  </w:t>
      </w:r>
    </w:p>
    <w:p w14:paraId="525D5D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C5BB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Recibir capacitación sobre la separación en la fuente de los residuos sólidos aprovechables.  </w:t>
      </w:r>
    </w:p>
    <w:p w14:paraId="56B979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67A2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Recibir el incentivo a la separación en la fuente (DINC) cuando se logren los niveles de rechazo establecidos.  </w:t>
      </w:r>
    </w:p>
    <w:p w14:paraId="36D5C4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E860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Ser incluido en la ruta de recolección de residuos sólidos aprovechables.  </w:t>
      </w:r>
    </w:p>
    <w:p w14:paraId="699902EC"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5B3ACF12" w14:textId="172D2AD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2.3.2.5.4.2.</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Deberes de los usuarios. Acorde con los definidos en la ley y los reglamentos, y sin perjuicio de aquellos contemplados en el artículo 2.3.2.2.4.2.109 del presente decreto, los usuarios de la actividad de aprovechamiento en el servicio público de aseo tendrán los siguientes deberes:  </w:t>
      </w:r>
    </w:p>
    <w:p w14:paraId="7A26D4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AAB9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Presentar los residuos sólidos aprovechables separados en la fuente a las personas prestadoras de la actividad sin imponer condiciones adicionales a las establecidas en el contrato de condiciones uniformes.  </w:t>
      </w:r>
    </w:p>
    <w:p w14:paraId="36A7D4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9408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Permitir la realización del aforo de los residuos sólidos aprovechables.  </w:t>
      </w:r>
    </w:p>
    <w:p w14:paraId="4D27B5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7398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Pagar la tarifa establecida para el servicio prestado.  </w:t>
      </w:r>
    </w:p>
    <w:p w14:paraId="04F6DD57"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0F31E49B" w14:textId="3AD1121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2.3.2.5.4.3.</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Deberes de las personas prestadoras de la actividad de aprovechamiento. Es deber de las personas prestadoras de la actividad de aprovechamiento:  </w:t>
      </w:r>
    </w:p>
    <w:p w14:paraId="081BC3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19CB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Definir e informar al usuario sobre las condiciones de prestación del servicio.  </w:t>
      </w:r>
    </w:p>
    <w:p w14:paraId="749B8A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25B0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Definir e informar al usuario sobre los residuos sólidos aprovechables.  </w:t>
      </w:r>
    </w:p>
    <w:p w14:paraId="56E487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326C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Recolectar los residuos sólidos presentados por el usuario como aprovechables, de acuerdo con lo indicado en el contrato de condiciones uniformes del servicio público de aseo (CCU) para la actividad de aprovechamiento.  </w:t>
      </w:r>
    </w:p>
    <w:p w14:paraId="616B9B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836E2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Realizar las actividades de clasificación en las Estaciones de Clasificación y Aprovechamiento (ECA).  </w:t>
      </w:r>
    </w:p>
    <w:p w14:paraId="6CAC12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5F32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No dejar residuos sólidos dispersos en las vías públicas que puedan conducir a la generación de puntos críticos.  </w:t>
      </w:r>
    </w:p>
    <w:p w14:paraId="7F1833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820B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Realizar campañas de capacitación de separación en la fuente a sus usuarios de la actividad de aprovechamiento del servicio público de aseo.  </w:t>
      </w:r>
    </w:p>
    <w:p w14:paraId="50517B58" w14:textId="77777777" w:rsidR="004E2147" w:rsidRPr="009342F9" w:rsidRDefault="004E2147" w:rsidP="004E2147">
      <w:pPr>
        <w:spacing w:after="0" w:line="240" w:lineRule="auto"/>
        <w:jc w:val="center"/>
        <w:rPr>
          <w:rFonts w:ascii="Arial" w:eastAsia="Times New Roman" w:hAnsi="Arial" w:cs="Arial"/>
          <w:b/>
          <w:bCs/>
          <w:color w:val="000000"/>
          <w:lang w:eastAsia="es-CO"/>
        </w:rPr>
      </w:pPr>
      <w:bookmarkStart w:id="1868" w:name="ver_30110745"/>
      <w:bookmarkEnd w:id="1868"/>
    </w:p>
    <w:p w14:paraId="0C1DDC89" w14:textId="0D960BDB"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70A22B37"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1860C6B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69" w:name="ver_30110786"/>
      <w:bookmarkEnd w:id="1869"/>
    </w:p>
    <w:p w14:paraId="53B3CC9E" w14:textId="01AF8E4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2.3.2.5.5.1.</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Responsabilidades de los entes territoriales. Los entes territoriales incluirán en el “programa de inclusión de recicladores” del respectivo Plan de Gestión Integral de Residuos Sólidos (PGIRS), de conformidad con el numeral 9 del artículo 2.3.2.2.3.95 del presente decreto, como mínimo lo siguiente:  </w:t>
      </w:r>
    </w:p>
    <w:p w14:paraId="33BDB2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73B2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Un proyecto de capacitación a los recicladores de oficio identificados en el censo de la línea base y en sus actualizaciones posteriores el cual deberá diseñarse teniendo en cuenta los siguientes aspectos:  </w:t>
      </w:r>
    </w:p>
    <w:p w14:paraId="6496B8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33AC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Formación y asesoramiento para la formalización en alguna de las figuras contempladas en la Ley 142 de 1994 para la prestación del servicio público de aseo.  </w:t>
      </w:r>
    </w:p>
    <w:p w14:paraId="2A7EE6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59EE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Capacitación en aspectos administrativos, comerciales, financieros, técnicos y operativos para la prestación del servicio público de aseo en la actividad de aprovechamiento, de las estructuras organizacionales y de emprendimiento empresarial.  </w:t>
      </w:r>
    </w:p>
    <w:p w14:paraId="521EE8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CC83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1.3 Asesoramiento técnico y operativo para el manejo de los residuos aprovechables, generación de valor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y su incorporación en las cadenas productivas.  </w:t>
      </w:r>
    </w:p>
    <w:p w14:paraId="6EE91E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4D65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 proyecto de apoyo a la formalización de los recicladores de oficio el cual deberá considerar los diferentes niveles de vulnerabilidad identificados en el respectivo Censo del PGIRS. Este proyecto deberá incluir metas de formalización las cuales deberán ser evaluadas anualmente.  </w:t>
      </w:r>
    </w:p>
    <w:p w14:paraId="344DBA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EC3D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Cualquier intervención o acción afirmativa desarrollada por el ente territorial que no esté afecta a la prestación del servicio público de aseo en la actividad de aprovechamiento, deberá contar con los recursos del ente territorial y por lo tanto deberá ser incorporada dentro del plan financiero del Plan de Gestión Integral de Residuos Sólidos (PGIRS) y del Plan de Desarrollo Municipal.  </w:t>
      </w:r>
    </w:p>
    <w:p w14:paraId="15FE12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0F51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Al inicio de cada periodo de gobierno municipal o distrital se deberá evaluar, con la participación de los recicladores de oficio, la necesidad de actualizar el censo de recicladores. En caso de constituirse nuevas organizaciones de recicladores de oficio, estas deberán informarle al municipio a fin de mantener actualizado el censo.  </w:t>
      </w:r>
    </w:p>
    <w:p w14:paraId="7EE4F53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70" w:name="ver_30110791"/>
      <w:bookmarkEnd w:id="1870"/>
    </w:p>
    <w:p w14:paraId="30A13CAB" w14:textId="46F189F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2.3.2.5.5.2.</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Aportes bajo condición. Se entenderá que son aportes bajo condición la entrega por el municipio o distrito de bienes o derechos en infraestructura y equipos afectos a la prestación de la actividad de aprovechamiento en el marco del servicio público de aseo. Los aportes bajo condición no podrán destinarse para atender costos de mantenimiento, sostenimiento y operación de la infraestructura y equipos. </w:t>
      </w:r>
    </w:p>
    <w:p w14:paraId="34A12A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E3EF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conformidad con el artículo 87.9 de la Ley 142 de 1994 el valor de dichos aportes no podrá ser incluido en el cálculo de la tarifa de la actividad de aprovechamiento. </w:t>
      </w:r>
    </w:p>
    <w:p w14:paraId="346CE1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0A7E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 Comisión de Regulación de Agua Potable y Saneamiento Básico (CRA) establecerá la metodología de descuentos por aportes de bienes y derechos que se realicen bajo condición de conformidad con el artículo 87.9 de la Ley 142 de 1994. </w:t>
      </w:r>
    </w:p>
    <w:p w14:paraId="763E342C" w14:textId="60F5ADF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71" w:name="ver_30110860"/>
      <w:bookmarkEnd w:id="1871"/>
    </w:p>
    <w:p w14:paraId="4B64846E" w14:textId="3B478D1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2.3.2.5.5.3.</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Presentación de residuos aprovechables por parte de las entidades públicas del orden nacional. Las entidades públicas del orden nacional propenderán por presentar sus residuos aprovechables a las organizaciones de recicladores de oficio en proceso de formalización como personas prestadoras de la actividad de aprovechamiento. </w:t>
      </w:r>
    </w:p>
    <w:p w14:paraId="6A3940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7DDE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entidades públicas del orden nacional contarán con un plazo de seis (6) meses a partir de la publicación del presente capítulo, para formular e implementar campañas de separación en la fuente. </w:t>
      </w:r>
    </w:p>
    <w:p w14:paraId="57C28041"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52CA3A35" w14:textId="42FCCEE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2.3.2.5.5.4.</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Vigilancia y control. La Superintendencia de Servicios Públicos Domiciliarios (SSPD), en ejercicio de sus funciones de inspección, vigilancia y control, adelantará las medidas a que haya lugar, con el fin de que los prestadores de recolección y transporte de residuos sólidos no aprovechables den cumplimiento a las obligaciones previstas en el presente capítulo para garantizar el esquema operativo de la prestación de la actividad de aprovechamiento.  </w:t>
      </w:r>
    </w:p>
    <w:p w14:paraId="3327D5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3D20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de Servicios Públicos Domiciliarios (SSPD) adelantará programas de vigilancia y control específicos sobre el pesaje y registro de las cantidades de residuos efectivamente aprovechados con miras al cobro eficiente de la actividad de aprovechamiento.  </w:t>
      </w:r>
    </w:p>
    <w:p w14:paraId="4CA12DC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72" w:name="ver_30110853"/>
      <w:bookmarkStart w:id="1873" w:name="ver_30110798"/>
      <w:bookmarkEnd w:id="1872"/>
    </w:p>
    <w:p w14:paraId="5E6564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2.3.2.5.5.5. Transitorio. En municipios y distritos que al momento de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presente capítulo cuenten con esquemas operativos de aprovechamiento, contarán con un plazo de dos (2) años para realizar los ajustes y observar en su integralidad a lo aquí dispuesto”.  </w:t>
      </w:r>
    </w:p>
    <w:p w14:paraId="1FE65634"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6285BFF6"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874" w:name="ver_30137377"/>
      <w:bookmarkEnd w:id="1873"/>
      <w:bookmarkEnd w:id="1874"/>
      <w:r w:rsidRPr="009342F9">
        <w:rPr>
          <w:rFonts w:ascii="Arial" w:eastAsia="Times New Roman" w:hAnsi="Arial" w:cs="Arial"/>
          <w:b/>
          <w:bCs/>
          <w:color w:val="000000"/>
          <w:lang w:eastAsia="es-CO"/>
        </w:rPr>
        <w:t>CAPÍTULO 6</w:t>
      </w:r>
    </w:p>
    <w:p w14:paraId="40222D9D" w14:textId="64D73695" w:rsidR="00FC79C1" w:rsidRPr="009342F9" w:rsidRDefault="00FC79C1" w:rsidP="004E2147">
      <w:pPr>
        <w:spacing w:after="0" w:line="240" w:lineRule="auto"/>
        <w:jc w:val="center"/>
        <w:rPr>
          <w:rFonts w:ascii="Arial" w:eastAsia="Times New Roman" w:hAnsi="Arial" w:cs="Arial"/>
          <w:b/>
          <w:bCs/>
          <w:color w:val="000000"/>
          <w:lang w:eastAsia="es-CO"/>
        </w:rPr>
      </w:pPr>
      <w:r w:rsidRPr="0CEF5355">
        <w:rPr>
          <w:rFonts w:ascii="Arial" w:eastAsia="Times New Roman" w:hAnsi="Arial" w:cs="Arial"/>
          <w:b/>
          <w:color w:val="000000" w:themeColor="text1"/>
          <w:lang w:eastAsia="es-CO"/>
        </w:rPr>
        <w:t>TRATAMIENTO</w:t>
      </w:r>
    </w:p>
    <w:p w14:paraId="05BC632C" w14:textId="64D73695" w:rsidR="00FC79C1" w:rsidRPr="009342F9" w:rsidRDefault="00FC79C1" w:rsidP="00FC79C1">
      <w:pPr>
        <w:spacing w:after="0" w:line="240" w:lineRule="auto"/>
        <w:jc w:val="both"/>
        <w:rPr>
          <w:rFonts w:ascii="Arial" w:eastAsia="Times New Roman" w:hAnsi="Arial" w:cs="Arial"/>
          <w:color w:val="000000"/>
          <w:lang w:eastAsia="es-CO"/>
        </w:rPr>
      </w:pPr>
      <w:bookmarkStart w:id="1875" w:name="ver_30137378"/>
      <w:bookmarkEnd w:id="1875"/>
    </w:p>
    <w:p w14:paraId="27354B27" w14:textId="64D73695" w:rsidR="00FC79C1" w:rsidRPr="009342F9" w:rsidRDefault="00FC79C1" w:rsidP="00FC79C1">
      <w:pPr>
        <w:spacing w:after="0" w:line="240" w:lineRule="auto"/>
        <w:jc w:val="both"/>
        <w:rPr>
          <w:rFonts w:ascii="Arial" w:eastAsia="Times New Roman" w:hAnsi="Arial" w:cs="Arial"/>
          <w:color w:val="000000"/>
          <w:lang w:eastAsia="es-CO"/>
        </w:rPr>
      </w:pPr>
      <w:r w:rsidRPr="0CEF5355">
        <w:rPr>
          <w:rFonts w:ascii="Arial" w:eastAsia="Times New Roman" w:hAnsi="Arial" w:cs="Arial"/>
          <w:color w:val="000000" w:themeColor="text1"/>
          <w:lang w:eastAsia="es-CO"/>
        </w:rPr>
        <w:t>Artículo 2.3.2.6.1. Objeto. El presente capítulo tiene por objeto reglamentar las condiciones bajo las cuales deberá desarrollarse la actividad complementaria de tratamiento de residuos sólidos en la prestación del servicio público de aseo.  </w:t>
      </w:r>
    </w:p>
    <w:p w14:paraId="4E917C30" w14:textId="64D73695" w:rsidR="004E2147" w:rsidRPr="009342F9" w:rsidRDefault="004E2147" w:rsidP="00FC79C1">
      <w:pPr>
        <w:spacing w:after="0" w:line="240" w:lineRule="auto"/>
        <w:jc w:val="both"/>
        <w:rPr>
          <w:rFonts w:ascii="Arial" w:eastAsia="Times New Roman" w:hAnsi="Arial" w:cs="Arial"/>
          <w:color w:val="000000"/>
          <w:lang w:eastAsia="es-CO"/>
        </w:rPr>
      </w:pPr>
    </w:p>
    <w:p w14:paraId="2B2EA1D7" w14:textId="64D73695" w:rsidR="00FC79C1" w:rsidRPr="009342F9" w:rsidRDefault="00FC79C1" w:rsidP="00FC79C1">
      <w:pPr>
        <w:spacing w:after="0" w:line="240" w:lineRule="auto"/>
        <w:jc w:val="both"/>
        <w:rPr>
          <w:rFonts w:ascii="Arial" w:eastAsia="Times New Roman" w:hAnsi="Arial" w:cs="Arial"/>
          <w:color w:val="000000"/>
          <w:lang w:eastAsia="es-CO"/>
        </w:rPr>
      </w:pPr>
      <w:r w:rsidRPr="0CEF5355">
        <w:rPr>
          <w:rFonts w:ascii="Arial" w:eastAsia="Times New Roman" w:hAnsi="Arial" w:cs="Arial"/>
          <w:color w:val="000000" w:themeColor="text1"/>
          <w:lang w:eastAsia="es-CO"/>
        </w:rPr>
        <w:t>Artículo 2.3.2.6.2. Del Interés Público y Social. Las áreas potenciales que la entidad territorial defina en los Planes de Ordenamiento Territorial (POT), Planes Básicos de Ordenamiento Territorial (PBOT), o Esquemas de Ordenamiento Territorial (EOT), según sea el caso, para la ubicación de infraestructura y prestación de la actividad complementaria de tratamiento de residuos sólidos, son de interés público y social.  </w:t>
      </w:r>
    </w:p>
    <w:p w14:paraId="24EB662B" w14:textId="3E562B35" w:rsidR="00FC79C1" w:rsidRPr="009342F9" w:rsidRDefault="00FC79C1" w:rsidP="00FC79C1">
      <w:pPr>
        <w:spacing w:after="0" w:line="240" w:lineRule="auto"/>
        <w:jc w:val="both"/>
        <w:rPr>
          <w:rFonts w:ascii="Arial" w:eastAsia="Times New Roman" w:hAnsi="Arial" w:cs="Arial"/>
          <w:color w:val="000000"/>
          <w:lang w:eastAsia="es-CO"/>
        </w:rPr>
      </w:pPr>
      <w:bookmarkStart w:id="1876" w:name="ver_30137380"/>
      <w:bookmarkEnd w:id="1876"/>
    </w:p>
    <w:p w14:paraId="75BB41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2.3.2.6.3. De la responsabilidad de las Entidades Territoriales. Es responsabilidad de los entes territoriales asegurar la prestación de la actividad complementaria de tratamiento, ya sea en su propio territorio o en otra jurisdicción, y para el efecto podrá participar en la estructuración e implementación de soluciones de carácter regional.  </w:t>
      </w:r>
    </w:p>
    <w:p w14:paraId="186C68F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77" w:name="ver_30137387"/>
      <w:bookmarkEnd w:id="1877"/>
    </w:p>
    <w:p w14:paraId="120312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2.3.2.6.4. Finalidad del Ordenamiento Territorial en la actividad de tratamiento. Con el fin de implementar la actividad de tratamiento, el ordenamiento territorial promoverá el establecimiento de regiones de planeación y gestión de residuos sólidos como marco de las relaciones geográficas, económicas y funcionales para el aseguramiento de su prestación. </w:t>
      </w:r>
    </w:p>
    <w:p w14:paraId="6D42A274" w14:textId="77777777" w:rsidR="004E2147" w:rsidRPr="009342F9" w:rsidRDefault="004E2147" w:rsidP="00FC79C1">
      <w:pPr>
        <w:spacing w:after="0" w:line="240" w:lineRule="auto"/>
        <w:jc w:val="both"/>
        <w:rPr>
          <w:rFonts w:ascii="Arial" w:eastAsia="Times New Roman" w:hAnsi="Arial" w:cs="Arial"/>
          <w:color w:val="000000"/>
          <w:lang w:eastAsia="es-CO"/>
        </w:rPr>
      </w:pPr>
      <w:bookmarkStart w:id="1878" w:name="ver_30137388"/>
      <w:bookmarkEnd w:id="1878"/>
    </w:p>
    <w:p w14:paraId="10F64173" w14:textId="745EA09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2.3.2.6.5. Selección de Tratamiento. La selección de tratamiento o tratamientos a implementar debe considerar, entre otros, su complejidad, acorde con la caracterización de residuos sólidos según el tratamiento a implementar, los estudios de población, proyección de generación de residuos, análisis de viabilidad financiera y económica, así como la sostenibilidad empresarial. Parágrafo. El Ministerio de Vivienda, Ciudad y Territorio definirá los criterios mínimos que deberán ser considerados para seleccionar el tipo de tratamiento o tratamientos. </w:t>
      </w:r>
    </w:p>
    <w:p w14:paraId="2CF2D19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79" w:name="ver_30137389"/>
      <w:bookmarkEnd w:id="1879"/>
    </w:p>
    <w:p w14:paraId="7A5E4EB6"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2.3.2.6.6. Localización de áreas para tratamiento. Con el fin de ubicar áreas para la localización de infraestructura asociada al tratamiento de residuos sólidos municipales o regionales, el ente territorial definirá la incorporación al plan de ordenamiento (POT, PBOT, EOT), de los polígonos donde potencialmente se localizarán dichas áreas, de acuerdo con los siguientes criterios:  </w:t>
      </w:r>
    </w:p>
    <w:p w14:paraId="0EFE8E50"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A63FA5"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Identificación de determinantes ambientales debidamente incluidas en la cartografía oficial del POT, PBOT O EOT.  </w:t>
      </w:r>
    </w:p>
    <w:p w14:paraId="50B1CCAE" w14:textId="77777777" w:rsidR="004E2147" w:rsidRPr="009342F9" w:rsidRDefault="004E2147" w:rsidP="004E2147">
      <w:pPr>
        <w:spacing w:after="0" w:line="240" w:lineRule="auto"/>
        <w:jc w:val="both"/>
        <w:rPr>
          <w:rFonts w:ascii="Arial" w:eastAsia="Times New Roman" w:hAnsi="Arial" w:cs="Arial"/>
          <w:color w:val="000000"/>
          <w:lang w:eastAsia="es-CO"/>
        </w:rPr>
      </w:pPr>
    </w:p>
    <w:p w14:paraId="42E479B4" w14:textId="305F3CF2"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Identificación de áreas con riesgo no mitigable incorporados en POT, PBOT o EOT.  </w:t>
      </w:r>
    </w:p>
    <w:p w14:paraId="145F14D6" w14:textId="77777777" w:rsidR="004E2147" w:rsidRPr="009342F9" w:rsidRDefault="004E2147" w:rsidP="004E2147">
      <w:pPr>
        <w:spacing w:after="0" w:line="240" w:lineRule="auto"/>
        <w:jc w:val="both"/>
        <w:rPr>
          <w:rFonts w:ascii="Arial" w:eastAsia="Times New Roman" w:hAnsi="Arial" w:cs="Arial"/>
          <w:color w:val="000000"/>
          <w:lang w:eastAsia="es-CO"/>
        </w:rPr>
      </w:pPr>
    </w:p>
    <w:p w14:paraId="521DC349" w14:textId="500614F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Identificación de sitios intervenidos con la actividad de disposición final de residuos sólidos. 4. Identificación de zonas actuales con uso de suelo compatible con el tratamiento o tratamientos seleccionados.  </w:t>
      </w:r>
    </w:p>
    <w:p w14:paraId="5AD999A4"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E80569"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Con fundamento en la aplicación de los anteriores criterios se definirán las áreas disponibles sobre las que se deberán realizar los correspondientes estudios técnicos que establezcan su potencialidad para el desarrollo de tratamientos.  </w:t>
      </w:r>
    </w:p>
    <w:p w14:paraId="28248F5F"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9CFD84"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Ministerio de Vivienda, Ciudad y Territorio establecerá los elementos que deberán considerarse para efectos de definir la potencialidad de las áreas disponibles para tratamiento, considerando entre otros, su complejidad, acorde con la caracterización de los residuos sólidos según el tratamiento a implementar, los estudios de población, proyección de generación de residuos sólidos, análisis de viabilidad financiera y económica, así como la sostenibilidad empresarial.  </w:t>
      </w:r>
    </w:p>
    <w:p w14:paraId="2AB667CD"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B8FBD0"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Las áreas definidas como potenciales para la ejecución de proyectos de tratamiento acorde con lo que para el efecto defina el Ministerio de Vivienda, Ciudad y Territorio serán consideradas para todos los efectos como de Interés Público y Social y deberán estar articuladas en el Plan de Gestión Integral de Residuos Sólidos (PGIRS).  </w:t>
      </w:r>
    </w:p>
    <w:p w14:paraId="7DA13A51"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473AE0"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Las áreas intervenidas con cualquier forma de disposición final deberán ser consideradas prioritariamente para la ubicación de infraestructura para el tratamiento de residuos sólidos.  </w:t>
      </w:r>
    </w:p>
    <w:p w14:paraId="3B7A6118"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3AAFFA07" w14:textId="1EAF05B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2.3.2.6.7. Reglamento Operativo. Los sistemas de tratamiento o tratamientos deberán contar con un Reglamento Operativo que establezca los instrumentos de Planeación, Operación y Seguimiento para las diferentes etapas de desarrollo del proyecto. Los elementos mínimos que deberán ser considerados en el Reglamento Operativo son: Manuales de Operación, Bitácoras y Registros; de acuerdo con los criterios que para el efecto defina el Ministerio de Vivienda, Ciudad y Territorio.  </w:t>
      </w:r>
    </w:p>
    <w:p w14:paraId="1C1B79D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80" w:name="ver_30137394"/>
      <w:bookmarkEnd w:id="1880"/>
    </w:p>
    <w:p w14:paraId="651E9A1B"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2.3.2.6.8. Monitoreo, Seguimiento y Control a la operación de las actividades de tratamiento. Son responsabilidades de la persona prestadora, las actividades de monitoreo, seguimiento y control técnico de los tratamientos, dentro de las cuales deberán contemplarse como mínimo las siguientes:  </w:t>
      </w:r>
    </w:p>
    <w:p w14:paraId="620ADC97" w14:textId="77777777" w:rsidR="00FC79C1" w:rsidRPr="009342F9" w:rsidRDefault="00FC79C1" w:rsidP="00FC79C1">
      <w:pPr>
        <w:spacing w:after="0" w:line="240" w:lineRule="auto"/>
        <w:ind w:left="602"/>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BD8471"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Cantidad y calidad del material de ingreso.  </w:t>
      </w:r>
    </w:p>
    <w:p w14:paraId="628EB8FE"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Flujo de proceso y respectivos procedimientos.  </w:t>
      </w:r>
    </w:p>
    <w:p w14:paraId="185BCF3A"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Balance de masas.  </w:t>
      </w:r>
    </w:p>
    <w:p w14:paraId="1529AD94" w14:textId="77777777" w:rsidR="00FC79C1" w:rsidRPr="009342F9" w:rsidRDefault="00FC79C1" w:rsidP="004E21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Cantidad y Calidad de subproductos generados en el tratamiento.  </w:t>
      </w:r>
    </w:p>
    <w:p w14:paraId="7AF4C1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Cantidad y Calidad de material de rechazo generado y tipo de disposición final </w:t>
      </w:r>
    </w:p>
    <w:p w14:paraId="4CF1702A" w14:textId="77777777" w:rsidR="004E2147" w:rsidRPr="009342F9" w:rsidRDefault="004E2147" w:rsidP="00FC79C1">
      <w:pPr>
        <w:spacing w:after="0" w:line="240" w:lineRule="auto"/>
        <w:jc w:val="both"/>
        <w:rPr>
          <w:rFonts w:ascii="Arial" w:eastAsia="Times New Roman" w:hAnsi="Arial" w:cs="Arial"/>
          <w:color w:val="000000"/>
          <w:spacing w:val="45"/>
          <w:lang w:eastAsia="es-CO"/>
        </w:rPr>
      </w:pPr>
      <w:bookmarkStart w:id="1881" w:name="ver_30075851"/>
      <w:bookmarkEnd w:id="1881"/>
    </w:p>
    <w:p w14:paraId="177C925A" w14:textId="60EBB0FB"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3</w:t>
      </w:r>
    </w:p>
    <w:p w14:paraId="21075200" w14:textId="6FC080EA" w:rsidR="00FC79C1" w:rsidRPr="009342F9" w:rsidRDefault="000443A9"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PLANES DEPARTAMENTALES DE AGUA</w:t>
      </w:r>
    </w:p>
    <w:p w14:paraId="15640F8C" w14:textId="77777777" w:rsidR="00EE4153" w:rsidRDefault="00EE4153" w:rsidP="004E2147">
      <w:pPr>
        <w:spacing w:after="0" w:line="240" w:lineRule="auto"/>
        <w:jc w:val="center"/>
        <w:rPr>
          <w:rFonts w:ascii="Arial" w:eastAsia="Times New Roman" w:hAnsi="Arial" w:cs="Arial"/>
          <w:b/>
          <w:bCs/>
          <w:color w:val="000000"/>
          <w:lang w:eastAsia="es-CO"/>
        </w:rPr>
      </w:pPr>
      <w:bookmarkStart w:id="1882" w:name="ver_30197516"/>
      <w:bookmarkEnd w:id="1882"/>
    </w:p>
    <w:p w14:paraId="30E19E09" w14:textId="779B2194" w:rsidR="00FC79C1" w:rsidRPr="009342F9" w:rsidRDefault="000443A9"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5A787ACC" w14:textId="6927BB42" w:rsidR="00FC79C1" w:rsidRPr="009342F9" w:rsidRDefault="000443A9" w:rsidP="004E2147">
      <w:pPr>
        <w:spacing w:after="0" w:line="240" w:lineRule="auto"/>
        <w:jc w:val="center"/>
        <w:rPr>
          <w:rFonts w:ascii="Arial" w:eastAsia="Times New Roman" w:hAnsi="Arial" w:cs="Arial"/>
          <w:b/>
          <w:bCs/>
          <w:color w:val="000000"/>
          <w:lang w:eastAsia="es-CO"/>
        </w:rPr>
      </w:pPr>
      <w:r>
        <w:rPr>
          <w:rFonts w:ascii="Arial" w:eastAsia="Times New Roman" w:hAnsi="Arial" w:cs="Arial"/>
          <w:b/>
          <w:bCs/>
          <w:color w:val="000000"/>
          <w:lang w:eastAsia="es-CO"/>
        </w:rPr>
        <w:t>P</w:t>
      </w:r>
      <w:r w:rsidRPr="009342F9">
        <w:rPr>
          <w:rFonts w:ascii="Arial" w:eastAsia="Times New Roman" w:hAnsi="Arial" w:cs="Arial"/>
          <w:b/>
          <w:bCs/>
          <w:color w:val="000000"/>
          <w:lang w:eastAsia="es-CO"/>
        </w:rPr>
        <w:t>OR EL CUAL SE REGLAMENTAN LOS PLANES DEPARTAMENTALES PARA EL MANEJO EMPRESARIAL DE LOS SERVICIOS DE AGUA Y SANEAMIENTO (PDA) SECCIÓN 1 DISPOSICIONES GENERALES</w:t>
      </w:r>
    </w:p>
    <w:p w14:paraId="01765540"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5B0BDD28" w14:textId="3E0270FC" w:rsidR="00FC79C1" w:rsidRPr="009342F9" w:rsidRDefault="000443A9"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71301F0B" w14:textId="0B894A99" w:rsidR="00FC79C1" w:rsidRPr="009342F9" w:rsidRDefault="000443A9"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5E23EF3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83" w:name="ver_30197517"/>
      <w:bookmarkStart w:id="1884" w:name="ver_30075858"/>
      <w:bookmarkEnd w:id="1883"/>
    </w:p>
    <w:p w14:paraId="239C10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2.3.3.1.1.1. Objeto. Reglamentar los Planes Departamentales para el Manejo Empresarial de los Servicios de Agua y Saneamiento (PDA), con el fin de fortalecer la capacidad institucional de los participantes, establecer los aspectos que los conforman; complementar el componente de aseguramiento de la prestación de los servicios de agua potable y saneamiento básico; y, en general, contribuir a la eficiente ejecución de los Planes Departamentales. </w:t>
      </w:r>
    </w:p>
    <w:p w14:paraId="5C53D5BE" w14:textId="063961D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85" w:name="ver_30197518"/>
      <w:bookmarkStart w:id="1886" w:name="ver_30075861"/>
      <w:bookmarkEnd w:id="1884"/>
      <w:bookmarkEnd w:id="1885"/>
    </w:p>
    <w:p w14:paraId="173BB1FE" w14:textId="1E067F70" w:rsidR="00FC79C1" w:rsidRPr="009342F9" w:rsidRDefault="00FC79C1" w:rsidP="00F647A1">
      <w:pPr>
        <w:spacing w:after="0" w:line="240" w:lineRule="auto"/>
        <w:jc w:val="both"/>
        <w:rPr>
          <w:rFonts w:ascii="Arial" w:eastAsia="Times New Roman" w:hAnsi="Arial" w:cs="Arial"/>
          <w:color w:val="000000"/>
          <w:lang w:eastAsia="es-CO"/>
        </w:rPr>
      </w:pPr>
      <w:bookmarkStart w:id="1887" w:name="_Hlk47878660"/>
      <w:r w:rsidRPr="009342F9">
        <w:rPr>
          <w:rFonts w:ascii="Arial" w:eastAsia="Times New Roman" w:hAnsi="Arial" w:cs="Arial"/>
          <w:color w:val="000000"/>
          <w:lang w:eastAsia="es-CO"/>
        </w:rPr>
        <w:t xml:space="preserve">Artículo 2.3.3.1.1.2. </w:t>
      </w:r>
      <w:bookmarkEnd w:id="1887"/>
      <w:r w:rsidRPr="009342F9">
        <w:rPr>
          <w:rFonts w:ascii="Arial" w:eastAsia="Times New Roman" w:hAnsi="Arial" w:cs="Arial"/>
          <w:color w:val="000000"/>
          <w:lang w:eastAsia="es-CO"/>
        </w:rPr>
        <w:t>Definición de los Planes Departamentales para el Manejo Empresarial de los Servicios de Agua y Saneamiento (PDA). Son un conjunto de estrategias de planeación y coordinación interinstitucional formuladas y ejecutadas con el objeto de lograr la armonización integral de recursos y la implementación de esquemas eficientes y sostenibles que garanticen el acceso a agua potable y saneamiento básico, teniendo en cuenta las características locales, la capacidad institucional de las entidades territoriales, las personas prestadoras de los servicios públicos, las comunidades organizadas y, la implementación efectiva de esquemas de regionalización y asociativos comunitarios. </w:t>
      </w:r>
    </w:p>
    <w:p w14:paraId="7A53C06E" w14:textId="6968618C" w:rsidR="00F647A1" w:rsidRPr="009342F9" w:rsidRDefault="00F647A1" w:rsidP="00F647A1">
      <w:pPr>
        <w:spacing w:after="0" w:line="240" w:lineRule="auto"/>
        <w:jc w:val="both"/>
        <w:rPr>
          <w:rFonts w:ascii="Arial" w:eastAsia="Times New Roman" w:hAnsi="Arial" w:cs="Arial"/>
          <w:color w:val="000000"/>
          <w:lang w:eastAsia="es-CO"/>
        </w:rPr>
      </w:pPr>
    </w:p>
    <w:p w14:paraId="288ED7E2" w14:textId="0127FDF8" w:rsidR="00F647A1" w:rsidRPr="009342F9" w:rsidRDefault="00F647A1" w:rsidP="00F647A1">
      <w:pPr>
        <w:pStyle w:val="BodyText"/>
        <w:spacing w:line="264" w:lineRule="auto"/>
        <w:ind w:right="310"/>
        <w:jc w:val="both"/>
        <w:rPr>
          <w:sz w:val="20"/>
          <w:szCs w:val="20"/>
        </w:rPr>
      </w:pPr>
      <w:r w:rsidRPr="009342F9">
        <w:rPr>
          <w:w w:val="105"/>
          <w:sz w:val="20"/>
          <w:szCs w:val="20"/>
        </w:rPr>
        <w:t xml:space="preserve">(Ver conceptos: </w:t>
      </w:r>
      <w:hyperlink r:id="rId34" w:history="1">
        <w:r w:rsidRPr="009342F9">
          <w:rPr>
            <w:rStyle w:val="Hyperlink"/>
            <w:w w:val="105"/>
            <w:sz w:val="20"/>
            <w:szCs w:val="20"/>
          </w:rPr>
          <w:t>C−190 del 16/04/2020</w:t>
        </w:r>
      </w:hyperlink>
      <w:r w:rsidRPr="009342F9">
        <w:rPr>
          <w:w w:val="105"/>
          <w:sz w:val="20"/>
          <w:szCs w:val="20"/>
        </w:rPr>
        <w:t>)</w:t>
      </w:r>
    </w:p>
    <w:bookmarkEnd w:id="1886"/>
    <w:p w14:paraId="52856695" w14:textId="77777777" w:rsidR="004E2147" w:rsidRPr="009342F9" w:rsidRDefault="004E2147" w:rsidP="00F647A1">
      <w:pPr>
        <w:spacing w:after="0" w:line="240" w:lineRule="auto"/>
        <w:jc w:val="both"/>
        <w:rPr>
          <w:rFonts w:ascii="Arial" w:eastAsia="Times New Roman" w:hAnsi="Arial" w:cs="Arial"/>
          <w:color w:val="000000"/>
          <w:lang w:eastAsia="es-CO"/>
        </w:rPr>
      </w:pPr>
    </w:p>
    <w:p w14:paraId="7B9564F6" w14:textId="626B8976"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2.3.3.1.1.3. Ámbito de aplicación. El presente capítulo se aplica a todos los participantes en la planeación, coordinación y ejecución interinstitucional de los Planes Departamentales para el Manejo Empresarial de los Servicios de Agua y Saneamiento (PDA), y a los instrumentos de administración de los recursos, que en virtud de la Ley 1176 de 2007, Ley 1450 de 2011, Ley 1530 de 2012 y Ley 1753 de 2015 o las normas que las modifiquen, complementen o sustituyan, pueden y deben ejecutarse a través de los Planes Departamentales para el Manejo Empresarial de los Servicios de Agua y Saneamiento (PDA).  </w:t>
      </w:r>
    </w:p>
    <w:p w14:paraId="113984B1" w14:textId="77777777" w:rsidR="004E2147" w:rsidRPr="009342F9" w:rsidRDefault="004E2147" w:rsidP="00FC79C1">
      <w:pPr>
        <w:spacing w:after="0" w:line="240" w:lineRule="auto"/>
        <w:jc w:val="both"/>
        <w:rPr>
          <w:rFonts w:ascii="Arial" w:eastAsia="Times New Roman" w:hAnsi="Arial" w:cs="Arial"/>
          <w:color w:val="000000"/>
          <w:lang w:eastAsia="es-CO"/>
        </w:rPr>
      </w:pPr>
      <w:bookmarkStart w:id="1888" w:name="ver_30197559"/>
      <w:bookmarkEnd w:id="1888"/>
    </w:p>
    <w:p w14:paraId="514ADFFF" w14:textId="62BD3F7D"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408022C3"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ESTRUCTURAS OPERATIVAS Y FUNCIONES</w:t>
      </w:r>
    </w:p>
    <w:p w14:paraId="0EC2669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89" w:name="ver_30197561"/>
      <w:bookmarkEnd w:id="1889"/>
    </w:p>
    <w:p w14:paraId="52E74B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2.3.3.1.2.1. Estructuras Operativas de los Planes Departamentales para el Manejo Empresarial de los Servicios de Agua y Saneamiento (PDA). Cada Plan Departamental para el Manejo Empresarial de los Servicios de Agua y Saneamiento tendrá las siguientes estructuras operativas:  </w:t>
      </w:r>
    </w:p>
    <w:p w14:paraId="0E42D6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25EA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Gestor.  </w:t>
      </w:r>
    </w:p>
    <w:p w14:paraId="0AA4E5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132E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Comité Directivo. </w:t>
      </w:r>
    </w:p>
    <w:p w14:paraId="671D383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90" w:name="ver_30197564"/>
      <w:bookmarkEnd w:id="1890"/>
    </w:p>
    <w:p w14:paraId="6703032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91" w:name="_Hlk47878618"/>
      <w:r w:rsidRPr="009342F9">
        <w:rPr>
          <w:rFonts w:ascii="Arial" w:eastAsia="Times New Roman" w:hAnsi="Arial" w:cs="Arial"/>
          <w:color w:val="000000"/>
          <w:lang w:eastAsia="es-CO"/>
        </w:rPr>
        <w:t>Artículo 2.3.3.1.2.2</w:t>
      </w:r>
      <w:bookmarkEnd w:id="1891"/>
      <w:r w:rsidRPr="009342F9">
        <w:rPr>
          <w:rFonts w:ascii="Arial" w:eastAsia="Times New Roman" w:hAnsi="Arial" w:cs="Arial"/>
          <w:color w:val="000000"/>
          <w:lang w:eastAsia="es-CO"/>
        </w:rPr>
        <w:t>. El Gestor. El Gestor es el responsable de la gestión, planeación, implementación, ejecución de los Planes Departamentales para el Manejo Empresarial de los Servicios de Agua y Saneamiento (PDA) y los asuntos relacionados con agua potable y saneamiento básico en el departamento.  </w:t>
      </w:r>
    </w:p>
    <w:p w14:paraId="799BDE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BB97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Podrán ser gestores, el departamento o las empresas de servicios públicos de acueducto, alcantarillado y aseo del orden departamental, siempre que sus estatutos permitan la vinculación como socios a los municipios y distritos del respectivo departamento que así lo soliciten.  </w:t>
      </w:r>
    </w:p>
    <w:p w14:paraId="16BB69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C7EE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ejercer sus funciones, el Gestor en su estructura interna contará como mínimo con los siguientes componentes: i) aseguramiento de la prestación de los servicios de agua potable y saneamiento básico, ii) gestión social, iii) infraestructura, ambiental, gestión del riesgo,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planeación, v) jurídica, vi) administrativa y vii) financiera. Los perfiles de los profesionales requeridos deberán estar acordes con las funciones a ejercer en cada una de las áreas y estar aprobados, en los casos que aplique, por el Gobernador con el apoyo de la dependencia que este determine para tal fin.  </w:t>
      </w:r>
    </w:p>
    <w:p w14:paraId="4716CE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F2FD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casos que el Gestor sea una empresa de servicios públicos, atendiendo a lo dispuesto por el artículo 18 de la ley 142 de 1994 o la norma que la modifique, complemente o sustituya, deberá tener información contable, financiera y presupuestal independiente de sus actividades como prestador. </w:t>
      </w:r>
    </w:p>
    <w:p w14:paraId="3EF2B363" w14:textId="77777777" w:rsidR="00F647A1" w:rsidRPr="009342F9" w:rsidRDefault="00F647A1" w:rsidP="00F647A1">
      <w:pPr>
        <w:pStyle w:val="BodyText"/>
        <w:spacing w:line="264" w:lineRule="auto"/>
        <w:ind w:right="316"/>
        <w:jc w:val="both"/>
        <w:rPr>
          <w:w w:val="105"/>
          <w:sz w:val="20"/>
          <w:szCs w:val="20"/>
        </w:rPr>
      </w:pPr>
      <w:bookmarkStart w:id="1892" w:name="ver_30197566"/>
      <w:bookmarkStart w:id="1893" w:name="ver_30075864"/>
      <w:bookmarkEnd w:id="1892"/>
    </w:p>
    <w:p w14:paraId="2E06717A" w14:textId="30EB226C" w:rsidR="00F647A1" w:rsidRPr="009342F9" w:rsidRDefault="00F647A1" w:rsidP="00F647A1">
      <w:pPr>
        <w:pStyle w:val="BodyText"/>
        <w:spacing w:line="264" w:lineRule="auto"/>
        <w:ind w:right="316"/>
        <w:jc w:val="both"/>
        <w:rPr>
          <w:sz w:val="20"/>
          <w:szCs w:val="20"/>
        </w:rPr>
      </w:pPr>
      <w:r w:rsidRPr="009342F9">
        <w:rPr>
          <w:w w:val="105"/>
          <w:sz w:val="20"/>
          <w:szCs w:val="20"/>
        </w:rPr>
        <w:t xml:space="preserve">(Ver conceptos: </w:t>
      </w:r>
      <w:hyperlink r:id="rId35" w:history="1">
        <w:r w:rsidRPr="009342F9">
          <w:rPr>
            <w:rStyle w:val="Hyperlink"/>
            <w:w w:val="105"/>
            <w:sz w:val="20"/>
            <w:szCs w:val="20"/>
          </w:rPr>
          <w:t>C−190 del 16/04/2020</w:t>
        </w:r>
      </w:hyperlink>
      <w:r w:rsidRPr="009342F9">
        <w:rPr>
          <w:w w:val="105"/>
          <w:sz w:val="20"/>
          <w:szCs w:val="20"/>
        </w:rPr>
        <w:t>)</w:t>
      </w:r>
    </w:p>
    <w:p w14:paraId="2232CC01" w14:textId="77777777" w:rsidR="00F647A1" w:rsidRPr="009342F9" w:rsidRDefault="00F647A1" w:rsidP="00FC79C1">
      <w:pPr>
        <w:spacing w:after="0" w:line="240" w:lineRule="auto"/>
        <w:jc w:val="both"/>
        <w:rPr>
          <w:rFonts w:ascii="Arial" w:eastAsia="Times New Roman" w:hAnsi="Arial" w:cs="Arial"/>
          <w:color w:val="000000"/>
          <w:lang w:eastAsia="es-CO"/>
        </w:rPr>
      </w:pPr>
    </w:p>
    <w:p w14:paraId="41F175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2.3.3.1.2.3. Funciones del Gestor. Son funciones del Gestor:  </w:t>
      </w:r>
    </w:p>
    <w:p w14:paraId="672CC2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Desarrollar las acciones necesarias para alcanzar el cumplimiento de los objetivos de la política del sector de agua potable y saneamiento básico; la observancia de los principios y el cumplimiento de los objetivos y las metas de los Planes Departamentales para el Manejo Empresarial de los Servicios de Agua y Saneamiento (PDA).  </w:t>
      </w:r>
    </w:p>
    <w:p w14:paraId="3B4145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12D3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Gestionar a nivel departamental los asuntos relacionados con el sector de agua potable y saneamiento básico como representante del Gobernador cuando el departamento lo requiera, así como, prestar asistencia a los municipios y distritos del departamento, vinculados a los Planes Departamentales para el Manejo Empresarial de los Servicios de Agua y Saneamiento (PDA), en los temas relacionados con el acceso sostenible a agua potable y saneamiento básico en la zona urbana y rural.  </w:t>
      </w:r>
    </w:p>
    <w:p w14:paraId="373963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A5B5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Coordinar las acciones de los participantes de los Planes Departamentales para el Manejo Empresarial de los Servicios de Agua y Saneamiento (PDA)y adelantar, junto con el Gobernador del respectivo departamento, el proceso de vinculación de los municipios y distritos, autoridades ambientales y demás participantes de los Planes Departamentales para el Manejo Empresarial de los Servicios de Agua y Saneamiento (PDA).  </w:t>
      </w:r>
    </w:p>
    <w:p w14:paraId="03269F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C00B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Ejercer la Secretaría Técnica del Comité Directivo del que trata el artículo 2.3.3.1.2.4. del presente capítulo y en tal condición convocar con anticipación a las sesiones de los Comités, elaborar actas de cada una de las sesiones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y custodiar y mantener el archivo de dichas actas. De igual forma, deberá preparar y recopilar la totalidad de los documentos que se requieran para las sesiones y remitirlos con la debida antelación a los integrantes del Comité.  </w:t>
      </w:r>
    </w:p>
    <w:p w14:paraId="11775F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A728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Elaborar y concertar con el departamento las propuestas de los instrumentos de planeación y sus modificaciones, soportadas técnica, económica y legalmente, para ser presentados al Comité Directivo del que trata el artículo 2.3.3.1.2.4. del presente capítulo.  </w:t>
      </w:r>
    </w:p>
    <w:p w14:paraId="46C267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0A26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Ejecutar todas las acciones necesarias para dar cumplimiento al contenido de los instrumentos de planeación aprobados por el Comité Directivo del que trata el artículo 2.3.3.1.2.4. del presente capítulo, acatar las instrucciones dadas por el Comité y tomar las medidas necesarias para su cumplimiento.  </w:t>
      </w:r>
    </w:p>
    <w:p w14:paraId="3F7C2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CA95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Promover, estructurar y adelantar las acciones necesarias para apoyar a los municipios y distritos en su competencia de asegurar la prestación de los servicios de agua potable y saneamiento básico, entre otras:  </w:t>
      </w:r>
    </w:p>
    <w:p w14:paraId="0BD379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F183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7.1. La asistencia administrativa, financiera, comercial, técnica, operativa, social y jurídica para la implementación por parte de los municipios y distritos de los esquemas que permitan el aseguramiento en la prestación de los servicios en un municipio o grupo de municipios o distritos del departamento, de acuerdo con lo aprobado por el Comité Directivo del que trata el artículo 2.3.3.1.2.4. del presente capítulo.  </w:t>
      </w:r>
    </w:p>
    <w:p w14:paraId="2E3F4E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B5ED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7.2. Informar por escrito a la Superintendencia de Servicios Públicos Domiciliarios, los resultados de los planes de aseguramiento una vez finalice la ejecución de cada fase.  </w:t>
      </w:r>
    </w:p>
    <w:p w14:paraId="576596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49AE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7.3. Apoyar al departamento en su tarea de promover y adelantar, las gestiones necesarias para que los prestadores de los servicios públicos de acueducto, alcantarillado y aseo que operan en los municipios o distritos vinculados a los Planes Departamentales para el Manejo Empresarial de los Servicios de Agua y Saneamiento (PDA), reporten la información al Sistema Único de Información (SUI), o el que haga sus veces, con la oportunidad y calidad que establezca la Superintendencia de Servicios Públicos Domiciliarios, así como también a los demás sistemas de información que se implementen.  </w:t>
      </w:r>
    </w:p>
    <w:p w14:paraId="78AA78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D587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7.4. Asistir a las entidades territoriales en la implementación de la estrategia de monitoreo, seguimiento y control establecida en el Decreto Ley 028 de 2008 o la norma que lo modifique, complemente o sustituya y apoyar a los departamentos en lo dispuesto en la Ley 1977 de 2019.  </w:t>
      </w:r>
    </w:p>
    <w:p w14:paraId="20B175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F715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Dar las instrucciones necesarias al instrumento para el manejo de recursos, en los eventos en que haya sido delegado y en los términos y condiciones previstos en el respectivo contrato, para que realice los pagos necesarios para la ejecución de los Planes Departamentales para el Manejo Empresarial de los Servicios de Agua y Saneamiento (PDA).  </w:t>
      </w:r>
    </w:p>
    <w:p w14:paraId="6BF495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06D9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Gestionar e implementar directamente o en conjunto con los participantes, alternativas de financiación de los Planes Departamentales para el Manejo Empresarial de los Servicios de Agua y Saneamiento (PDA).  </w:t>
      </w:r>
    </w:p>
    <w:p w14:paraId="1ED501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A7F2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En concordancia con la naturaleza jurídica de los instrumentos de financiación, estructurar e implementar instrumentos financieros para el apalancamiento de recursos, o gestionar y tomar créditos para la ejecución e implementación de los Planes Departamentales para el Manejo Empresarial de los Servicios de Agua y Saneamiento (PDA) con cargo a los recursos comprometidos por los participantes.  </w:t>
      </w:r>
    </w:p>
    <w:p w14:paraId="0200B9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D091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 Apoyar al departamento en la planeación y priorización de inversiones del sector agua potable y saneamiento básico; realizar la estructuración y presentación de los proyectos a través de los mecanismos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así como, las correcciones o modificaciones necesarias de los mismos. No obstante, lo anterior, los municipios y distritos podrán presentar los proyectos ante el mecanismo nacional 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w:t>
      </w:r>
    </w:p>
    <w:p w14:paraId="0C76BB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F75309" w14:textId="22161A2C"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Adelantar procesos de contratación con cargo a los recursos de los Planes Departamentales para el Manejo Empresarial de los Servicios de Agua y Saneamiento (PDA) una vez los proyectos hayan sido viabilizados cuando aplique, de acuerdo con lo previsto en el presente capítulo, el Manual Operativo señalado en el artículo 2.3.3.1.5.2., el Plan Estratégico de Inversiones señalado en el artículo 2.3.3.1.5.3. y el Plan de Aseguramiento de la Prestación de los Servicios 2.3.3.1.5.4, velando por la pluralidad de oferentes y la publicidad de dichos procesos y de acuerdo con la normatividad contractual aplicable.  </w:t>
      </w:r>
    </w:p>
    <w:p w14:paraId="44F6CF71" w14:textId="4B810A80" w:rsidR="00F647A1" w:rsidRPr="009342F9" w:rsidRDefault="00F647A1" w:rsidP="00F647A1">
      <w:pPr>
        <w:spacing w:after="0" w:line="240" w:lineRule="auto"/>
        <w:jc w:val="both"/>
        <w:rPr>
          <w:rFonts w:ascii="Arial" w:eastAsia="Times New Roman" w:hAnsi="Arial" w:cs="Arial"/>
          <w:color w:val="000000"/>
          <w:lang w:eastAsia="es-CO"/>
        </w:rPr>
      </w:pPr>
    </w:p>
    <w:p w14:paraId="3AD04F92" w14:textId="0DF05E0B" w:rsidR="00F647A1" w:rsidRPr="009342F9" w:rsidRDefault="00F647A1" w:rsidP="00F647A1">
      <w:pPr>
        <w:tabs>
          <w:tab w:val="left" w:pos="617"/>
        </w:tabs>
        <w:spacing w:after="0" w:line="264" w:lineRule="auto"/>
        <w:ind w:right="310"/>
        <w:rPr>
          <w:rFonts w:ascii="Arial" w:hAnsi="Arial" w:cs="Arial"/>
          <w:sz w:val="20"/>
          <w:szCs w:val="20"/>
        </w:rPr>
      </w:pPr>
      <w:r w:rsidRPr="009342F9">
        <w:rPr>
          <w:rFonts w:ascii="Arial" w:hAnsi="Arial" w:cs="Arial"/>
          <w:sz w:val="20"/>
          <w:szCs w:val="20"/>
        </w:rPr>
        <w:t xml:space="preserve">(Ver conceptos: </w:t>
      </w:r>
      <w:hyperlink r:id="rId36" w:history="1">
        <w:r w:rsidRPr="009342F9">
          <w:rPr>
            <w:rStyle w:val="Hyperlink"/>
            <w:rFonts w:ascii="Arial" w:hAnsi="Arial" w:cs="Arial"/>
            <w:sz w:val="20"/>
            <w:szCs w:val="20"/>
          </w:rPr>
          <w:t>C−190 del 16/04/2020</w:t>
        </w:r>
      </w:hyperlink>
      <w:r w:rsidRPr="009342F9">
        <w:rPr>
          <w:rFonts w:ascii="Arial" w:hAnsi="Arial" w:cs="Arial"/>
          <w:sz w:val="20"/>
          <w:szCs w:val="20"/>
        </w:rPr>
        <w:t>)</w:t>
      </w:r>
    </w:p>
    <w:p w14:paraId="4839681F" w14:textId="77777777"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5C3DA9" w14:textId="77777777"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Preparar, convocar y desarrollar audiencias públicas de rendición de cuentas para el seguimiento a los avances de los Planes Departamentales para el Manejo Empresarial de los Servicios de Agua y Saneamiento (PDA), así como suministrar la información requerida por los órganos de control.  </w:t>
      </w:r>
    </w:p>
    <w:p w14:paraId="36B652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8474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Remitir informes al Comité Directivo y al Ministerio de Vivienda, Ciudad y Territorio, sobre la ejecución de los instrumentos de planeación así:  </w:t>
      </w:r>
    </w:p>
    <w:p w14:paraId="736575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5BD0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14.1. Informe sobre el estado y avance del aseguramiento de la prestación de los servicios de agua potable y saneamiento básico de cada uno de los municipios y distritos que conforman el Plan Departamental para el Manejo Empresarial de los Servicios de Agua y Saneamiento de su jurisdicción, con la metodología y periodicidad que establezca el Ministerio de Vivienda, Ciudad y Territorio.  </w:t>
      </w:r>
    </w:p>
    <w:p w14:paraId="5B57F1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E966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14.2. Informe bimestral de la ejecución y seguimiento del Plan Departamental para el Manejo Empresarial de los Servicios de Agua y Saneamiento y de sus instrumentos de planeación, de acuerdo con el formato y medios que el Ministerio de Vivienda, Ciudad y Territorio determine para tal fin. En el informe también se señalará el avance del Plan Estratégico de Inversiones, detallando el cumplimiento de los cronogramas allí fijados, las metas propuestas, el estado de avance de los proyectos en ejecución y de los procesos de contratación.  </w:t>
      </w:r>
    </w:p>
    <w:p w14:paraId="300256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AEA1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Reportar y mantener actualizado el diagnóstico técnico base en el sistema de información que facilite el seguimiento a los Planes Departamentales para el Manejo Empresarial de los Servicios de Agua y Saneamiento (PDA), en los términos en que lo señale el ministerio de Vivienda, Ciudad y Territorio y los indicadores para el sector de agua potable y saneamiento básico establecidos por el Gobierno nacional. Asimismo, realizar el cargue de los instrumentos de planeación en el sistema de información que determine ese ministerio.  </w:t>
      </w:r>
    </w:p>
    <w:p w14:paraId="1A74A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8A96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 Recopilar, consolidar y reportar la siguiente información:  </w:t>
      </w:r>
    </w:p>
    <w:p w14:paraId="24C1A2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7BB7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16.1. Inversiones del sector de agua potable y saneamiento básico, en especial las que se ejecuten en el marco de los Planes Departamentales para el Manejo Empresarial de los Servicios de Agua y Saneamiento (PDA) para efectos de planeación y con el apoyo de las entidades territoriales.  </w:t>
      </w:r>
    </w:p>
    <w:p w14:paraId="2C45AD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21A6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16.2. La que solicite el Departamento Nacional de Planeación (DNP) para la elaboración del índice para la medición de la capacidad institucional y de resultados de los Planes Departamentales para el Manejo Empresarial de los Servicios de Agua y Saneamiento (PDA), a que hace referencia la Sección 6 del presente capítulo.  </w:t>
      </w:r>
    </w:p>
    <w:p w14:paraId="0E0875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A066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17. Las demás que, de acuerdo con su naturaleza jurídica, le estén autorizadas por la normativa vigente.  </w:t>
      </w:r>
    </w:p>
    <w:p w14:paraId="25845E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3B3D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Cuando los Gestores de los Planes Departamentales para el Manejo Empresarial de los Servicios de Agua y Saneamiento (PDA) sean empresas de servicios públicos de acueducto, alcantarillado y aseo del orden departamental, deberá celebrarse un contrato o convenio entre el departamento y dicha empresa en el que se estipulen las obligaciones a cargo de la misma en condición de Gestor de acuerdo con lo aquí previsto, así como, aquellas que se consideren necesarias según cada caso concreto para atender otras necesidades del departamento dentro del marco del Plan Departamental. En dicho contrato, se establecerá la remuneración que recibirá el Gestor por las labores que deberá cumplir y ajustada a las condiciones del mercado.  </w:t>
      </w:r>
    </w:p>
    <w:p w14:paraId="15ABDF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B9A9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 las funciones de Gestor las realiza el departamento directamente, los costos inherentes a la ejecución de los productos que se desarrollen en cumplimiento de sus actividades como gestor, podrán ser computables como gastos inherentes a los Planes Departamentales para el Manejo Empresarial de los Servicios de Agua y Saneamiento (PDA).  </w:t>
      </w:r>
    </w:p>
    <w:p w14:paraId="01A0B4E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94" w:name="ver_30197569"/>
      <w:bookmarkStart w:id="1895" w:name="ver_30075866"/>
      <w:bookmarkEnd w:id="1893"/>
      <w:bookmarkEnd w:id="1894"/>
    </w:p>
    <w:p w14:paraId="0D49D6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2.3.3.1.2.4. Comité Directivo e integración. El Comité Directivo es la instancia encargada de aprobar el ejercicio de planificación y seguimiento para el desarrollo de los Planes Departamentales para el Manejo Empresarial de los Servicios de Agua y Saneamiento (PDA), incorporando un análisis de necesidades, recursos disponibles, metas e indicadores definidos por el departamento, el Gestor y los municipios y distritos.  </w:t>
      </w:r>
    </w:p>
    <w:p w14:paraId="64C3E1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B975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Existirá un Comité Directivo por cada departamento y se integrará de la siguiente manera: Participarán como miembros con voz y voto:  </w:t>
      </w:r>
    </w:p>
    <w:p w14:paraId="6AD629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14F9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Gobernador quien lo presidirá y no podrá delegar su participación.  </w:t>
      </w:r>
    </w:p>
    <w:p w14:paraId="00C28D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B53E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 Secretario departamental, designado por el Gobernador.  </w:t>
      </w:r>
    </w:p>
    <w:p w14:paraId="3E32B7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C91FE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Dos (2) alcaldes representantes de los municipios y distritos participantes del Plan Departamental para el Manejo Empresarial de los Servicios de Agua y Saneamiento. Dichos alcaldes serán elegidos por mayoría simple entre los alcaldes de los municipios y distritos participantes del respectivo Plan Departamental.  </w:t>
      </w:r>
    </w:p>
    <w:p w14:paraId="50D8D2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1826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Ministerio de Vivienda, Ciudad y Territorio a través del Viceministro de Agua y Saneamiento Básico o el funcionario de nivel directivo que este designe, de conformidad con lo establecido en el artículo 2.3.3.1.3.1. del presente capítulo.  </w:t>
      </w:r>
    </w:p>
    <w:p w14:paraId="1E9061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052D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Los directores de las autoridades ambientales con jurisdicción en los municipios y distritos ubicados en el territorio del respectivo departamento, que hayan suscrito el convenio al que hace referencia el numeral 3 del artículo 2.3.3.1.4.1. o su delegado. El delegado de la autoridad ambiental podrá participar y ejercer el derecho al voto cuando en la respectiva sesión se discutan proyectos de saneamiento ambiental que cuenten con financiación de dicha autoridad ambiental.  </w:t>
      </w:r>
    </w:p>
    <w:p w14:paraId="75AC5F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D0E9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El delegado del Departamento Nacional de Planeación (DNP) participará de conformidad con lo establecido en el artículo 2.3.3.1.3.2., del presente capítulo.  </w:t>
      </w:r>
    </w:p>
    <w:p w14:paraId="199546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CE46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Participará como miembro permanente, con voz, pero sin voto un (1) representante del Instrumento para el Manejo de Recursos.  </w:t>
      </w:r>
    </w:p>
    <w:p w14:paraId="1A702E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ADC3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Gestor o su representante asistirá a las sesiones del Comité Directivo ejerciendo su función de Secretaría Técnica.  </w:t>
      </w:r>
    </w:p>
    <w:p w14:paraId="11246D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9B32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Gobernador deberá convocar a los alcaldes para que estos adelanten el proceso de elección de sus representantes de acuerdo con lo que establezca el reglamento del Comité Directivo. Adicionalmente, el Gobernador publicará la convocatoria por una sola oportunidad en un medio que garantice la difusión en todos los municipios con cinco (5) días hábiles de anterioridad a la fecha de realización de la elección. Surtido el proceso de elección, los alcaldes informarán al Gobernador los representantes que resulten elegidos. Si transcurridos diez (10) días hábiles desde el momento en que el Gobernador hubiese realizado la publicación de la convocatoria, los alcaldes no informaren quiénes son los representantes elegidos, los mismos serán designados por el Gobernador.  </w:t>
      </w:r>
    </w:p>
    <w:p w14:paraId="021C2F55" w14:textId="43ECE23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896" w:name="ver_30197570"/>
      <w:bookmarkStart w:id="1897" w:name="ver_30075868"/>
      <w:bookmarkEnd w:id="1895"/>
      <w:bookmarkEnd w:id="1896"/>
    </w:p>
    <w:p w14:paraId="0E5091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2.3.3.1.2.5. Sesiones del Comité Directivo. El Comité Directivo de cada Plan Departamental para el Manejo Empresarial de los Servicios de Agua y Saneamiento se reunirá como mínimo cada seis (6) meses en el año en forma virtual o presencial, de acuerdo con las condiciones que establezca el manual operativo del respectivo Plan Departamental. No obstante, se realizará como mínimo una sesión presencial al año.  </w:t>
      </w:r>
    </w:p>
    <w:p w14:paraId="43F113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3F6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cualquier caso, el Gestor como Secretaría Técnica, podrá convocar al Comité Directivo cuando lo considere necesario. Esta convocatoria podrá ser realizada por solicitud de cualquiera de los miembros del Comité Directivo.  </w:t>
      </w:r>
    </w:p>
    <w:p w14:paraId="05C233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3AD4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en el Comité Directivo se tomen decisiones en relación con planes de obras e inversiones, proyectos específicos, estrategias para el aseguramiento de la prestación de los servicios relacionados con una entidad territorial o grupo de entidades territoriales en particular, los respectivos alcaldes podrán asistir como invitados a la sesión del Comité Directivo donde se traten los temas de su interés. </w:t>
      </w:r>
    </w:p>
    <w:p w14:paraId="2A5F6E6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898" w:name="ver_30197571"/>
      <w:bookmarkStart w:id="1899" w:name="ver_30075872"/>
      <w:bookmarkEnd w:id="1897"/>
      <w:bookmarkEnd w:id="1898"/>
    </w:p>
    <w:p w14:paraId="2A1A68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2.3.3.1.2.6. Quórum decisorio y </w:t>
      </w:r>
      <w:proofErr w:type="spellStart"/>
      <w:r w:rsidRPr="009342F9">
        <w:rPr>
          <w:rFonts w:ascii="Arial" w:eastAsia="Times New Roman" w:hAnsi="Arial" w:cs="Arial"/>
          <w:color w:val="000000"/>
          <w:lang w:eastAsia="es-CO"/>
        </w:rPr>
        <w:t>deliberatorio</w:t>
      </w:r>
      <w:proofErr w:type="spellEnd"/>
      <w:r w:rsidRPr="009342F9">
        <w:rPr>
          <w:rFonts w:ascii="Arial" w:eastAsia="Times New Roman" w:hAnsi="Arial" w:cs="Arial"/>
          <w:color w:val="000000"/>
          <w:lang w:eastAsia="es-CO"/>
        </w:rPr>
        <w:t>. Solo serán válidas las sesiones del Comité Directivo donde se cuente con la participación de por lo menos los siguientes integrantes:  </w:t>
      </w:r>
    </w:p>
    <w:p w14:paraId="5219EB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7D65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Gobernador.  </w:t>
      </w:r>
    </w:p>
    <w:p w14:paraId="30AF91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72D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Un alcalde que sea miembro del Comité Directivo.  </w:t>
      </w:r>
    </w:p>
    <w:p w14:paraId="290DA4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74DA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Ministerio de Vivienda, Ciudad y Territorio a través del Viceministro de Agua y Saneamiento Básico o el funcionario de nivel directivo que este designe, en aquellos Comités Directivos en donde participe.  </w:t>
      </w:r>
    </w:p>
    <w:p w14:paraId="1CE56D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AA17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Existiendo quórum </w:t>
      </w:r>
      <w:proofErr w:type="spellStart"/>
      <w:r w:rsidRPr="009342F9">
        <w:rPr>
          <w:rFonts w:ascii="Arial" w:eastAsia="Times New Roman" w:hAnsi="Arial" w:cs="Arial"/>
          <w:color w:val="000000"/>
          <w:lang w:eastAsia="es-CO"/>
        </w:rPr>
        <w:t>deliberatorio</w:t>
      </w:r>
      <w:proofErr w:type="spellEnd"/>
      <w:r w:rsidRPr="009342F9">
        <w:rPr>
          <w:rFonts w:ascii="Arial" w:eastAsia="Times New Roman" w:hAnsi="Arial" w:cs="Arial"/>
          <w:color w:val="000000"/>
          <w:lang w:eastAsia="es-CO"/>
        </w:rPr>
        <w:t>, las decisiones se adoptarán por la mayoría simple de los miembros asistentes. Lo anterior, sin perjuicio de lo establecido en el parágrafo 2 del presente artículo.  </w:t>
      </w:r>
    </w:p>
    <w:p w14:paraId="204F3F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30B2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el caso de la aprobación y modificación de los instrumentos de planeación, en aquellos Comités Directivos de los Planes Departamentales para el Manejo Empresarial de los Servicios de Agua y Saneamiento (PDA) clasificados en Nivel Alto de conformidad con lo dispuesto en los artículos 2.3.3.1.3.1. y 2.3.3.1.6.1. del presente capítulo, se requerirá voto unánime de los miembros del Comité, que asistan a la sesión, para la adopción de la respectiva decisión.  </w:t>
      </w:r>
    </w:p>
    <w:p w14:paraId="363408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243A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3°. Todas las decisiones del Comité Directivo quedarán consignadas en actas que serán firmadas por el </w:t>
      </w:r>
      <w:proofErr w:type="gramStart"/>
      <w:r w:rsidRPr="009342F9">
        <w:rPr>
          <w:rFonts w:ascii="Arial" w:eastAsia="Times New Roman" w:hAnsi="Arial" w:cs="Arial"/>
          <w:color w:val="000000"/>
          <w:lang w:eastAsia="es-CO"/>
        </w:rPr>
        <w:t>Presidente</w:t>
      </w:r>
      <w:proofErr w:type="gramEnd"/>
      <w:r w:rsidRPr="009342F9">
        <w:rPr>
          <w:rFonts w:ascii="Arial" w:eastAsia="Times New Roman" w:hAnsi="Arial" w:cs="Arial"/>
          <w:color w:val="000000"/>
          <w:lang w:eastAsia="es-CO"/>
        </w:rPr>
        <w:t xml:space="preserve"> y por la Secretaría Técnica del mismo.  </w:t>
      </w:r>
    </w:p>
    <w:p w14:paraId="59D5B7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E25C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Para los departamentos que cuenten en su ordenamiento territorial con Áreas No Municipalizadas (ANM) podrá prescindirse de la presencia de los representantes de los alcaldes en los eventos en los que se tomen decisiones relacionadas con las inversiones que beneficien únicamente a las Áreas No Municipalizadas (ANM) y que se financien exclusivamente con los recursos del Sistema General de Participaciones (SGP) de las Áreas No Municipalizadas (ANM).  </w:t>
      </w:r>
    </w:p>
    <w:p w14:paraId="64F7D2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4953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5°. En el caso de la aprobación y modificaciones de los instrumentos de planeación a que hace referencia la Sección 5 de este capítulo, se requerirá el voto favorable del delegado del Ministerio de Vivienda, Ciudad y Territorio de conformidad con lo establecido en el artículo 2.3.3.1.3.1. y del Gobernador para la adopción de la respectiva decisión.  </w:t>
      </w:r>
    </w:p>
    <w:p w14:paraId="2216A5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E1C8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Transitorio. Durante el tiempo transcurrido entre la entrada en vigencia del presente capítulo y la publicación del informe de la medición de la capacidad institucional y de resultados de los Planes Departamentales para el Manejo Empresarial de los Servicios de Agua y Saneamiento (PDA) al que hace referencia el artículo 2.3.3.1.6.1 del presente Capítulo, el Ministerio de Vivienda, Ciudad y Territorio hará parte de todos los Comités Directivos de los Planes Departamentales para el Manejo Empresarial de los Servicios de Agua y Saneamiento (PDA). </w:t>
      </w:r>
    </w:p>
    <w:p w14:paraId="1E991B9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00" w:name="ver_30197572"/>
      <w:bookmarkEnd w:id="1899"/>
      <w:bookmarkEnd w:id="1900"/>
    </w:p>
    <w:p w14:paraId="72C349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2.3.3.1.2.7. Funciones del Comité Directivo. Son funciones del Comité Directivo:  </w:t>
      </w:r>
    </w:p>
    <w:p w14:paraId="48E53D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7A31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Aprobar, atendiendo el contenido mínimo previsto en la sección de instrumentos de planeación del presente capítulo, con base en la propuesta elaborada por el Gestor, y los lineamientos definidos por el Ministerio de Vivienda, Ciudad y Territorio, los instrumentos de planeación, así como las modificaciones respectivas.  </w:t>
      </w:r>
    </w:p>
    <w:p w14:paraId="73D206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4AB8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Revisar, ajustar y aprobar las metas de los Planes Departamentales para el Manejo Empresarial de los Servicios de Agua y Saneamiento (PDA) de acuerdo con las fuentes de financiación disponibles y el análisis presentado por el Gestor del Plan Departamental.  </w:t>
      </w:r>
    </w:p>
    <w:p w14:paraId="5CA1B3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6658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Aprobar, con base en el convenio suscrito entre la autoridad ambiental participante y el departamento respectivo, la propuesta presentada sobre los esquemas de trabajo y articulación de dicha autoridad ambiental con los demás participantes del Plan Departamental para el Manejo Empresarial de los Servicios de Agua y Saneamiento, así como las modificaciones a dichos esquemas que resulten necesarios. Esta propuesta deberá concertarse con el Gestor y estar incluida en el Plan Ambiental de que trata el artículo 2.3.3.1.5.5 del presente capítulo.  </w:t>
      </w:r>
    </w:p>
    <w:p w14:paraId="6B70F1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F529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Darse su propio reglamento.  </w:t>
      </w:r>
    </w:p>
    <w:p w14:paraId="663E88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F638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Las demás que le otorgue la normativa vigente, con el fin de implementar los Planes  </w:t>
      </w:r>
    </w:p>
    <w:p w14:paraId="0BD263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4F92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Departamentales para el Manejo Empresarial de los Servicios de Agua y Saneamiento (PDA).  </w:t>
      </w:r>
    </w:p>
    <w:p w14:paraId="04BF7B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02B2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3BAC9B"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01" w:name="ver_30075874"/>
      <w:bookmarkEnd w:id="1901"/>
      <w:r w:rsidRPr="009342F9">
        <w:rPr>
          <w:rFonts w:ascii="Arial" w:eastAsia="Times New Roman" w:hAnsi="Arial" w:cs="Arial"/>
          <w:b/>
          <w:bCs/>
          <w:color w:val="000000"/>
          <w:lang w:eastAsia="es-CO"/>
        </w:rPr>
        <w:t>SECCIÓN 3</w:t>
      </w:r>
    </w:p>
    <w:p w14:paraId="5B59837C"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PARTICIPACIÓN DE LAS AUTORIDADES DEL ORDEN NACIONAL</w:t>
      </w:r>
    </w:p>
    <w:p w14:paraId="1416095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02" w:name="ver_30197574"/>
      <w:bookmarkEnd w:id="1902"/>
    </w:p>
    <w:p w14:paraId="2C70E1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2.3.3.1.3.1. Participación del Ministerio de Vivienda, Ciudad y Territorio. La participación del Ministerio de Vivienda, Ciudad y </w:t>
      </w:r>
      <w:proofErr w:type="gramStart"/>
      <w:r w:rsidRPr="009342F9">
        <w:rPr>
          <w:rFonts w:ascii="Arial" w:eastAsia="Times New Roman" w:hAnsi="Arial" w:cs="Arial"/>
          <w:color w:val="000000"/>
          <w:lang w:eastAsia="es-CO"/>
        </w:rPr>
        <w:t>Territorio,</w:t>
      </w:r>
      <w:proofErr w:type="gramEnd"/>
      <w:r w:rsidRPr="009342F9">
        <w:rPr>
          <w:rFonts w:ascii="Arial" w:eastAsia="Times New Roman" w:hAnsi="Arial" w:cs="Arial"/>
          <w:color w:val="000000"/>
          <w:lang w:eastAsia="es-CO"/>
        </w:rPr>
        <w:t xml:space="preserve"> se realizará en los siguientes términos:  </w:t>
      </w:r>
    </w:p>
    <w:p w14:paraId="017BCA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041A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Ministerio de Vivienda, Ciudad y Territorio definirá su participación en los Comités Directivos de los Planes Departamentales para el Manejo Empresarial de los Servicios de Agua y Saneamiento (PDA) de acuerdo con el índice al que hace referencia la Sección 6 de este capítulo de la siguiente manera:  </w:t>
      </w:r>
    </w:p>
    <w:p w14:paraId="097425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BC2D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Nivel Alto. Para aquellos departamentos que resulten clasificados en el Nivel Alto, el Ministerio de Vivienda, Ciudad y Territorio no hará parte del Comité Directivo del respectivo Plan Departamental.  </w:t>
      </w:r>
    </w:p>
    <w:p w14:paraId="1924A0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350E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Nivel Medio. Para aquellos departamentos que resulten clasificados en el Nivel Medio, el Ministerio de Vivienda, Ciudad y Territorio hará parte del Comité Directivo del respectivo Plan Departamental con voz y voto para la aprobación y modificación de los instrumentos de planeación a que hace referencia la Sección 5 del presente capítulo.  </w:t>
      </w:r>
    </w:p>
    <w:p w14:paraId="676ABB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AB2F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Nivel Bajo. Para aquellos departamentos que resulten clasificados en el Nivel Bajo, el Ministerio de Vivienda, Ciudad y Territorio hará parte del Comité Directivo del respectivo Plan Departamental con voz y voto para la aprobación y modificación de los instrumentos de planeación a que hace referencia la Sección 5 de este capítulo y verificará la estructura interna del Gestor con el fin de realizar recomendaciones al Gobernador, sin que ello implique corresponsabilidad en la supervisión a las labores que este desarrolla.  </w:t>
      </w:r>
    </w:p>
    <w:p w14:paraId="364C07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CFF8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Definir mediante acto administrativo los lineamientos de los instrumentos de planeación a los que hace referencia la Sección 5 de este capítulo.  </w:t>
      </w:r>
    </w:p>
    <w:p w14:paraId="4E7C3E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7F60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Apoyar en la formulación del Plan Ambiental que los planes, programas y proyectos de agua y saneamiento básico, estén articulados con los lineamientos ambientales definidos por la respectiva Corporación Autónoma Regional.  </w:t>
      </w:r>
    </w:p>
    <w:p w14:paraId="24ACB7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482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Formular acciones y prestar asistencia técnica diferenciada producto de la medición de desempeño a que hace referencia la Sección 6 del presente capítulo. Esta asistencia se prestará en todos los niveles de clasificación de los Planes Departamentales para el Manejo Empresarial de los Servicios de Agua y Saneamiento (PDA), sin embargo, en el Nivel Alto se realizará por solicitud del departamento.  </w:t>
      </w:r>
    </w:p>
    <w:p w14:paraId="75199A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4FDA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definirá los lineamientos para el desarrollo de esta función.  </w:t>
      </w:r>
    </w:p>
    <w:p w14:paraId="7C74CF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52AE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los Planes Departamentales para el Manejo Empresarial de los Servicios de Agua y Saneamiento (PDA) de Nivel Alto, el departamento concertará con el Ministerio de Vivienda, Ciudad y Territorio los proyectos que se financiarán con recursos del orden nacional.  </w:t>
      </w:r>
    </w:p>
    <w:p w14:paraId="06EAFB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C765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Ministerio de Vivienda, Ciudad y Territorio participará con voz y voto en todos los Comités Directivos de los Planes Departamentales para el Manejo Empresarial de los Servicios de Agua y Saneamiento (PDA), cuando se vaya a discutir y aprobar los instrumentos de planeación de que trata la Sección 5 del presente capítulo. </w:t>
      </w:r>
    </w:p>
    <w:p w14:paraId="3A95AA6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03" w:name="ver_30197575"/>
      <w:bookmarkEnd w:id="1903"/>
    </w:p>
    <w:p w14:paraId="1AB77A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2.3.3.1.3.2. Participación del Departamento Nacional de Planeación (DNP). El Departamento Nacional de Planeación (DNP), en el marco de sus competencias, participará en los Planes Departamentales para el Manejo Empresarial de los Servicios de Agua y Saneamiento (PDA), desarrollando las siguientes acciones:  </w:t>
      </w:r>
    </w:p>
    <w:p w14:paraId="0BEA2B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8DA9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Realizar la medición de la capacidad institucional y de resultados de los Planes Departamentales para el Manejo Empresarial de los Servicios de Agua y Saneamiento (PDA), a través del índice a que hace referencia la Sección 6 del presente capítulo.  </w:t>
      </w:r>
    </w:p>
    <w:p w14:paraId="22A8DD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5339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Participar en los comités directivos con voz y voto, cuando se vaya a discutir y aprobar los instrumentos de planeación de que trata la Sección 5 del presente capítulo.  </w:t>
      </w:r>
    </w:p>
    <w:p w14:paraId="6AD2C1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4D23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Las modificaciones de los instrumentos de planeación no requerirán aprobación del Departamento Nacional de Planeación (DNP). En todo caso para efectos de la medición de la capacidad institucional y de resultados, el Departamento Nacional de Planeación (DNP) participará en el primer Comité Directivo de cada año, en el que se presente el avance en la ejecución de los instrumentos de planeación. </w:t>
      </w:r>
    </w:p>
    <w:p w14:paraId="76EAB8A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04" w:name="ver_30197792"/>
      <w:bookmarkStart w:id="1905" w:name="ver_30075875"/>
      <w:bookmarkEnd w:id="1904"/>
    </w:p>
    <w:p w14:paraId="25BB1532" w14:textId="6CEC301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2.3.3.1.3.7. Subrogado</w:t>
      </w:r>
      <w:r w:rsidR="000443A9">
        <w:rPr>
          <w:rFonts w:ascii="Arial" w:eastAsia="Times New Roman" w:hAnsi="Arial" w:cs="Arial"/>
          <w:color w:val="000000"/>
          <w:lang w:eastAsia="es-CO"/>
        </w:rPr>
        <w:t>.</w:t>
      </w:r>
    </w:p>
    <w:p w14:paraId="2B3588A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06" w:name="ver_30197798"/>
      <w:bookmarkStart w:id="1907" w:name="ver_30075878"/>
      <w:bookmarkEnd w:id="1905"/>
      <w:bookmarkEnd w:id="1906"/>
    </w:p>
    <w:p w14:paraId="3FC72C01" w14:textId="1D0C126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2.3.3.1.3.8. Subrogado</w:t>
      </w:r>
      <w:r w:rsidR="000443A9">
        <w:rPr>
          <w:rFonts w:ascii="Arial" w:eastAsia="Times New Roman" w:hAnsi="Arial" w:cs="Arial"/>
          <w:color w:val="000000"/>
          <w:lang w:eastAsia="es-CO"/>
        </w:rPr>
        <w:t>.</w:t>
      </w:r>
    </w:p>
    <w:p w14:paraId="56EFFFF3"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3CE24C7" w14:textId="3BFDB946" w:rsidR="00FC79C1" w:rsidRDefault="00FC79C1" w:rsidP="000443A9">
      <w:pPr>
        <w:spacing w:after="0" w:line="240" w:lineRule="auto"/>
        <w:jc w:val="both"/>
        <w:rPr>
          <w:rFonts w:ascii="Arial" w:eastAsia="Times New Roman" w:hAnsi="Arial" w:cs="Arial"/>
          <w:color w:val="000000"/>
          <w:lang w:eastAsia="es-CO"/>
        </w:rPr>
      </w:pPr>
      <w:bookmarkStart w:id="1908" w:name="ver_30197855"/>
      <w:bookmarkStart w:id="1909" w:name="ver_30075880"/>
      <w:bookmarkEnd w:id="1907"/>
      <w:bookmarkEnd w:id="1908"/>
      <w:r w:rsidRPr="009342F9">
        <w:rPr>
          <w:rFonts w:ascii="Arial" w:eastAsia="Times New Roman" w:hAnsi="Arial" w:cs="Arial"/>
          <w:color w:val="000000"/>
          <w:lang w:eastAsia="es-CO"/>
        </w:rPr>
        <w:t>Artículo 2.3.3.1.3.9. Subrogado</w:t>
      </w:r>
      <w:r w:rsidR="000443A9">
        <w:rPr>
          <w:rFonts w:ascii="Arial" w:eastAsia="Times New Roman" w:hAnsi="Arial" w:cs="Arial"/>
          <w:color w:val="000000"/>
          <w:lang w:eastAsia="es-CO"/>
        </w:rPr>
        <w:t>.</w:t>
      </w:r>
    </w:p>
    <w:p w14:paraId="0FB980E2" w14:textId="77777777" w:rsidR="000443A9" w:rsidRPr="009342F9" w:rsidRDefault="000443A9" w:rsidP="000443A9">
      <w:pPr>
        <w:spacing w:after="0" w:line="240" w:lineRule="auto"/>
        <w:jc w:val="both"/>
        <w:rPr>
          <w:rFonts w:ascii="Arial" w:eastAsia="Times New Roman" w:hAnsi="Arial" w:cs="Arial"/>
          <w:b/>
          <w:bCs/>
          <w:color w:val="000000"/>
          <w:lang w:eastAsia="es-CO"/>
        </w:rPr>
      </w:pPr>
    </w:p>
    <w:p w14:paraId="298F150F"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10" w:name="ver_30075881"/>
      <w:bookmarkEnd w:id="1909"/>
      <w:bookmarkEnd w:id="1910"/>
      <w:r w:rsidRPr="009342F9">
        <w:rPr>
          <w:rFonts w:ascii="Arial" w:eastAsia="Times New Roman" w:hAnsi="Arial" w:cs="Arial"/>
          <w:b/>
          <w:bCs/>
          <w:color w:val="000000"/>
          <w:lang w:eastAsia="es-CO"/>
        </w:rPr>
        <w:t>SECCIÓN 4</w:t>
      </w:r>
    </w:p>
    <w:p w14:paraId="7127A1A2"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REQUISITOS PARA LA PARTICIPACIÓN DE LAS ENTIDADES TERRITORIALES Y LAS AUTORIDADES AMBIENTALES EN LOS PLANES DEPARTAMENTALES PARA EL MANEJO EMPRESARIAL DE LOS SERVICIOS DE AGUA Y SANEAMIENTO (PDA)</w:t>
      </w:r>
    </w:p>
    <w:p w14:paraId="1870C51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11" w:name="ver_30197868"/>
      <w:bookmarkEnd w:id="1911"/>
    </w:p>
    <w:p w14:paraId="39465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 Requisitos para la participación en los Planes Departamentales para el Manejo Empresarial de los Servicios de Agua y Saneamiento (PDA). Para participar de los Planes Departamentales para el Manejo Empresarial de los Servicios de Agua y Saneamiento (PDA), que se señalan a continuación, los diferentes participantes deberán cumplir los siguientes requisitos:  </w:t>
      </w:r>
    </w:p>
    <w:p w14:paraId="5B6B7C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88CC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Los departamentos. Los departamentos deberán suscribir un convenio con el Ministerio de Vivienda, Ciudad y Territorio a través del cual se comprometen a:  </w:t>
      </w:r>
    </w:p>
    <w:p w14:paraId="2C1E17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783E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Adoptar los lineamientos, principios y objetivos sectoriales de los Planes Departamentales para el Manejo Empresarial de los Servicios de Agua y Saneamiento (PDA).  </w:t>
      </w:r>
    </w:p>
    <w:p w14:paraId="34F052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A0C9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Implementar el instrumento para el manejo de recursos y aportar recursos para contribuir al cierre financiero en el marco de los Planes Departamentales para el Manejo Empresarial de los Servicios de Agua y Saneamiento (PDA).  </w:t>
      </w:r>
    </w:p>
    <w:p w14:paraId="6D641F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1273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Tomar las medidas que se requieran para facilitar la implementación y garantizar la ejecución de los Planes Departamentales para el Manejo Empresarial de los Servicios de Agua y Saneamiento (PDA) y realizar el seguimiento al gestor, cuando este sea una empresa de servicios públicos.  </w:t>
      </w:r>
    </w:p>
    <w:p w14:paraId="1FF7C0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9317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Efectuar las gestiones que resulten pertinentes, ante las autoridades municipales y fuerzas vivas del mismo, para su participación en los Planes Departamentales para el Manejo Empresarial de los Servicios de Agua y Saneamiento (PDA).  </w:t>
      </w:r>
    </w:p>
    <w:p w14:paraId="6BEAC5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9ECD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Los municipios y distritos. Para que un municipio o distrito participe en los Planes Departamentales para el Manejo Empresarial de los Servicios de Agua y Saneamiento (PDA) debe cumplir con los siguientes requisitos:  </w:t>
      </w:r>
    </w:p>
    <w:p w14:paraId="6F30DF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FFFF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Celebrar un convenio interadministrativo de cooperación con el gestor y el departamento, mediante el cual se compromete a:  </w:t>
      </w:r>
    </w:p>
    <w:p w14:paraId="37F9AD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7F76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Adoptar los lineamientos, principios y objetivos sectoriales de los Planes Departamentales para el Manejo Empresarial de los Servicios de Agua y Saneamiento (PDA) en concordancia con lo establecido en el Plan Nacional de Desarrollo y el presente capítulo.  </w:t>
      </w:r>
    </w:p>
    <w:p w14:paraId="34F7E4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F751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Implementar el instrumento para el manejo de recursos.  </w:t>
      </w:r>
    </w:p>
    <w:p w14:paraId="3F10CB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5E06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Aportar recursos para contribuir al cierre financiero en el marco de los Planes Departamentales para el Manejo Empresarial de los Servicios de Agua y Saneamiento (PDA).  </w:t>
      </w:r>
    </w:p>
    <w:p w14:paraId="6C1BF6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C2A5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 Implementar el esquema para el aseguramiento de la prestación de los servicios que se defina en desarrollo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515715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E771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Tomar las decisiones que resulten necesarias en relación con la infraestructura y los bienes afectos a la prestación de los servicios de agua potable y saneamiento básico de su propiedad.  </w:t>
      </w:r>
    </w:p>
    <w:p w14:paraId="0E05AB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Autorizar el giro directo de los recursos comprometidos en virtud de este artículo al respectivo instrumento para el manejo de los recursos.  </w:t>
      </w:r>
    </w:p>
    <w:p w14:paraId="0A83BD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020D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Directivo determinará si para efectos de su participación en los Planes Departamentales para el Manejo Empresarial de los Servicios de Agua y Saneamiento (PDA) el municipio o distrito puede prescindir de los requisitos previstos en los literales b y c del numeral 2.1 y el numeral 2.2. de este artículo, de acuerdo con lo previsto en el Manual Operativo del que trata el artículo 2.3.3.1.5.2 del presente capítulo. En estos casos, previo a la firma del convenio, el Comité Directivo aprobará la vinculación del municipio.  </w:t>
      </w:r>
    </w:p>
    <w:p w14:paraId="18C958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497B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Las autoridades ambientales. Las autoridades ambientales con jurisdicción en los municipios y distritos ubicados en el territorio del respectivo </w:t>
      </w:r>
      <w:proofErr w:type="gramStart"/>
      <w:r w:rsidRPr="009342F9">
        <w:rPr>
          <w:rFonts w:ascii="Arial" w:eastAsia="Times New Roman" w:hAnsi="Arial" w:cs="Arial"/>
          <w:color w:val="000000"/>
          <w:lang w:eastAsia="es-CO"/>
        </w:rPr>
        <w:t>departamento,</w:t>
      </w:r>
      <w:proofErr w:type="gramEnd"/>
      <w:r w:rsidRPr="009342F9">
        <w:rPr>
          <w:rFonts w:ascii="Arial" w:eastAsia="Times New Roman" w:hAnsi="Arial" w:cs="Arial"/>
          <w:color w:val="000000"/>
          <w:lang w:eastAsia="es-CO"/>
        </w:rPr>
        <w:t xml:space="preserve"> podrán participar en los Planes Departamentales para el Manejo Empresarial de los Servicios de Agua y Saneamiento (PDA). Para ello deberán suscribir un convenio con el departamento respectivo, precisando las actividades que se comprometen a desarrollar, los recursos que destinarán para cumplir con los compromisos adquiridos, así como los demás aspectos necesarios para asegurar una adecuada articulación de la autoridad ambiental con el Plan Departamental y sus estructuras operativas.  </w:t>
      </w:r>
    </w:p>
    <w:p w14:paraId="41123D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BC03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autoridades ambientales que hayan suscrito con los respectivos departamentos el Convenio Marco de Vinculación a los Planes Departamentales para el Manejo Empresarial de los Servicios de Agua y Saneamiento (PDA), se entenderán participantes de los Planes Departamentales, durante el tiempo que el convenio permanezca vigente.  </w:t>
      </w:r>
    </w:p>
    <w:p w14:paraId="0EDB08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F3CC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Se entenderán participantes de los Planes Departamentales para el Manejo Empresarial de los Servicios de Agua y Saneamiento (PDA) los departamentos que suscribieron el convenio de cooperación técnica; asimismo se entenderán participantes de los PDA los municipios y distritos que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presente decreto suscribieron el Convenio de Cooperación y Apoyo Financiero con el departamento y el Gestor.  </w:t>
      </w:r>
    </w:p>
    <w:p w14:paraId="3AF7B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5384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Podrán participar, las personas jurídicas de derecho público, privado o mixto, que aporten recursos financieros o técnicos o humanos, previa aprobación del Comité Directivo. </w:t>
      </w:r>
    </w:p>
    <w:p w14:paraId="6B1D208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12" w:name="ver_30197869"/>
      <w:bookmarkStart w:id="1913" w:name="ver_30075883"/>
      <w:bookmarkEnd w:id="1912"/>
    </w:p>
    <w:p w14:paraId="577701DD" w14:textId="3E73936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2.3.3.1.4.10. Subrogado</w:t>
      </w:r>
      <w:r w:rsidR="000443A9">
        <w:rPr>
          <w:rFonts w:ascii="Arial" w:eastAsia="Times New Roman" w:hAnsi="Arial" w:cs="Arial"/>
          <w:color w:val="000000"/>
          <w:lang w:eastAsia="es-CO"/>
        </w:rPr>
        <w:t>.</w:t>
      </w:r>
    </w:p>
    <w:p w14:paraId="6F98ADD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14" w:name="ver_30197870"/>
      <w:bookmarkStart w:id="1915" w:name="ver_30075885"/>
      <w:bookmarkEnd w:id="1913"/>
      <w:bookmarkEnd w:id="1914"/>
    </w:p>
    <w:p w14:paraId="4F5143A1" w14:textId="5AD739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2.3.3.1.4.11. Subrogado</w:t>
      </w:r>
      <w:r w:rsidR="000443A9">
        <w:rPr>
          <w:rFonts w:ascii="Arial" w:eastAsia="Times New Roman" w:hAnsi="Arial" w:cs="Arial"/>
          <w:color w:val="000000"/>
          <w:lang w:eastAsia="es-CO"/>
        </w:rPr>
        <w:t>.</w:t>
      </w:r>
    </w:p>
    <w:p w14:paraId="7D0917A1"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16" w:name="ver_30197871"/>
      <w:bookmarkStart w:id="1917" w:name="ver_30075886"/>
      <w:bookmarkEnd w:id="1915"/>
      <w:bookmarkEnd w:id="1916"/>
    </w:p>
    <w:p w14:paraId="60DC66EF" w14:textId="4B866E8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2.3.3.1.4.12. Subrogado</w:t>
      </w:r>
      <w:r w:rsidR="000443A9">
        <w:rPr>
          <w:rFonts w:ascii="Arial" w:eastAsia="Times New Roman" w:hAnsi="Arial" w:cs="Arial"/>
          <w:color w:val="000000"/>
          <w:lang w:eastAsia="es-CO"/>
        </w:rPr>
        <w:t>.</w:t>
      </w:r>
    </w:p>
    <w:p w14:paraId="369983F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18" w:name="ver_30197872"/>
      <w:bookmarkStart w:id="1919" w:name="ver_30075888"/>
      <w:bookmarkEnd w:id="1917"/>
      <w:bookmarkEnd w:id="1918"/>
    </w:p>
    <w:p w14:paraId="3A6984C9" w14:textId="626D754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2.3.3.1.4.13. Subrogado</w:t>
      </w:r>
      <w:r w:rsidR="000443A9">
        <w:rPr>
          <w:rFonts w:ascii="Arial" w:eastAsia="Times New Roman" w:hAnsi="Arial" w:cs="Arial"/>
          <w:color w:val="000000"/>
          <w:lang w:eastAsia="es-CO"/>
        </w:rPr>
        <w:t>.</w:t>
      </w:r>
    </w:p>
    <w:p w14:paraId="42AF6B0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20" w:name="ver_30197873"/>
      <w:bookmarkStart w:id="1921" w:name="ver_30075890"/>
      <w:bookmarkEnd w:id="1919"/>
      <w:bookmarkEnd w:id="1920"/>
    </w:p>
    <w:p w14:paraId="5EAA9C20" w14:textId="3357784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2.3.3.1.4.14. Subrogado</w:t>
      </w:r>
      <w:r w:rsidR="000443A9">
        <w:rPr>
          <w:rFonts w:ascii="Arial" w:eastAsia="Times New Roman" w:hAnsi="Arial" w:cs="Arial"/>
          <w:color w:val="000000"/>
          <w:lang w:eastAsia="es-CO"/>
        </w:rPr>
        <w:t>.</w:t>
      </w:r>
    </w:p>
    <w:p w14:paraId="6D00297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22" w:name="ver_30197874"/>
      <w:bookmarkStart w:id="1923" w:name="ver_30075892"/>
      <w:bookmarkEnd w:id="1921"/>
      <w:bookmarkEnd w:id="1922"/>
    </w:p>
    <w:p w14:paraId="3A448A0F" w14:textId="4D262A4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2.3.3.1.4.15. Subrogado</w:t>
      </w:r>
      <w:r w:rsidR="000443A9">
        <w:rPr>
          <w:rFonts w:ascii="Arial" w:eastAsia="Times New Roman" w:hAnsi="Arial" w:cs="Arial"/>
          <w:color w:val="000000"/>
          <w:lang w:eastAsia="es-CO"/>
        </w:rPr>
        <w:t>.</w:t>
      </w:r>
    </w:p>
    <w:p w14:paraId="0622A9E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24" w:name="ver_30075893"/>
      <w:bookmarkEnd w:id="1923"/>
      <w:bookmarkEnd w:id="1924"/>
    </w:p>
    <w:p w14:paraId="7ADCE931" w14:textId="3541119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2.3.3.1.4.16. Subrogado</w:t>
      </w:r>
      <w:r w:rsidR="000443A9">
        <w:rPr>
          <w:rFonts w:ascii="Arial" w:eastAsia="Times New Roman" w:hAnsi="Arial" w:cs="Arial"/>
          <w:color w:val="000000"/>
          <w:lang w:eastAsia="es-CO"/>
        </w:rPr>
        <w:t>.</w:t>
      </w:r>
    </w:p>
    <w:p w14:paraId="07EAFA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023E56"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25" w:name="ver_30075897"/>
      <w:bookmarkEnd w:id="1925"/>
      <w:r w:rsidRPr="009342F9">
        <w:rPr>
          <w:rFonts w:ascii="Arial" w:eastAsia="Times New Roman" w:hAnsi="Arial" w:cs="Arial"/>
          <w:b/>
          <w:bCs/>
          <w:color w:val="000000"/>
          <w:lang w:eastAsia="es-CO"/>
        </w:rPr>
        <w:t>SECCIÓN 5</w:t>
      </w:r>
    </w:p>
    <w:p w14:paraId="0E1E2F27"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INSTRUMENTOS DE PLANEACIÓN</w:t>
      </w:r>
    </w:p>
    <w:p w14:paraId="3703B0B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26" w:name="ver_30197881"/>
      <w:bookmarkEnd w:id="1926"/>
    </w:p>
    <w:p w14:paraId="239EB273" w14:textId="15B2B44B" w:rsidR="00FC79C1" w:rsidRPr="009342F9" w:rsidRDefault="00FC79C1" w:rsidP="00FC79C1">
      <w:pPr>
        <w:spacing w:after="0" w:line="240" w:lineRule="auto"/>
        <w:jc w:val="both"/>
        <w:rPr>
          <w:rFonts w:ascii="Arial" w:eastAsia="Times New Roman" w:hAnsi="Arial" w:cs="Arial"/>
          <w:color w:val="000000"/>
          <w:lang w:eastAsia="es-CO"/>
        </w:rPr>
      </w:pPr>
      <w:bookmarkStart w:id="1927" w:name="_Hlk47878806"/>
      <w:r w:rsidRPr="009342F9">
        <w:rPr>
          <w:rFonts w:ascii="Arial" w:eastAsia="Times New Roman" w:hAnsi="Arial" w:cs="Arial"/>
          <w:color w:val="000000"/>
          <w:lang w:eastAsia="es-CO"/>
        </w:rPr>
        <w:t>Artículo 2.3.3.1.5.1</w:t>
      </w:r>
      <w:bookmarkEnd w:id="1927"/>
      <w:r w:rsidRPr="009342F9">
        <w:rPr>
          <w:rFonts w:ascii="Arial" w:eastAsia="Times New Roman" w:hAnsi="Arial" w:cs="Arial"/>
          <w:color w:val="000000"/>
          <w:lang w:eastAsia="es-CO"/>
        </w:rPr>
        <w:t>. Instrumentos de Planeación de los Planes Departamentales para el Manejo Empresarial de los Servicios de Agua y Saneamiento (PDA). Cada Plan Departamental para el Manejo Empresarial de los Servicios de Agua y Saneamiento deberá contar con los instrumentos de planeación establecidos en la presente sección, los cuales deben ser elaborados por el Gestor y aprobados por el Comité Directivo. </w:t>
      </w:r>
    </w:p>
    <w:p w14:paraId="1A309D14"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5A1FC3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28" w:name="ver_30197884"/>
      <w:bookmarkEnd w:id="1928"/>
      <w:r w:rsidRPr="009342F9">
        <w:rPr>
          <w:rFonts w:ascii="Arial" w:eastAsia="Times New Roman" w:hAnsi="Arial" w:cs="Arial"/>
          <w:color w:val="000000"/>
          <w:lang w:eastAsia="es-CO"/>
        </w:rPr>
        <w:t>Artículo 2.3.3.1.5.2. Manual Operativo. Es el documento en el cual se definen los procedimientos bajo los cuales se desarrollará el Plan Departamental para el Manejo Empresarial de los Servicios de Agua y Saneamiento, que contendrá como mínimo:  </w:t>
      </w:r>
    </w:p>
    <w:p w14:paraId="42557B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72E6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Componentes del Plan Departamental para el Manejo Empresarial de los Servicios de Agua y Saneamiento.  </w:t>
      </w:r>
    </w:p>
    <w:p w14:paraId="26FE17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D741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Estructura operativa.  </w:t>
      </w:r>
    </w:p>
    <w:p w14:paraId="6904C5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2C7D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Fuentes de financiación.  </w:t>
      </w:r>
    </w:p>
    <w:p w14:paraId="00E354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2F83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Criterios de distribución de los recursos.  </w:t>
      </w:r>
    </w:p>
    <w:p w14:paraId="35E252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78A4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Lineamientos del Plan de Acción Municipal, o el documento de planeación municipal sectorial que reglamente el Gobierno nacional. El Plan de Acción Municipal será el documento de Planeación sectorial con el que cuentan los municipios.  </w:t>
      </w:r>
    </w:p>
    <w:p w14:paraId="1D5C80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AA40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Ejecución, seguimiento y control del Plan Departamental para el Manejo Empresarial de los Servicios de Agua y Saneamiento.  </w:t>
      </w:r>
    </w:p>
    <w:p w14:paraId="1E7A5C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4AC5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Requisitos para que el o los prestadores, el o los municipios o distritos se encarguen de la contratación de las obras.  </w:t>
      </w:r>
    </w:p>
    <w:p w14:paraId="6A985A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C635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Procedimiento para el registro presupuestal, contable y financiero de los recursos y de los proyectos.  </w:t>
      </w:r>
    </w:p>
    <w:p w14:paraId="5C0B9B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6B5B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Sistemas para el monitoreo, control y seguimiento del Plan Departamental para el Manejo Empresarial de los Servicios de Agua y Saneamiento.  </w:t>
      </w:r>
    </w:p>
    <w:p w14:paraId="65A11D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FF45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Esquemas de cofinanciación para municipios o distritos con características especiales.  </w:t>
      </w:r>
    </w:p>
    <w:p w14:paraId="0C0949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5115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Implementación de instancias de rendición de cuentas a la comunidad sobre los avances del Plan Departamental para el Manejo Empresarial de los Servicios de Agua y Saneamiento en general y realización de audiencias públicas sobre el avance de proyectos específicos.  </w:t>
      </w:r>
    </w:p>
    <w:p w14:paraId="50A0CB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A5B6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Mecanismos para la vinculación a los Planes Departamentales para el Manejo Empresarial de los Servicios de Agua y Saneamiento (PDA) de las personas jurídicas de derecho público, privado o mixto mediante el aporte de recursos financieros o técnicos o humanos, previa aprobación del Comité Directivo.  </w:t>
      </w:r>
    </w:p>
    <w:p w14:paraId="47695D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3A98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Regulación de los periodos y esquemas de rotación del (los) representante(s) de los alcaldes con asiento en el Comité Directivo del Plan Departamental para el Manejo Empresarial de los Servicios de Agua y Saneamiento y mecanismos para acreditar la elección del (los) representante(s).  </w:t>
      </w:r>
    </w:p>
    <w:p w14:paraId="52F64F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504E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Trámite de modificación del Manual Operativo.  </w:t>
      </w:r>
    </w:p>
    <w:p w14:paraId="79EEAC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6C2F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Trámites, condiciones y términos en que se entregarán a los municipios beneficiarios la infraestructura construida en desarrollo del Plan Departamental para el Manejo Empresarial de los Servicios de Agua y Saneamiento en concordancia con las estipulaciones establecidas en el esquema para el manejo de los recursos.  </w:t>
      </w:r>
    </w:p>
    <w:p w14:paraId="556EC3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58F299" w14:textId="1E9A0504"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16. Trámite para la entrega de los bienes y servicios afectos a la prestación que garantice el funcionamiento y operación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Para el Manual Operativo corresponderá al Gobernador adoptarlo mediante decreto, así como las modificaciones respectivas. </w:t>
      </w:r>
    </w:p>
    <w:p w14:paraId="15BF21FA" w14:textId="60873E26" w:rsidR="00F647A1" w:rsidRPr="009342F9" w:rsidRDefault="00F647A1" w:rsidP="00F647A1">
      <w:pPr>
        <w:spacing w:after="0" w:line="240" w:lineRule="auto"/>
        <w:jc w:val="both"/>
        <w:rPr>
          <w:rFonts w:ascii="Arial" w:eastAsia="Times New Roman" w:hAnsi="Arial" w:cs="Arial"/>
          <w:color w:val="000000"/>
          <w:lang w:eastAsia="es-CO"/>
        </w:rPr>
      </w:pPr>
    </w:p>
    <w:p w14:paraId="178DAC33" w14:textId="1B7DD163" w:rsidR="00F647A1" w:rsidRPr="009342F9" w:rsidRDefault="00F647A1" w:rsidP="00F647A1">
      <w:pPr>
        <w:tabs>
          <w:tab w:val="left" w:pos="632"/>
        </w:tabs>
        <w:spacing w:after="0" w:line="264" w:lineRule="auto"/>
        <w:ind w:right="313"/>
        <w:rPr>
          <w:rFonts w:ascii="Arial" w:hAnsi="Arial" w:cs="Arial"/>
          <w:sz w:val="20"/>
          <w:szCs w:val="20"/>
        </w:rPr>
      </w:pPr>
      <w:r w:rsidRPr="009342F9">
        <w:rPr>
          <w:rFonts w:ascii="Arial" w:hAnsi="Arial" w:cs="Arial"/>
          <w:sz w:val="20"/>
          <w:szCs w:val="20"/>
        </w:rPr>
        <w:t xml:space="preserve">(Ver conceptos: </w:t>
      </w:r>
      <w:hyperlink r:id="rId37" w:history="1">
        <w:r w:rsidRPr="009342F9">
          <w:rPr>
            <w:rStyle w:val="Hyperlink"/>
            <w:rFonts w:ascii="Arial" w:hAnsi="Arial" w:cs="Arial"/>
            <w:sz w:val="20"/>
            <w:szCs w:val="20"/>
          </w:rPr>
          <w:t>C −190 del 16/04/2020</w:t>
        </w:r>
      </w:hyperlink>
      <w:r w:rsidRPr="009342F9">
        <w:rPr>
          <w:rFonts w:ascii="Arial" w:hAnsi="Arial" w:cs="Arial"/>
          <w:sz w:val="20"/>
          <w:szCs w:val="20"/>
        </w:rPr>
        <w:t>)</w:t>
      </w:r>
    </w:p>
    <w:p w14:paraId="025D0422" w14:textId="77777777" w:rsidR="00FC79C1" w:rsidRPr="009342F9" w:rsidRDefault="00FC79C1" w:rsidP="00F647A1">
      <w:pPr>
        <w:spacing w:after="0" w:line="240" w:lineRule="auto"/>
        <w:jc w:val="both"/>
        <w:rPr>
          <w:rFonts w:ascii="Arial" w:eastAsia="Times New Roman" w:hAnsi="Arial" w:cs="Arial"/>
          <w:color w:val="000000"/>
          <w:lang w:eastAsia="es-CO"/>
        </w:rPr>
      </w:pPr>
      <w:bookmarkStart w:id="1929" w:name="ver_30197885"/>
      <w:bookmarkEnd w:id="1929"/>
    </w:p>
    <w:p w14:paraId="457434AA" w14:textId="77777777"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2.3.3.1.5.3. Plan Estratégico de Inversiones (PEI). Es el documento en el cual, con base en las necesidades identificadas, se definen las metas de operación y servicio durante la ejecución del Plan Departamental para el Manejo Empresarial de los Servicios de Agua y Saneamiento, y la capacidad de inversión para cada uno de sus componentes. Este deberá ser actualizado o modificado cada año, de conformidad con la verificación periódica que se haga del avance del respectivo Plan Departamental para el Manejo Empresarial de los Servicios de Agua y Saneamiento. El Plan Estratégico de Inversiones se elaborará con base en los planes de acción municipal o el documento que reglamente el Gobierno nacional.  </w:t>
      </w:r>
    </w:p>
    <w:p w14:paraId="16152C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Este plan contendrá como mínimo:  </w:t>
      </w:r>
    </w:p>
    <w:p w14:paraId="456AA3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13E4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Diagnóstico técnico base del estado de prestación de los servicios públicos de acueducto, alcantarillado y aseo.  </w:t>
      </w:r>
    </w:p>
    <w:p w14:paraId="413E59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F1F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Línea base de los indicadores de cobertura, calidad y continuidad para los servicios públicos de acueducto, alcantarillado y aseo en la zona urbana y rural.  </w:t>
      </w:r>
    </w:p>
    <w:p w14:paraId="50FBF3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AE6C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Metas, fuentes de financiación y uso de recursos comprometidos por participantes, servicio público y componentes.  </w:t>
      </w:r>
    </w:p>
    <w:p w14:paraId="7A867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C1B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Componentes del Plan Departamental para el Manejo Empresarial de los Servicios de Agua y Saneamiento: (i) aseguramiento de la prestación de los servicios, (ii) infraestructura, (iii) ambiental y (</w:t>
      </w:r>
      <w:proofErr w:type="spellStart"/>
      <w:r w:rsidRPr="009342F9">
        <w:rPr>
          <w:rFonts w:ascii="Arial" w:eastAsia="Times New Roman" w:hAnsi="Arial" w:cs="Arial"/>
          <w:color w:val="000000"/>
          <w:lang w:eastAsia="es-CO"/>
        </w:rPr>
        <w:t>iv</w:t>
      </w:r>
      <w:proofErr w:type="spellEnd"/>
      <w:r w:rsidRPr="009342F9">
        <w:rPr>
          <w:rFonts w:ascii="Arial" w:eastAsia="Times New Roman" w:hAnsi="Arial" w:cs="Arial"/>
          <w:color w:val="000000"/>
          <w:lang w:eastAsia="es-CO"/>
        </w:rPr>
        <w:t>) gestión del riesgo.  </w:t>
      </w:r>
    </w:p>
    <w:p w14:paraId="0A4F5A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5974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Planes de Acción Municipales, que serán incluidos como anexos del Plan.  </w:t>
      </w:r>
    </w:p>
    <w:p w14:paraId="7FD483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C16E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Capítulo anual que incluirá los siguientes aspectos:  </w:t>
      </w:r>
    </w:p>
    <w:p w14:paraId="15BC79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A09E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 Cierre financiero para cada una de las inversiones a ejecutar.  </w:t>
      </w:r>
    </w:p>
    <w:p w14:paraId="7EE5BD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9358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 Metas, proyectos e indicadores anuales en concordancia con la ejecución del año correspondiente.  </w:t>
      </w:r>
    </w:p>
    <w:p w14:paraId="05AF1F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60B3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6.3. Porcentaje al que corresponde el pago del Gestor con respecto al valor de los recursos disponibles en el capítulo anual.  </w:t>
      </w:r>
    </w:p>
    <w:p w14:paraId="5AE476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B144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6.4. Cronograma de ejecución por cada uno de los componentes.  </w:t>
      </w:r>
    </w:p>
    <w:p w14:paraId="708C3D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2319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6.5. Detalle por componente de las actividades necesarias para el cumplimiento de las metas anuales del Plan Departamental para el Manejo Empresarial de los Servicios de Agua y Saneamiento.  </w:t>
      </w:r>
    </w:p>
    <w:p w14:paraId="109A03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8C29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6.6. La totalidad de las inversiones del sector de Agua Potable y Saneamiento Básico (APSB) que se estén realizando en el departamento y se encuentren financiadas con recursos que no hagan parte del Plan Departamental, las cuales serán reportadas por los municipios y departamentos durante la concertación de los instrumentos de planeación a que hace referencia el numeral 5 del artículo 2.3.3.1.2.3. del presente capítulo.  </w:t>
      </w:r>
    </w:p>
    <w:p w14:paraId="3F1318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9B14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Todos los proyectos de infraestructura deberán contemplar la etapa de puesta en marcha, mínimo de seis (6) meses con el propósito de garantizar su sostenibilidad.  </w:t>
      </w:r>
    </w:p>
    <w:p w14:paraId="0A5C6C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6ABB1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vigencia del Plan Estratégico de Inversiones (PEI) será la misma del periodo de gobierno de las entidades territoriales y del capítulo anual será hasta el 31 de diciembre del año de aprobación.  </w:t>
      </w:r>
    </w:p>
    <w:p w14:paraId="53D2EF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4B61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gestor deberá certificar los gastos de consultoría, presentando el alcance y presupuesto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para lo cual deberá revisar las fuentes y usos de acuerdo con la normatividad vigente.  </w:t>
      </w:r>
    </w:p>
    <w:p w14:paraId="0CE225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BE5E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Los Planes Generales Estratégicos de Inversiones deberán ser objeto de actualización durante los seis (6) meses siguientes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este capítulo.  </w:t>
      </w:r>
    </w:p>
    <w:p w14:paraId="544313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474B02" w14:textId="69AE7E8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En el Plan Estratégico de Inversiones (PEI) y su capítulo anual, el departamento deberá certificar los costos del Gestor, indicando el porcentaje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con relación al valor total del capítulo anual del Plan Estratégico de Inversiones (PEI). Este porcentaje no podrá superar el 5%.  </w:t>
      </w:r>
    </w:p>
    <w:p w14:paraId="6639C35D"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461558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caso de que los costos del gestor superen este porcentaje, el Gobernador deberá sustentar dichos costos ante el Comité Directivo y este determinará su aprobación. Asimismo, el departamento deberá certificar la ejecución de los costos del gestor correspondientes a la vigencia anterior. </w:t>
      </w:r>
    </w:p>
    <w:p w14:paraId="3A7AECC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30" w:name="ver_30197886"/>
      <w:bookmarkEnd w:id="1930"/>
    </w:p>
    <w:p w14:paraId="18D9B4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2.3.3.1.5.4. Plan de Aseguramiento de la Prestación. Es el documento que contiene el conjunto de acciones operativas, técnicas, administrativas, comerciales, financieras a implementar por los diferentes actores municipales y regionales con competencia en la prestación de los servicios públicos de acueducto, alcantarillado y aseo que permitan fortalecer las capacidades de los municipios o empresas prestadoras y garantizar, en el mediano y largo plazo, la sostenibilidad de las inversiones y de la prestación de los servicios.  </w:t>
      </w:r>
    </w:p>
    <w:p w14:paraId="7300C7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E868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de Aseguramiento de la Prestación podrá incluir un componente de asistencia técnica operativa y actividades relacionadas con los planes de eficiencia energética, programas de gestión de pérdidas, de calidad del agua, fortalecimiento comunitario para zonas rurales así como actividades para el apoyo a la formulación de los planes de gestión de las personas prestadoras de los servicios de acueducto, alcantarillado o aseo que deseen implementar los esquemas diferenciales para la prestación de los servicios de acueducto, alcantarillado y aseo.  </w:t>
      </w:r>
    </w:p>
    <w:p w14:paraId="1210BF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933D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Este documento deberá contener entre otros, los objetivos generales, el alcance, las metas e indicadores que se pretenden alcanzar con la ejecución del plan en cada municipio o distrito, así como las actividades, productos, presupuesto y cronograma requeridos, de conformidad con los criterios que defina el Ministerio de Vivienda, Ciudad y Territorio.  </w:t>
      </w:r>
    </w:p>
    <w:p w14:paraId="569822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7D2C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de Aseguramiento de la Prestación deberá definirse en tres fases, a saber:  </w:t>
      </w:r>
    </w:p>
    <w:p w14:paraId="4E2321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DC08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Fase 1: Diagnóstico y prefactibilidad. Con base en un análisis de la situación actual se elaborará un diagnóstico desde el punto de vista institucional, legal, financiero, comercial, social, administrativo y técnico-operativo de la prestación de los servicios públicos de acueducto, alcantarillado y aseo en cada municipio o distrito, de tal manera que se pueda determinar la línea base de los indicadores de la prestación, así como, los riesgos financieros y operacionales del prestador de los servicios, con arreglo a los indicadores y a la metodología de identificación y valoración de riesgos sectoriales, conforme a la normativa vigente.  </w:t>
      </w:r>
    </w:p>
    <w:p w14:paraId="783A5B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E013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base en el diagnóstico se definirá la viabilidad del prestador y se determinarán las acciones a seguir para garantizar el aseguramiento de la prestación de los servicios, enmarcadas en alguna de las siguientes estrategias: a) fortalecimiento institucional, b) transformación empresarial (incluye vinculación de operadores o creación de empresas) o c) revisión de contratos de operación, estrategia que deberá ser concertada con la entidad territorial.  </w:t>
      </w:r>
    </w:p>
    <w:p w14:paraId="3C4981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F110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Fase 2: Definición de la estrategia a seguir para el aseguramiento de la prestación del servicio. A partir del resultado de la Fase 1, se deberán formular las actividades, productos, cronograma y presupuesto a seguir en cada municipio o distrito, según la estrategia seleccionada, las cuales deberán estar alineadas con las metas establecidas en el Plan Estratégico de Inversiones (PEI) y con la mitigación de los riesgos financieros y operacionales del prestador de los servicios públicos.  </w:t>
      </w:r>
    </w:p>
    <w:p w14:paraId="3D058B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B528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Fase 3: Puesta en marcha de la estrategia establecida en la Fase 2. Ejecución y seguimiento de las actividades y productos propuestos en la Fase 2 y verificación de su cumplimiento de conformidad con el cronograma definido y el presupuesto asignado.  </w:t>
      </w:r>
    </w:p>
    <w:p w14:paraId="78E927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923E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Se deberá considerar como uno de los criterios de priorización para la elaboración de los planes de aseguramiento, aquellos municipios o distritos, en los que se cuente con obras de infraestructura terminadas, en proceso de contratación o en ejecución, así como aquellos que sean prestadores directos.  </w:t>
      </w:r>
    </w:p>
    <w:p w14:paraId="7EA34867" w14:textId="5108B88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1D97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Ministerio de Vivienda, Ciudad y Territorio definirá mediante acto administrativo los requisitos de presentación de los Planes de Aseguramiento de la Prestación.  </w:t>
      </w:r>
    </w:p>
    <w:p w14:paraId="5F3781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718C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municipios deberán contar con un acta de concertación en la cual se obligarán a (i) ejecutar el Plan de Aseguramiento de la Prestación aprobado por el Comité Directivo, en caso de que dicho Plan no se encuentre en ejecución, y (ii) recibir a satisfacción las obras desarrolladas en la jurisdicción de cada uno de ellos.  </w:t>
      </w:r>
    </w:p>
    <w:p w14:paraId="722651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23A5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Los departamentos a través de los Planes Departamentales para el Manejo Empresarial de los Servicios de Agua y Saneamiento (PDA) podrán apoyar financiera, técnica y administrativamente los procesos de entrega a terceros de la prestación de los servicios de acueducto, alcantarillado y aseo, así como la implementación efectiva de esquemas asociativos regionales de prestación de los servicios públicos de agua potable y saneamiento básico.  </w:t>
      </w:r>
    </w:p>
    <w:p w14:paraId="499DB7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8C92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Transitorio. Los Planes de Aseguramiento de la Prestación deberán ser objeto de actualización durante los seis (6) meses siguientes de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este capítulo.  </w:t>
      </w:r>
    </w:p>
    <w:p w14:paraId="25D1C1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F1ED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Planes de Aseguramiento de la Prestación no requerirán de la actualización de que trata este parágrafo, si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del presente capítulo se encuentran en ejecución fases contractuales para el desarrollo de los mismos. </w:t>
      </w:r>
    </w:p>
    <w:p w14:paraId="0684B5C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31" w:name="ver_30197888"/>
      <w:bookmarkEnd w:id="1931"/>
    </w:p>
    <w:p w14:paraId="2C3D46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2.3.3.1.5.5. Plan Ambiental. Es un instrumento que define el componente ambiental de los Planes Departamentales para el Manejo Empresarial de los Servicios de Agua y Saneamiento (PDA), y tiene por objeto, considerar en la planeación y ejecución de los proyectos de prestación de los servicios públicos de acueducto, alcantarillado y aseo, los requerimientos ambientales asociados a dichos proyectos, para garantizar su sostenibilidad.  </w:t>
      </w:r>
    </w:p>
    <w:p w14:paraId="45D27F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5F94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planeación y ejecución de los proyectos de prestación de estos servicios públicos deberá hacerse considerando la oferta y demanda de recursos naturales renovables disponibles para la prestación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w:t>
      </w:r>
    </w:p>
    <w:p w14:paraId="68BF50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8B84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Ambiental deberá contener como mínimo:  </w:t>
      </w:r>
    </w:p>
    <w:p w14:paraId="19555C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DCF1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Marco de la Planificación Ambiental, el cual deberá contemplar como mínimo una caracterización ambiental asociada a los Planes Departamentales para el Manejo Empresarial de los Servicios de Agua y Saneamiento (PDA); requerimientos ambientales para los proyectos de acueducto, alcantarillado y aseo previstos en los Planes Departamentales; criterios para la priorización de proyectos de saneamiento, los cuales deben ser articulados a los instrumentos de planificación de cada autoridad ambiental; y criterios para la priorización de proyectos de conservación.  </w:t>
      </w:r>
    </w:p>
    <w:p w14:paraId="093755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CE20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Marco Económico y Financiero del Componente Ambiental, deberá tener previstas las fuentes de financiación de ley asociadas a este componente de los entes territoriales, autoridades ambientales cuando estas sean participantes de los Planes Departamentales para el Manejo Empresarial de los Servicios de Agua y Saneamiento (PDA); empresas de servicios públicos, exenciones tributarias; recursos de cooperación internacional; mecanismos de crédito y financiación, y recursos de banca multilateral, entre otros.  </w:t>
      </w:r>
    </w:p>
    <w:p w14:paraId="40D262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27A3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Concertación de Obras e Inversiones entre el departamento, el Gestor y las Autoridades Ambientales cuando estas sean participantes de los Planes Departamentales para el Manejo Empresarial de los Servicios de Agua y Saneamiento (PDA) con base en el diagnóstico del sector; priorización de proyectos y las inversiones disponibles.  </w:t>
      </w:r>
    </w:p>
    <w:p w14:paraId="25BE49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04B2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Aprobado el Plan Ambiental por parte del Comité Directivo, el Ministerio de Vivienda, Ciudad y Territorio realizará reuniones de seguimiento con el Gestor, con una periodicidad no mayor a seis (6) meses, con el fin de realizar seguimiento al mismo. </w:t>
      </w:r>
    </w:p>
    <w:p w14:paraId="6A86E4B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32" w:name="ver_30197889"/>
      <w:bookmarkEnd w:id="1932"/>
    </w:p>
    <w:p w14:paraId="5401F1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2.3.3.1.5.6. Plan de Gestión Social. Es el documento que contiene el conjunto de programas y proyectos a través de los cuales los diferentes actores municipales, distritales y regionales con competencia en la prestación de los servicios públicos de acueducto, alcantarillado y aseo desarrollan los procesos de gestión social frente a la prestación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formulados con base en el diagnóstico de la situación actual que se realiza en el Plan Aseguramiento de la Prestación.  </w:t>
      </w:r>
    </w:p>
    <w:p w14:paraId="699B1A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42B7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Este documento deberá contener, entre otros, los objetivos generales, el alcance, las metas e indicadores que se pretenden alcanzar con su ejecución en cada municipio o distrito, así como las actividades, productos, presupuesto y cronograma requeridos, de conformidad con los criterios que defina el Ministerio de Vivienda, Ciudad y Territorio.  </w:t>
      </w:r>
    </w:p>
    <w:p w14:paraId="607C95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81F5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de Gestión Social deberá contar como mínimo con tres líneas de trabajo, así:  </w:t>
      </w:r>
    </w:p>
    <w:p w14:paraId="62B026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B6F5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Participación Ciudadana. Se orienta a dar a conocer los diferentes mecanismos y espacios de participación con los que cuenta la comunidad frente a la prestación de los servicios, para lograr un mayor empoderamiento, sentido de pertenencia y sostenibilidad de las obras de acueducto y saneamiento básico.  </w:t>
      </w:r>
    </w:p>
    <w:p w14:paraId="78029F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A58D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Comunicación. Busca divulgar, informar y socializar a la comunidad los proyectos de agua potable y saneamiento básico a ejecutar en el municipio o distrito, con el fin de facilitar la transparencia y el control social.  </w:t>
      </w:r>
    </w:p>
    <w:p w14:paraId="452CD4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D455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Capacitación. Dirigida a fortalecer las capacidades y competencias locales, institucionales y comunitarias para el sostenimiento de los proyectos.  </w:t>
      </w:r>
    </w:p>
    <w:p w14:paraId="63F348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290B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el Plan de Gestión Social debe formularse en coordinación con las actividades desarrolladas en los procesos de aseguramiento de la prestación, y debe incluir el acompañamiento social a programas especiales, entre otros; agua y saneamiento en casa –conexiones intradomiciliarias–; y proyectos de abastecimiento de agua en zona rural en el marco de alianzas estratégicas entre el Ministerio de Vivienda, Ciudad y Territorio y organismos de cooperación. </w:t>
      </w:r>
    </w:p>
    <w:p w14:paraId="4638EA1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33" w:name="ver_30197890"/>
      <w:bookmarkEnd w:id="1933"/>
    </w:p>
    <w:p w14:paraId="1079F8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2.3.3.1.5.7. Plan de Gestión del Riesgo Sectorial. Es el instrumento que establece las directrices que promueven la generación del conocimiento sobre el nivel de riesgo al que se encuentran expuestos los sistemas de prestación de los servicios públicos de acueducto, alcantarillado y aseo, con el fin de identificar y reducir los riesgos de desabastecimiento de agua para consumo humano e interrupción de los mismos y reducir los impactos de los desastres sobre la prestación de los servicios públicos domiciliarios y la comunidad, así como la capacidad institucional y fortalecimiento de las estrategias para el manejo de desastres, logrando de esta manera propiciar condiciones de continuidad, cobertura y calidad en la prestación de los servicios públicos domiciliarios, ante la presencia o materialización de cualquier evento contingente.  </w:t>
      </w:r>
    </w:p>
    <w:p w14:paraId="3233E0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3466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planeación y ejecución de los proyectos de prestación de estos servicios públicos deberá hacerse considerando la valoración del nivel de riesgo para la prestación de los mismos, en especial el marco de la planificación de la gestión del riesgo, considerando los aspectos de conocimiento y reducción del riesgo en aquellos sistemas con áreas de influencia de los Planes Departamentales para el Manejo Empresarial de los Servicios de Agua y Saneamiento (PDA), criterios para la identificación y priorización de proyectos con enfoque a la reducción del riesgo.  </w:t>
      </w:r>
    </w:p>
    <w:p w14:paraId="743BAE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A823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de Gestión del Riesgo Sectorial deberá contener como mínimo el siguiente desarrollo:  </w:t>
      </w:r>
    </w:p>
    <w:p w14:paraId="354EBD9F"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3D711402" w14:textId="569BE28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Conocimiento del Riesgo. Consiste en conocer las condiciones particulares de la región en estudio, a partir de la información existente levantada o construida por diferentes actores presentes en la zona, teniendo en cuenta lo siguiente:  </w:t>
      </w:r>
    </w:p>
    <w:p w14:paraId="361969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F4B0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Levantamiento histórico de emergencias - Eventos Base de datos Unidad Nacional para la Gestión del Riesgo de Desastres (UNGRD).  </w:t>
      </w:r>
    </w:p>
    <w:p w14:paraId="5111E5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9085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Reportes de contingencias asociadas a proyectos con licenciamiento ambiental otorgado por la Autoridad Ambiental competente.  </w:t>
      </w:r>
    </w:p>
    <w:p w14:paraId="6169B6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82B3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Regionalización de la información - Eventos.  </w:t>
      </w:r>
    </w:p>
    <w:p w14:paraId="442B7E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9CE2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Evaluación de información secundaria - Amenazas.  </w:t>
      </w:r>
    </w:p>
    <w:p w14:paraId="44A276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9F13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Revisión de los Planes de Emergencia y Contingencia.  </w:t>
      </w:r>
    </w:p>
    <w:p w14:paraId="1CB41E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F88C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Reducción del riesgo sectorial. Se requiere identificar los ejercicios en reducción del riesgo sectorial existentes en el departamento, es decir, las obras y acciones proyectadas o ejecutadas que conlleven a la disminución de los escenarios de riesgo, a través de la intervención de la amenaza o la vulnerabilidad.  </w:t>
      </w:r>
    </w:p>
    <w:p w14:paraId="0E26BD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36C9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Manejo del Desastre. El Gestor del Plan Departamental para el Manejo Empresarial de los Servicios de Agua y Saneamiento podrá plantear las acciones que como soporte técnico de gestión del riesgo sectorial departamental realizará para la atención de desastres, lo cual se convertirá en el protocolo de actuación en la materialización de un evento contingente que pueda afectar el sector. Las actuaciones del Gestor en el proceso de manejo de desastres y emergencias se realizarán solo y exclusivamente, en el marco del principio de subsidiariedad y previa declaratoria de situación de desastre o calamidad pública, prevista en la Ley 1523 de 2012 o la norma que la modifique, complemente o sustituya.  </w:t>
      </w:r>
    </w:p>
    <w:p w14:paraId="73CA81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E876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base del proceso será la consolidación del inventario de capacidades técnicas, administrativas y financieras del sector de agua potable y saneamiento básico para el departamento y, a partir de esto, la definición de un protocolo.  </w:t>
      </w:r>
    </w:p>
    <w:p w14:paraId="030CBA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6477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Inversiones. Con la evaluación de los numerales 1, 2 y 3 de este artículo, se tendrá el escenario por municipio o distrito y por prestador de las condiciones de riesgo de la prestación de los servicios públicos dentro del departamento, con lo cual se podrán soportar las actividades de fortalecimiento por involucrar en el Plan Departamental para el Manejo Empresarial de los Servicios de Agua y Saneamiento y la priorización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w:t>
      </w:r>
    </w:p>
    <w:p w14:paraId="1B39A1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F284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Ministerio de Vivienda, Ciudad y Territorio definirá los requisitos de presentación del Plan de Gestión del Riesgo Sectorial.  </w:t>
      </w:r>
    </w:p>
    <w:p w14:paraId="4ED4DB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E892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Dentro del cierre financiero en el marco de los Planes Departamentales para el Manejo Empresarial de los Servicios de Agua y Saneamiento (PDA), se deben garantizar los recursos necesarios para la ejecución integral de lo establecido en los Instrumentos de Planeación de que trata la presente sección. </w:t>
      </w:r>
    </w:p>
    <w:p w14:paraId="4044CE7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34" w:name="ver_30197880"/>
      <w:bookmarkStart w:id="1935" w:name="ver_30075898"/>
      <w:bookmarkEnd w:id="1934"/>
    </w:p>
    <w:p w14:paraId="2AB18D03" w14:textId="2E6C763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2.3.3.1.5.17. Subrogado</w:t>
      </w:r>
      <w:r w:rsidR="000443A9">
        <w:rPr>
          <w:rFonts w:ascii="Arial" w:eastAsia="Times New Roman" w:hAnsi="Arial" w:cs="Arial"/>
          <w:color w:val="000000"/>
          <w:lang w:eastAsia="es-CO"/>
        </w:rPr>
        <w:t>.</w:t>
      </w:r>
    </w:p>
    <w:p w14:paraId="787B8780"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2E477CA5"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36" w:name="ver_30075899"/>
      <w:bookmarkEnd w:id="1935"/>
      <w:bookmarkEnd w:id="1936"/>
      <w:r w:rsidRPr="009342F9">
        <w:rPr>
          <w:rFonts w:ascii="Arial" w:eastAsia="Times New Roman" w:hAnsi="Arial" w:cs="Arial"/>
          <w:b/>
          <w:bCs/>
          <w:color w:val="000000"/>
          <w:lang w:eastAsia="es-CO"/>
        </w:rPr>
        <w:t>SECCIÓN 6</w:t>
      </w:r>
    </w:p>
    <w:p w14:paraId="07858795"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MEDICIÓN DE DESEMPEÑO Y SEGUIMIENTO DE LOS PLANES DEPARTAMENTALES PARA EL MANEJO EMPRESARIAL DE LOS SERVICIOS DE AGUA Y SANEAMIENTO (PDA)</w:t>
      </w:r>
    </w:p>
    <w:p w14:paraId="28AF229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37" w:name="ver_30197893"/>
      <w:bookmarkEnd w:id="1937"/>
    </w:p>
    <w:p w14:paraId="61CF4A5E" w14:textId="28CD4F6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2.3.3.1.6.1. Medición capacidad institucional y de resultados de los Planes Departamentales para el Manejo Empresarial de los Servicios de Agua y Saneamiento (PDA).  </w:t>
      </w:r>
    </w:p>
    <w:p w14:paraId="676C3008"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6864E7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capacidad institucional y de resultados de los Gestores de los Planes Departamentales para el Manejo Empresarial de los Servicios de Agua y Saneamiento (PDA) será medida mediante el índice que para el efecto defina el Departamento Nacional de Planeación (DNP), el cual será construido a partir de la información del orden nacional para el sector de agua potable y saneamiento básico y la que para el efecto reporten los Gestores.  </w:t>
      </w:r>
    </w:p>
    <w:p w14:paraId="020793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C3E9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resultado de esta medición permitirá realizar la clasificación de los Gestores de los Planes Departamentales para el Manejo Empresarial de los Servicios de Agua y Saneamiento (PDA) en el Nivel Alto, Medio o Bajo, para lo cual el Departamento Nacional de Planeación (DNP) determinará, mediante acto administrativo, los términos para realizar la medición, plazos y medios para el reporte de la información por parte de los Gestores.  </w:t>
      </w:r>
    </w:p>
    <w:p w14:paraId="31E003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0549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base en lo anterior, el Departamento Nacional de Planeación (DNP) publicará de manera anual un informe que contenga la medición de la capacidad institucional y de los resultados obtenidos por los diferentes Planes Departamentales para el Manejo Empresarial de los Servicios de Agua y Saneamiento (PDA), así como las respectivas recomendaciones de política sectorial. </w:t>
      </w:r>
    </w:p>
    <w:p w14:paraId="1FB9586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38" w:name="ver_30197891"/>
      <w:bookmarkStart w:id="1939" w:name="ver_30075998"/>
      <w:bookmarkEnd w:id="1938"/>
    </w:p>
    <w:p w14:paraId="2480BC56" w14:textId="61BAA80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2.3.3.1.6.18. Subrogado</w:t>
      </w:r>
      <w:r w:rsidR="000443A9">
        <w:rPr>
          <w:rFonts w:ascii="Arial" w:eastAsia="Times New Roman" w:hAnsi="Arial" w:cs="Arial"/>
          <w:color w:val="000000"/>
          <w:lang w:eastAsia="es-CO"/>
        </w:rPr>
        <w:t>.</w:t>
      </w:r>
    </w:p>
    <w:p w14:paraId="6B709CF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40" w:name="ver_30197892"/>
      <w:bookmarkStart w:id="1941" w:name="ver_30075999"/>
      <w:bookmarkEnd w:id="1939"/>
      <w:bookmarkEnd w:id="1940"/>
    </w:p>
    <w:p w14:paraId="5A42C5F6" w14:textId="0693D8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2.3.3.1.6.19. Subrogado</w:t>
      </w:r>
      <w:r w:rsidR="000443A9">
        <w:rPr>
          <w:rFonts w:ascii="Arial" w:eastAsia="Times New Roman" w:hAnsi="Arial" w:cs="Arial"/>
          <w:color w:val="000000"/>
          <w:lang w:eastAsia="es-CO"/>
        </w:rPr>
        <w:t>.</w:t>
      </w:r>
    </w:p>
    <w:p w14:paraId="22F2C083"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55D01E22"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42" w:name="ver_30076000"/>
      <w:bookmarkEnd w:id="1941"/>
      <w:bookmarkEnd w:id="1942"/>
      <w:r w:rsidRPr="009342F9">
        <w:rPr>
          <w:rFonts w:ascii="Arial" w:eastAsia="Times New Roman" w:hAnsi="Arial" w:cs="Arial"/>
          <w:b/>
          <w:bCs/>
          <w:color w:val="000000"/>
          <w:lang w:eastAsia="es-CO"/>
        </w:rPr>
        <w:t>SECCIÓN 7</w:t>
      </w:r>
    </w:p>
    <w:p w14:paraId="2C20CF33"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CONTRATACIÓN</w:t>
      </w:r>
    </w:p>
    <w:p w14:paraId="01B9B0F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43" w:name="ver_30197898"/>
      <w:bookmarkEnd w:id="1943"/>
    </w:p>
    <w:p w14:paraId="4BC7D57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44" w:name="_Hlk47878869"/>
      <w:r w:rsidRPr="009342F9">
        <w:rPr>
          <w:rFonts w:ascii="Arial" w:eastAsia="Times New Roman" w:hAnsi="Arial" w:cs="Arial"/>
          <w:color w:val="000000"/>
          <w:lang w:eastAsia="es-CO"/>
        </w:rPr>
        <w:t>Artículo 2.3.3.1.7.1. </w:t>
      </w:r>
      <w:bookmarkEnd w:id="1944"/>
      <w:r w:rsidRPr="009342F9">
        <w:rPr>
          <w:rFonts w:ascii="Arial" w:eastAsia="Times New Roman" w:hAnsi="Arial" w:cs="Arial"/>
          <w:color w:val="000000"/>
          <w:lang w:eastAsia="es-CO"/>
        </w:rPr>
        <w:t>Proceso de Contratación. Los procesos de contratación que se realicen con cargo a los recursos aportados por los participantes en el marco de los Planes Departamentales para el Manejo Empresarial de los Servicios de Agua y Saneamiento (PDA) serán adelantados en principio por parte del Gestor del Plan Departamental.  </w:t>
      </w:r>
    </w:p>
    <w:p w14:paraId="4C5524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5BA8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Directivo aprobará los eventos en los que los municipios o distritos y el(los) prestador(es) de los servicios públicos domiciliarios de acueducto, alcantarillado o aseo que preste(n) en el municipio o grupo de municipios beneficiarios del proyecto podrán adelantar el respectivo proceso de contratación, de acuerdo con lo establecido en el Manual Operativo. Lo anterior, observando lo previsto en las disposiciones del Estatuto de Contratación Estatal, el contrato de fiducia mercantil y/o las normas que resulten aplicables, particularmente para los operadores de los servicios.  </w:t>
      </w:r>
    </w:p>
    <w:p w14:paraId="4C5931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DBDF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autoridades ambientales podrán adelantar procesos de contratación, en el marco de los Planes Departamentales para el Manejo Empresarial de los Servicios de Agua y Saneamiento (PDA), cuando aporten recursos para el respectivo proyecto, cuando se trate de proyectos en el ámbito de sus competencias, previa aprobación del Comité Directivo.  </w:t>
      </w:r>
    </w:p>
    <w:p w14:paraId="520707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C20B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No </w:t>
      </w:r>
      <w:proofErr w:type="gramStart"/>
      <w:r w:rsidRPr="009342F9">
        <w:rPr>
          <w:rFonts w:ascii="Arial" w:eastAsia="Times New Roman" w:hAnsi="Arial" w:cs="Arial"/>
          <w:color w:val="000000"/>
          <w:lang w:eastAsia="es-CO"/>
        </w:rPr>
        <w:t>obstante</w:t>
      </w:r>
      <w:proofErr w:type="gramEnd"/>
      <w:r w:rsidRPr="009342F9">
        <w:rPr>
          <w:rFonts w:ascii="Arial" w:eastAsia="Times New Roman" w:hAnsi="Arial" w:cs="Arial"/>
          <w:color w:val="000000"/>
          <w:lang w:eastAsia="es-CO"/>
        </w:rPr>
        <w:t xml:space="preserve"> lo anterior, en el desarrollo de los procesos de contratación se tendrá en cuenta lo siguiente:  </w:t>
      </w:r>
    </w:p>
    <w:p w14:paraId="1946B0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DC08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Si transcurridos veinte (20) días hábiles desde la fecha en que se aprobó el inicio de contratación del proyecto el Gestor no ha dado inicio al trámite precontractual correspondiente para la contratación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este podrá ser contratado por el municipio o distrito beneficiario del proyecto, para lo cual deberá notificar por escrito al Gestor y al departamento su intención de dar inicio al proceso.  </w:t>
      </w:r>
    </w:p>
    <w:p w14:paraId="5F30E9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76E1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Si el municipio o distrito autorizado para realizar el trámite de contratación del proyecto no iniciare con los trámites precontractuales del mismo en un plazo de veinte (20) días hábiles, corresponderá al Gestor asumir la contratación del respectivo proyecto, para lo cual realizará la notificación respectiva, indicando al municipio o distrito que debe abstenerse de </w:t>
      </w:r>
      <w:proofErr w:type="gramStart"/>
      <w:r w:rsidRPr="009342F9">
        <w:rPr>
          <w:rFonts w:ascii="Arial" w:eastAsia="Times New Roman" w:hAnsi="Arial" w:cs="Arial"/>
          <w:color w:val="000000"/>
          <w:lang w:eastAsia="es-CO"/>
        </w:rPr>
        <w:t>dar inicio a</w:t>
      </w:r>
      <w:proofErr w:type="gramEnd"/>
      <w:r w:rsidRPr="009342F9">
        <w:rPr>
          <w:rFonts w:ascii="Arial" w:eastAsia="Times New Roman" w:hAnsi="Arial" w:cs="Arial"/>
          <w:color w:val="000000"/>
          <w:lang w:eastAsia="es-CO"/>
        </w:rPr>
        <w:t xml:space="preserve"> los trámites precontractuales o contractuales.  </w:t>
      </w:r>
    </w:p>
    <w:p w14:paraId="55AB02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7E5F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actuaciones de quienes participen en los Planes Departamentales para el Manejo Empresarial de los Servicios de Agua y Saneamiento (PDA) se desarrollarán con arreglo a los principios de transparencia, economía y responsabilidad, y de conformidad con los postulados que rigen la función administrativa.  </w:t>
      </w:r>
    </w:p>
    <w:p w14:paraId="372AEF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36FE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Gestor deberá brindar apoyo y realizar seguimiento a los procesos de contratación adelantados por los municipios o distritos y los prestadores de los municipios.  </w:t>
      </w:r>
    </w:p>
    <w:p w14:paraId="29C986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3551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Para todos los efectos, se entenderá que la autorización del inicio de contratación se surte con el oficio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del respectivo mecanismo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cuando aplique, y se ceñirá a las disposiciones que sobre el particular se establezcan en el Manual Operativo. Asimismo, se entenderá que se ha dado inicio al proceso precontractual, una vez se pone a disposición de los posibles oferentes el proyecto de pliegos a través del portal de contratación pública y se ha dado publicidad por los medios previstos en el respectivo manual de contratación del (los) prestador(es).  </w:t>
      </w:r>
    </w:p>
    <w:p w14:paraId="1F908E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AC1B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Cuando existan vinculaciones contractuales con o el (los) prestador(es) de los servicios públicos domiciliarios de acueducto, alcantarillado o aseo que los preste(n) en el municipio o distrito o grupo de municipios beneficiarios del proyecto, se realizarán los ajustes en metas e indicadores al contrato suscrito con el prestador.  </w:t>
      </w:r>
    </w:p>
    <w:p w14:paraId="7098E0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DD2A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obras y bienes recibidos por los municipios y distritos deberán ser entregados al prestador, conforme lo señala el numeral 87.9 del artículo 87 de la Ley 142 de 1994 o la norma que la modifique, complemente o sustituya.  </w:t>
      </w:r>
    </w:p>
    <w:p w14:paraId="46C143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515884" w14:textId="52F3CAD6"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Podrán celebrarse contratos con cargo a los recursos del Plan Departamental para el Manejo Empresarial de los Servicios de Agua y Saneamiento (PDA), siempre y cuando los mismos se encuentren disponibles, es decir que no se encuentren amparando ningún contrato o proceso de selección, circunstancia que será acreditada previamente a la celebración del contrato o iniciación del proceso de selección a través del Certificado de Disponibilidad de Recursos expedido por la entidad financiera encargada de la administración del instrumento para el manejo de los recursos. </w:t>
      </w:r>
    </w:p>
    <w:p w14:paraId="6DB946FC" w14:textId="77E52A2E" w:rsidR="00F647A1" w:rsidRPr="009342F9" w:rsidRDefault="00F647A1" w:rsidP="00F647A1">
      <w:pPr>
        <w:spacing w:after="0" w:line="240" w:lineRule="auto"/>
        <w:jc w:val="both"/>
        <w:rPr>
          <w:rFonts w:ascii="Arial" w:eastAsia="Times New Roman" w:hAnsi="Arial" w:cs="Arial"/>
          <w:color w:val="000000"/>
          <w:lang w:eastAsia="es-CO"/>
        </w:rPr>
      </w:pPr>
    </w:p>
    <w:p w14:paraId="28E03E7A" w14:textId="33ECE9D2" w:rsidR="00F647A1" w:rsidRPr="009342F9" w:rsidRDefault="00F647A1" w:rsidP="00F647A1">
      <w:pPr>
        <w:pStyle w:val="BodyText"/>
        <w:spacing w:line="264" w:lineRule="auto"/>
        <w:ind w:right="309"/>
        <w:jc w:val="both"/>
        <w:rPr>
          <w:sz w:val="20"/>
          <w:szCs w:val="20"/>
        </w:rPr>
      </w:pPr>
      <w:r w:rsidRPr="009342F9">
        <w:rPr>
          <w:w w:val="105"/>
        </w:rPr>
        <w:t>(</w:t>
      </w:r>
      <w:r w:rsidRPr="009342F9">
        <w:rPr>
          <w:w w:val="105"/>
          <w:sz w:val="20"/>
          <w:szCs w:val="20"/>
        </w:rPr>
        <w:t xml:space="preserve">Ver conceptos: </w:t>
      </w:r>
      <w:hyperlink r:id="rId38" w:history="1">
        <w:r w:rsidRPr="009342F9">
          <w:rPr>
            <w:rStyle w:val="Hyperlink"/>
            <w:w w:val="105"/>
            <w:sz w:val="20"/>
            <w:szCs w:val="20"/>
          </w:rPr>
          <w:t>C−190 del 16/04/2020</w:t>
        </w:r>
      </w:hyperlink>
      <w:r w:rsidRPr="009342F9">
        <w:rPr>
          <w:w w:val="105"/>
          <w:sz w:val="20"/>
          <w:szCs w:val="20"/>
        </w:rPr>
        <w:t>)</w:t>
      </w:r>
    </w:p>
    <w:p w14:paraId="6EBDC77F" w14:textId="77777777" w:rsidR="00FC79C1" w:rsidRPr="009342F9" w:rsidRDefault="00FC79C1" w:rsidP="00F647A1">
      <w:pPr>
        <w:spacing w:after="0" w:line="240" w:lineRule="auto"/>
        <w:jc w:val="both"/>
        <w:rPr>
          <w:rFonts w:ascii="Arial" w:eastAsia="Times New Roman" w:hAnsi="Arial" w:cs="Arial"/>
          <w:color w:val="000000"/>
          <w:lang w:eastAsia="es-CO"/>
        </w:rPr>
      </w:pPr>
    </w:p>
    <w:p w14:paraId="30793A04" w14:textId="7E886246" w:rsidR="00FC79C1" w:rsidRPr="009342F9" w:rsidRDefault="00FC79C1" w:rsidP="00F647A1">
      <w:pPr>
        <w:spacing w:after="0" w:line="240" w:lineRule="auto"/>
        <w:jc w:val="both"/>
        <w:rPr>
          <w:rFonts w:ascii="Arial" w:eastAsia="Times New Roman" w:hAnsi="Arial" w:cs="Arial"/>
          <w:color w:val="000000"/>
          <w:lang w:eastAsia="es-CO"/>
        </w:rPr>
      </w:pPr>
      <w:bookmarkStart w:id="1945" w:name="ver_30197894"/>
      <w:bookmarkStart w:id="1946" w:name="ver_30076001"/>
      <w:bookmarkEnd w:id="1945"/>
      <w:r w:rsidRPr="009342F9">
        <w:rPr>
          <w:rFonts w:ascii="Arial" w:eastAsia="Times New Roman" w:hAnsi="Arial" w:cs="Arial"/>
          <w:color w:val="000000"/>
          <w:lang w:eastAsia="es-CO"/>
        </w:rPr>
        <w:t>Artículo 2.3.3.1.7.20. Subrogado</w:t>
      </w:r>
      <w:r w:rsidR="000443A9">
        <w:rPr>
          <w:rFonts w:ascii="Arial" w:eastAsia="Times New Roman" w:hAnsi="Arial" w:cs="Arial"/>
          <w:color w:val="000000"/>
          <w:lang w:eastAsia="es-CO"/>
        </w:rPr>
        <w:t>.</w:t>
      </w:r>
    </w:p>
    <w:p w14:paraId="633F7A4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47" w:name="ver_30197895"/>
      <w:bookmarkStart w:id="1948" w:name="ver_30076002"/>
      <w:bookmarkEnd w:id="1946"/>
      <w:bookmarkEnd w:id="1947"/>
    </w:p>
    <w:p w14:paraId="1543BE35" w14:textId="54FF22A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2.3.3.1.7.21.</w:t>
      </w:r>
      <w:r w:rsidR="000443A9">
        <w:rPr>
          <w:rFonts w:ascii="Arial" w:eastAsia="Times New Roman" w:hAnsi="Arial" w:cs="Arial"/>
          <w:color w:val="000000"/>
          <w:lang w:eastAsia="es-CO"/>
        </w:rPr>
        <w:t xml:space="preserve"> </w:t>
      </w:r>
      <w:r w:rsidRPr="009342F9">
        <w:rPr>
          <w:rFonts w:ascii="Arial" w:eastAsia="Times New Roman" w:hAnsi="Arial" w:cs="Arial"/>
          <w:color w:val="000000"/>
          <w:lang w:eastAsia="es-CO"/>
        </w:rPr>
        <w:t>Subrogado</w:t>
      </w:r>
      <w:r w:rsidR="000443A9">
        <w:rPr>
          <w:rFonts w:ascii="Arial" w:eastAsia="Times New Roman" w:hAnsi="Arial" w:cs="Arial"/>
          <w:color w:val="000000"/>
          <w:lang w:eastAsia="es-CO"/>
        </w:rPr>
        <w:t>.</w:t>
      </w:r>
    </w:p>
    <w:p w14:paraId="56AD4C1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49" w:name="ver_30197896"/>
      <w:bookmarkStart w:id="1950" w:name="ver_30076003"/>
      <w:bookmarkEnd w:id="1948"/>
      <w:bookmarkEnd w:id="1949"/>
    </w:p>
    <w:p w14:paraId="514CDADB" w14:textId="1DA5CAF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2.3.3.1.7.22. Subrogado</w:t>
      </w:r>
      <w:r w:rsidR="000443A9">
        <w:rPr>
          <w:rFonts w:ascii="Arial" w:eastAsia="Times New Roman" w:hAnsi="Arial" w:cs="Arial"/>
          <w:color w:val="000000"/>
          <w:lang w:eastAsia="es-CO"/>
        </w:rPr>
        <w:t>.</w:t>
      </w:r>
    </w:p>
    <w:p w14:paraId="48FADDC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51" w:name="ver_30197897"/>
      <w:bookmarkStart w:id="1952" w:name="ver_30110826"/>
      <w:bookmarkStart w:id="1953" w:name="ver_30110827"/>
      <w:bookmarkEnd w:id="1950"/>
      <w:bookmarkEnd w:id="1951"/>
    </w:p>
    <w:p w14:paraId="5B1A6D49" w14:textId="5AE07AD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2.3.3.1.7.23.</w:t>
      </w:r>
      <w:r w:rsidR="000443A9">
        <w:rPr>
          <w:rFonts w:ascii="Arial" w:eastAsia="Times New Roman" w:hAnsi="Arial" w:cs="Arial"/>
          <w:color w:val="000000"/>
          <w:lang w:eastAsia="es-CO"/>
        </w:rPr>
        <w:t xml:space="preserve"> </w:t>
      </w:r>
      <w:r w:rsidRPr="009342F9">
        <w:rPr>
          <w:rFonts w:ascii="Arial" w:eastAsia="Times New Roman" w:hAnsi="Arial" w:cs="Arial"/>
          <w:color w:val="000000"/>
          <w:lang w:eastAsia="es-CO"/>
        </w:rPr>
        <w:t>Subrogado</w:t>
      </w:r>
      <w:r w:rsidR="000443A9">
        <w:rPr>
          <w:rFonts w:ascii="Arial" w:eastAsia="Times New Roman" w:hAnsi="Arial" w:cs="Arial"/>
          <w:color w:val="000000"/>
          <w:lang w:eastAsia="es-CO"/>
        </w:rPr>
        <w:t>.</w:t>
      </w:r>
    </w:p>
    <w:p w14:paraId="4E21DD77" w14:textId="77777777" w:rsidR="00FC79C1" w:rsidRPr="009342F9" w:rsidRDefault="00FC79C1" w:rsidP="00FC79C1">
      <w:pPr>
        <w:spacing w:after="0" w:line="240" w:lineRule="auto"/>
        <w:jc w:val="both"/>
        <w:rPr>
          <w:rFonts w:ascii="Arial" w:eastAsia="Times New Roman" w:hAnsi="Arial" w:cs="Arial"/>
          <w:color w:val="000000"/>
          <w:lang w:eastAsia="es-CO"/>
        </w:rPr>
      </w:pPr>
    </w:p>
    <w:p w14:paraId="043A0842"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54" w:name="ver_30197899"/>
      <w:bookmarkEnd w:id="1952"/>
      <w:bookmarkEnd w:id="1953"/>
      <w:bookmarkEnd w:id="1954"/>
      <w:r w:rsidRPr="009342F9">
        <w:rPr>
          <w:rFonts w:ascii="Arial" w:eastAsia="Times New Roman" w:hAnsi="Arial" w:cs="Arial"/>
          <w:b/>
          <w:bCs/>
          <w:color w:val="000000"/>
          <w:lang w:eastAsia="es-CO"/>
        </w:rPr>
        <w:t>SECCIÓN 8</w:t>
      </w:r>
    </w:p>
    <w:p w14:paraId="415B8047"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FINANCIAMIENTO DE LOS PLANES DEPARTAMENTALES PARA EL MANEJO EMPRESARIAL DE LOS SERVICIOS DE AGUA Y SANEAMIENTO (PDA)</w:t>
      </w:r>
    </w:p>
    <w:p w14:paraId="6E54F56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55" w:name="ver_30197900"/>
      <w:bookmarkEnd w:id="1955"/>
    </w:p>
    <w:p w14:paraId="4C56CFC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56" w:name="_Hlk47878932"/>
      <w:r w:rsidRPr="009342F9">
        <w:rPr>
          <w:rFonts w:ascii="Arial" w:eastAsia="Times New Roman" w:hAnsi="Arial" w:cs="Arial"/>
          <w:color w:val="000000"/>
          <w:lang w:eastAsia="es-CO"/>
        </w:rPr>
        <w:t>Artículo 2.3.3.1.8.1</w:t>
      </w:r>
      <w:bookmarkEnd w:id="1956"/>
      <w:r w:rsidRPr="009342F9">
        <w:rPr>
          <w:rFonts w:ascii="Arial" w:eastAsia="Times New Roman" w:hAnsi="Arial" w:cs="Arial"/>
          <w:color w:val="000000"/>
          <w:lang w:eastAsia="es-CO"/>
        </w:rPr>
        <w:t>. Recursos de los Planes Departamentales para el Manejo Empresarial de los Servicios de Agua y Saneamiento (PDA). Los recursos disponibles para la formulación e implementación de los Planes Departamentales para el Manejo Empresarial de los Servicios de Agua y Saneamiento (PDA) podrán provenir, entre otras fuentes, de las siguientes:  </w:t>
      </w:r>
    </w:p>
    <w:p w14:paraId="396CCB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B849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Recursos del Presupuesto General de la Nación.  </w:t>
      </w:r>
    </w:p>
    <w:p w14:paraId="41E703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78FC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Recursos del Sistema General de Participaciones.  </w:t>
      </w:r>
    </w:p>
    <w:p w14:paraId="7A72DC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71AC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Recursos del Sistema General de Regalías.  </w:t>
      </w:r>
    </w:p>
    <w:p w14:paraId="5AE639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4040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Recursos de las Autoridades Ambientales.  </w:t>
      </w:r>
    </w:p>
    <w:p w14:paraId="34ECAD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C491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Recursos propios o de libre destinación de las entidades territoriales o de cualquier otro participante de los Planes Departamentales para el Manejo Empresarial de los Servicios de Agua y Saneamiento (PDA).  </w:t>
      </w:r>
    </w:p>
    <w:p w14:paraId="6E05E9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EACA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Recursos de inversión de los prestadores que quieran ejecutar a través de los Planes Departamentales para el Manejo Empresarial de los Servicios de Agua y Saneamiento (PDA).  </w:t>
      </w:r>
    </w:p>
    <w:p w14:paraId="11611E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DB3B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Recursos del sector privado que se incorporen a la estructuración y ejecución de proyectos en el marco de asociaciones público-privadas.  </w:t>
      </w:r>
    </w:p>
    <w:p w14:paraId="568306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8E27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Recursos de cooperación internacional.  </w:t>
      </w:r>
    </w:p>
    <w:p w14:paraId="1785B7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CDE7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Cualquier otra fuente de recursos que pueda o deba aportarse al desarrollo de los Planes Departamentales para el Manejo Empresarial de los Servicios de Agua y Saneamiento (PDA).  </w:t>
      </w:r>
    </w:p>
    <w:p w14:paraId="193962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968E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bienes o derechos aportados a las empresas de servicios públicos con recursos para inversión en el marco de los Planes Departamentales para el Manejo Empresarial de los Servicios de Agua y Saneamiento (PDA) podrán dar aplicación a lo previsto en el artículo 87.9 de la Ley 142 de 1994 o la norma que la modifique, complemente o sustituya y la normativa que les sea aplicable.  </w:t>
      </w:r>
    </w:p>
    <w:p w14:paraId="2FD446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B14F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recursos de las entidades territoriales destinados a financiar los Planes Departamentales para el Manejo Empresarial de los Servicios de Agua y Saneamiento (PDA) se podrán comprometer a tal finalidad mediante la cesión temporal de la respectiva renta al patrimonio autónomo constituido o que se constituya como instrumento para el manejo de los recursos de los Planes Departamentales para el Manejo Empresarial de los Servicios de Agua y Saneamiento (PDA), previa autorización impartida por el respectivo Concejo Municipal o Asamblea Departamental, por el tiempo que se determine en los convenios de vinculación.  </w:t>
      </w:r>
    </w:p>
    <w:p w14:paraId="164B9E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040D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Las inversiones del sector de Agua Potable y Saneamiento Básico realizadas por parte de las entidades territoriales con recursos propios podrán ser incluidas en el Plan Estratégico de Inversiones (PEI) de cada Plan Departamental para el Manejo Empresarial de los Servicios de Agua y Saneamiento.  </w:t>
      </w:r>
    </w:p>
    <w:p w14:paraId="2C8A47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D683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Los municipios podrán girar recursos al instrumento para el manejo de los recursos para proyectos específicos. Estos recursos podrán no formar parte de los recursos aportados en los convenios tripartitos de vinculación al instrumento para manejo de los recursos, para lo cual deberán adelantarse los trámites que resulten pertinentes.  </w:t>
      </w:r>
    </w:p>
    <w:p w14:paraId="73926F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BB4660" w14:textId="37B6129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Las asignaciones del Presupuesto General de la Nación se llevarán a cabo, de conformidad con el Estatuto Orgánico de Presupuesto. </w:t>
      </w:r>
    </w:p>
    <w:p w14:paraId="5EF3A815" w14:textId="4484122F" w:rsidR="00F647A1" w:rsidRPr="009342F9" w:rsidRDefault="00F647A1" w:rsidP="00FC79C1">
      <w:pPr>
        <w:spacing w:after="0" w:line="240" w:lineRule="auto"/>
        <w:jc w:val="both"/>
        <w:rPr>
          <w:rFonts w:ascii="Arial" w:eastAsia="Times New Roman" w:hAnsi="Arial" w:cs="Arial"/>
          <w:color w:val="000000"/>
          <w:lang w:eastAsia="es-CO"/>
        </w:rPr>
      </w:pPr>
    </w:p>
    <w:p w14:paraId="4DF7FD6F" w14:textId="14840844" w:rsidR="00F647A1" w:rsidRPr="009342F9" w:rsidRDefault="00F647A1" w:rsidP="00F647A1">
      <w:pPr>
        <w:pStyle w:val="BodyText"/>
        <w:spacing w:line="264" w:lineRule="auto"/>
        <w:ind w:right="311"/>
        <w:rPr>
          <w:sz w:val="20"/>
          <w:szCs w:val="20"/>
        </w:rPr>
      </w:pPr>
      <w:r w:rsidRPr="009342F9">
        <w:rPr>
          <w:w w:val="105"/>
          <w:sz w:val="20"/>
          <w:szCs w:val="20"/>
        </w:rPr>
        <w:t xml:space="preserve">(Ver conceptos: </w:t>
      </w:r>
      <w:hyperlink r:id="rId39" w:history="1">
        <w:r w:rsidRPr="009342F9">
          <w:rPr>
            <w:rStyle w:val="Hyperlink"/>
            <w:w w:val="105"/>
            <w:sz w:val="20"/>
            <w:szCs w:val="20"/>
          </w:rPr>
          <w:t>C−190 del 16/04/2020</w:t>
        </w:r>
      </w:hyperlink>
      <w:r w:rsidRPr="009342F9">
        <w:rPr>
          <w:w w:val="105"/>
          <w:sz w:val="20"/>
          <w:szCs w:val="20"/>
        </w:rPr>
        <w:t>)</w:t>
      </w:r>
    </w:p>
    <w:p w14:paraId="07DE0C5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57" w:name="ver_30197901"/>
      <w:bookmarkEnd w:id="1957"/>
    </w:p>
    <w:p w14:paraId="6C8C1C9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58" w:name="_Hlk47879040"/>
      <w:r w:rsidRPr="009342F9">
        <w:rPr>
          <w:rFonts w:ascii="Arial" w:eastAsia="Times New Roman" w:hAnsi="Arial" w:cs="Arial"/>
          <w:color w:val="000000"/>
          <w:lang w:eastAsia="es-CO"/>
        </w:rPr>
        <w:t>Artículo 2.3.3.1.8.2. </w:t>
      </w:r>
      <w:bookmarkEnd w:id="1958"/>
      <w:r w:rsidRPr="009342F9">
        <w:rPr>
          <w:rFonts w:ascii="Arial" w:eastAsia="Times New Roman" w:hAnsi="Arial" w:cs="Arial"/>
          <w:color w:val="000000"/>
          <w:lang w:eastAsia="es-CO"/>
        </w:rPr>
        <w:t>Instrumento para el manejo de los recursos. Es el mecanismo para el desarrollo e implementación de la estrategia de financiación de cada Plan Departamental para el Manejo Empresarial de los Servicios de Agua y Saneamiento. Los departamentos, distritos y municipios o gestores podrán celebrar negocios fiduciarios, incluyendo contratos de fiducia mercantil, para la administración y ejecución de los recursos destinados a la formulación e implementación de los Planes Departamentales para el Manejo Empresarial de los Servicios de Agua y Saneamiento (PDA), o adherirse a contratos previamente celebrados con dicha finalidad, de conformidad con lo previsto en el artículo 12 de la Ley 1176 de 2007 y el parágrafo 3° del artículo 21 de la Ley 1450 de 2011 o las normas que las modifiquen, complementen o sustituyan.  </w:t>
      </w:r>
    </w:p>
    <w:p w14:paraId="563226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F130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instrumento para el manejo de los recursos que se constituya tendrá como objetivos, entre otros:  </w:t>
      </w:r>
    </w:p>
    <w:p w14:paraId="2BD6BA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BA30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Ser el mecanismo financiero para la administración de los recursos de los Planes Departamentales para el Manejo Empresarial de los Servicios de Agua y Saneamiento (PDA), y de pago de las obligaciones que se adquieran para su formulación y ejecución.  </w:t>
      </w:r>
    </w:p>
    <w:p w14:paraId="6CD332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3BA9EC" w14:textId="6B270AA0"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Apoyar la implementación del Plan Financiero. </w:t>
      </w:r>
    </w:p>
    <w:p w14:paraId="53CF9309" w14:textId="19516964" w:rsidR="00F647A1" w:rsidRPr="009342F9" w:rsidRDefault="00F647A1" w:rsidP="00F647A1">
      <w:pPr>
        <w:spacing w:after="0" w:line="240" w:lineRule="auto"/>
        <w:jc w:val="both"/>
        <w:rPr>
          <w:rFonts w:ascii="Arial" w:eastAsia="Times New Roman" w:hAnsi="Arial" w:cs="Arial"/>
          <w:color w:val="000000"/>
          <w:lang w:eastAsia="es-CO"/>
        </w:rPr>
      </w:pPr>
    </w:p>
    <w:p w14:paraId="15382309" w14:textId="101FEF98" w:rsidR="00F647A1" w:rsidRPr="009342F9" w:rsidRDefault="00F647A1" w:rsidP="00F647A1">
      <w:pPr>
        <w:widowControl w:val="0"/>
        <w:tabs>
          <w:tab w:val="left" w:pos="504"/>
        </w:tabs>
        <w:autoSpaceDE w:val="0"/>
        <w:autoSpaceDN w:val="0"/>
        <w:spacing w:after="0" w:line="240" w:lineRule="auto"/>
        <w:rPr>
          <w:rFonts w:ascii="Arial" w:hAnsi="Arial" w:cs="Arial"/>
          <w:sz w:val="20"/>
          <w:szCs w:val="20"/>
        </w:rPr>
      </w:pPr>
      <w:r w:rsidRPr="009342F9">
        <w:rPr>
          <w:rFonts w:ascii="Arial" w:hAnsi="Arial" w:cs="Arial"/>
          <w:sz w:val="20"/>
          <w:szCs w:val="20"/>
        </w:rPr>
        <w:t xml:space="preserve">(Ver conceptos: </w:t>
      </w:r>
      <w:hyperlink r:id="rId40" w:history="1">
        <w:r w:rsidRPr="009342F9">
          <w:rPr>
            <w:rStyle w:val="Hyperlink"/>
            <w:rFonts w:ascii="Arial" w:hAnsi="Arial" w:cs="Arial"/>
            <w:sz w:val="20"/>
            <w:szCs w:val="20"/>
          </w:rPr>
          <w:t>C – 190 del 16/04/2020</w:t>
        </w:r>
      </w:hyperlink>
      <w:r w:rsidRPr="009342F9">
        <w:rPr>
          <w:rFonts w:ascii="Arial" w:hAnsi="Arial" w:cs="Arial"/>
          <w:sz w:val="20"/>
          <w:szCs w:val="20"/>
        </w:rPr>
        <w:t>)</w:t>
      </w:r>
    </w:p>
    <w:p w14:paraId="3CC58D09" w14:textId="77777777" w:rsidR="00FC79C1" w:rsidRPr="009342F9" w:rsidRDefault="00FC79C1" w:rsidP="00F647A1">
      <w:pPr>
        <w:spacing w:after="0" w:line="240" w:lineRule="auto"/>
        <w:jc w:val="both"/>
        <w:rPr>
          <w:rFonts w:ascii="Arial" w:eastAsia="Times New Roman" w:hAnsi="Arial" w:cs="Arial"/>
          <w:color w:val="000000"/>
          <w:lang w:eastAsia="es-CO"/>
        </w:rPr>
      </w:pPr>
      <w:bookmarkStart w:id="1959" w:name="ver_30197902"/>
      <w:bookmarkEnd w:id="1959"/>
    </w:p>
    <w:p w14:paraId="01C05A81" w14:textId="77777777" w:rsidR="00FC79C1" w:rsidRPr="009342F9" w:rsidRDefault="00FC79C1" w:rsidP="00F647A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2.3.3.1.8.3. Estrategia de Financiación. En cada Plan Departamental para el Manejo Empresarial de los Servicios de Agua y Saneamiento, el Gestor deberá proyectar un plan financiero que incluya el análisis de la capacidad de endeudamiento por entidad territorial, el cual requiere ser concertado con los participantes del Plan Departamental. Los Gestores deberán brindar asistencia técnica a los participantes de los Planes Departamentales para el Manejo Empresarial de los Servicios de Agua y Saneamiento (PDA) para la implementación del plan financiero. </w:t>
      </w:r>
    </w:p>
    <w:p w14:paraId="4B5CBE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FAE6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financiero podrá tener las siguientes fuentes: </w:t>
      </w:r>
    </w:p>
    <w:p w14:paraId="176BAF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389A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Recursos comprometidos por cada uno de los participantes a los Planes Departamentales para el Manejo Empresarial de los Servicios de Agua y Saneamiento (PDA) a los que se refiere la Sección 4, a través del instrumento para el manejo de los recursos. </w:t>
      </w:r>
    </w:p>
    <w:p w14:paraId="2B7E2C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7820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Otras rentas de los participantes de los Planes Departamentales para el Manejo Empresarial de los Servicios de Agua y Saneamiento (PDA) que estos se encuentren en capacidad de destinar a financiar los Planes Departamentales. </w:t>
      </w:r>
    </w:p>
    <w:p w14:paraId="759439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5DAB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Recursos de operaciones de crédito público celebradas por los participantes de los Planes Departamentales para el Manejo Empresarial de los Servicios de Agua y Saneamiento (PDA). </w:t>
      </w:r>
    </w:p>
    <w:p w14:paraId="482FF014" w14:textId="721A0462" w:rsidR="00F647A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7AC1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Recursos de operaciones de crédito público celebradas por los Gestores, en nombre propio, cuya garantía y fuente de pago sean los recursos de cada Plan Departamental para el Manejo Empresarial de los Servicios de Agua y Saneamiento que se administren en el instrumento para el manejo de los recursos, una vez se surtan los trámites que resulten necesarios para tal fin. Los recursos de cada Plan Departamental para el Manejo Empresarial de los Servicios de Agua y Saneamiento solo podrán servir de garantía y fuente de pago de los créditos que adquiera el Gestor del respectivo departamento, para lo cual se podrán constituir patrimonios autónomos derivados. </w:t>
      </w:r>
    </w:p>
    <w:p w14:paraId="3B505F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789165" w14:textId="5C32873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formular el plan financiero, deberá tener en cuenta las opciones de financiación que se encuentren en el mercado, considerando la normativa vigente en materia presupuestal. </w:t>
      </w:r>
    </w:p>
    <w:p w14:paraId="38C2F5F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60" w:name="ver_30197903"/>
      <w:bookmarkEnd w:id="1960"/>
    </w:p>
    <w:p w14:paraId="2A6210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2.3.3.1.8.4. Apoyos de la Nación al Sector de Agua y Saneamiento Básico. Para efectos de lo previsto en la Ley 1450 de 2011, en especial, en el artículo 21 vigente acorde con lo preceptuado en la Ley 1955 de 2019 o la norma que la modifique, sustituya o adicione, y en el presente capítulo, los recursos de cofinanciación, aportes de inversión regional y apoyo de la Nación al sector de agua potable y saneamiento básico, son los apoyos financieros constituidos por las apropiaciones que se incluyan anualmente en el Presupuesto General de la Nación (PGN) a favor de las entidades territoriales, destinados a ejecutarse en el marco de los Planes Departamentales, al igual que la asistencia técnica o los apoyos en especie entregados.  </w:t>
      </w:r>
    </w:p>
    <w:p w14:paraId="0F0F3D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A91C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perjuicio de lo anterior, podrán implementarse otros programas del Gobierno nacional que tengan vinculados recursos de cooperación y apoyo que recibe la Nación de organismos internacionales y recursos del Presupuesto General de la Nación (PGN), con el fin de cofinanciar programas del sector de agua potable y saneamiento básico, los cuales podrán ejecutarse fuera del Plan Departamental, y dentro del marco de lo previsto en el Estatuto Orgánico del Presupuesto General de la Nación. </w:t>
      </w:r>
    </w:p>
    <w:p w14:paraId="22AAF00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61" w:name="ver_30197904"/>
      <w:bookmarkEnd w:id="1961"/>
    </w:p>
    <w:p w14:paraId="12C6BA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2.3.3.1.8.5. Bolsas de Apoyo Financiero a los PDA. En el marco de los PDA, las entidades territoriales podrán acceder a los apoyos a que se refiere el artículo anterior, a través de bolsas de apoyo financiero.  </w:t>
      </w:r>
    </w:p>
    <w:p w14:paraId="6CFF9D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38D7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desarrollo de lo dispuesto en los artículos 21 y 130 de la Ley 1450 de 2011, se cuenta con tres bolsas de apoyo financiero a las entidades territoriales en el marco de la política de los PDA para el sector de agua potable y saneamiento básico, a saber:  </w:t>
      </w:r>
    </w:p>
    <w:p w14:paraId="10A504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9F84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Bolsa “Concurso Territorial”: Es aquella a la que se destinan recursos de apoyo financiero de la Nación que serán asignados por el Ministerio de Vivienda, Ciudad y Territorio a proyectos que podrán presentar los municipios o distritos de aquellos departamentos debidamente vinculados al PDA.  </w:t>
      </w:r>
    </w:p>
    <w:p w14:paraId="73A735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C66B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Bolsa “Inversiones PDA”: Es aquella a la que se destinan los recursos de apoyo financiero de la Nación al Programa, de acuerdo con los cupos indicativos señalados en el artículo 2.3.3.3.1 del presente decreto o la norma que lo modifique, complemente o sustituya.  </w:t>
      </w:r>
    </w:p>
    <w:p w14:paraId="071A02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E969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Bolsa “Proyectos Estratégicos”: Es aquella a la que se destinan recursos de apoyo financiero de la Nación que serán asignados a los municipios y departamentos por el Ministerio de Vivienda, Ciudad y Territorio a aquellos proyectos que se enmarquen en las políticas estratégicas del Ministerio de Vivienda, Ciudad y Territorio definidas en la Ley 1450 de 2011 y en la Ley 1955 de 2019 o la norma que la modifique, complemente o sustituya.  </w:t>
      </w:r>
    </w:p>
    <w:p w14:paraId="147E72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F50A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Vivienda, Ciudad y Territorio determinará los criterios para la selección de los proyectos por financiar con recursos provenientes de las bolsas Concurso Territorial y Proyectos Estratégicos. </w:t>
      </w:r>
    </w:p>
    <w:p w14:paraId="4A1FFA5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62" w:name="ver_30197905"/>
      <w:bookmarkEnd w:id="1962"/>
    </w:p>
    <w:p w14:paraId="47D4A8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2.3.3.1.8.6. Asignación de Apoyos Financieros de la Nación a los Planes Departamentales para el Manejo Empresarial de los Servicios de Agua y Saneamiento (PDA). Los recursos de apoyo financiero que se llegaren a incorporar anualmente en el Presupuesto General de la Nación (PGN) para apoyar la formulación y ejecución de los Planes Departamentales para el Manejo Empresarial de los Servicios de Agua y Saneamiento (PDA) serán asignados por el Ministerio de Vivienda, Ciudad y Territorio a las entidades territoriales, mediante resolución.  </w:t>
      </w:r>
    </w:p>
    <w:p w14:paraId="445184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5702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Expedida la Resolución y el Registro Presupuestal correspondiente, los recursos se entenderán comprometidos presupuestalmente a favor de cada entidad territorial beneficiaria.  </w:t>
      </w:r>
    </w:p>
    <w:p w14:paraId="530F28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956F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 resolución de asignación de recursos establecerá las condiciones que deben cumplir las entidades territoriales para el desembolso de los recursos asignados, así como las causales por las que no recibirán los mismos.  </w:t>
      </w:r>
    </w:p>
    <w:p w14:paraId="0AEE7C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1955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recursos de apoyo financiero para el desarrollo de Proyectos Estratégicos podrán ejecutarse mediante apoyo financiero a los entes territoriales a través de una Gerencia Integral que para tal efecto contratará la Nación, evento en el cual se definirá en el marco del contrato el mecanismo para hacer efectivo el apoyo financiero. </w:t>
      </w:r>
    </w:p>
    <w:p w14:paraId="1CE2B39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63" w:name="ver_30197906"/>
      <w:bookmarkEnd w:id="1963"/>
    </w:p>
    <w:p w14:paraId="400FCC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2.3.3.1.8.7. Requisitos para hacer exigible el pago de los apoyos financieros de la Nación a los Planes Departamentales para el Manejo Empresarial de los Servicios de Agua y Saneamiento (PDA). Será requisito para hacer exigible el pago, la celebración de un convenio de uso de recursos entre el Ministerio de Vivienda, Ciudad y Territorio y la respectiva entidad territorial beneficiaria que contendrá, como mínimo, lo siguiente:  </w:t>
      </w:r>
    </w:p>
    <w:p w14:paraId="3925D4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44A0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Términos y condiciones en que se invertirán los apoyos financieros otorgados por la Nación.  </w:t>
      </w:r>
    </w:p>
    <w:p w14:paraId="12BB49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0A94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Instrumento para el manejo de los recursos.  </w:t>
      </w:r>
    </w:p>
    <w:p w14:paraId="4F008A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D830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Compromisos periódicos de avance que garanticen el cumplimiento del desarrollo del Plan Departamental para el Manejo Empresarial de los Servicios de Agua y Saneamiento en los términos acordados.  </w:t>
      </w:r>
    </w:p>
    <w:p w14:paraId="1ADA0F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A8BB0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Ministerio de Vivienda, Ciudad y Territorio podrá señalar los documentos e información requerida que deberán suministrar las entidades territoriales para hacer exigible el pago de los recursos de apoyo financiero de la Nación.  </w:t>
      </w:r>
    </w:p>
    <w:p w14:paraId="1C1088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5F42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Cumplidos los requisitos a que se refiere el inciso anterior, los recursos podrán ser girados directamente al instrumento para el manejo de los recursos respectivo. </w:t>
      </w:r>
    </w:p>
    <w:p w14:paraId="39DE6B9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64" w:name="ver_30197907"/>
      <w:bookmarkEnd w:id="1964"/>
    </w:p>
    <w:p w14:paraId="24D2B3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2.3.3.1.8.8. Articulación con el Sistema General de Regalías. Los proyectos de inversión debidamente estructurados y formulados que se pretendan financiar o cofinanciar con recursos del Sistema General de Regalías y respecto de los cuales el Representante Legal de la entidad territorial haya manifestado expresamente su deseo de inclusión dentro del Plan Departamental para el Manejo Empresarial de los Servicios de Agua y Saneamiento (PDA), seguirán las reglas generales para los proyectos de inversión contempladas en la Ley 1530 de 2012, sus reglamentos y las normas que los modifiquen, adicionen o sustituyan.  </w:t>
      </w:r>
    </w:p>
    <w:p w14:paraId="424CB7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2D67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Dichos proyectos, una vez aprobados por el correspondiente Órgano Colegiado de Administración y Decisión (OCAD), podrán registrarse en los instrumentos de planeación del respectivo Plan Departamental señalados en el presente capítulo en los eventos que los mismos cuenten con recursos de contrapartida de la Nación o del Plan Departamental, o que tengan concepto favorable del Gestor sobre el aporte de dichos proyectos a las metas de cobertura, calidad y continuidad.  </w:t>
      </w:r>
    </w:p>
    <w:p w14:paraId="2CFB40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DB0F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Conforme al artículo 144 de la Ley 1530 de 2012 o la norma que la modifique, sustituya o adicione, los Planes Departamentales para el Manejo Empresarial de los Servicios de Agua y Saneamiento (PDA) que hayan sido financiados con recursos de regalías antes del 31 de diciembre de 2011, continuarán rigiéndose por las disposiciones vigentes al momento de compromiso de los recursos”. </w:t>
      </w:r>
    </w:p>
    <w:p w14:paraId="6A282924" w14:textId="77777777" w:rsidR="004E2147" w:rsidRPr="009342F9" w:rsidRDefault="004E2147" w:rsidP="00FC79C1">
      <w:pPr>
        <w:spacing w:after="0" w:line="240" w:lineRule="auto"/>
        <w:jc w:val="both"/>
        <w:rPr>
          <w:rFonts w:ascii="Arial" w:eastAsia="Times New Roman" w:hAnsi="Arial" w:cs="Arial"/>
          <w:color w:val="000000"/>
          <w:lang w:eastAsia="es-CO"/>
        </w:rPr>
      </w:pPr>
      <w:bookmarkStart w:id="1965" w:name="ver_30076006"/>
      <w:bookmarkEnd w:id="1965"/>
    </w:p>
    <w:p w14:paraId="2998BE6D" w14:textId="3C7B8849"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63CE21F4" w14:textId="77777777" w:rsidR="00FC79C1"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MECANISMO DEPARTAMENTAL DE EVALUACIÓN Y VIABILIZACIÓN DE PROYECTOS DEL SECTOR DE AGUA POTABLE Y SANEAMIENTO BÁSICO</w:t>
      </w:r>
    </w:p>
    <w:p w14:paraId="32FA14C8" w14:textId="77777777" w:rsidR="00F739F4" w:rsidRPr="009342F9" w:rsidRDefault="00F739F4" w:rsidP="004E2147">
      <w:pPr>
        <w:spacing w:after="0" w:line="240" w:lineRule="auto"/>
        <w:jc w:val="center"/>
        <w:rPr>
          <w:rFonts w:ascii="Arial" w:eastAsia="Times New Roman" w:hAnsi="Arial" w:cs="Arial"/>
          <w:b/>
          <w:bCs/>
          <w:color w:val="000000"/>
          <w:lang w:eastAsia="es-CO"/>
        </w:rPr>
      </w:pPr>
    </w:p>
    <w:p w14:paraId="75F97CFB"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7F3CA63C"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PARTE GENERAL</w:t>
      </w:r>
    </w:p>
    <w:p w14:paraId="54C2522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66" w:name="ver_30076007"/>
      <w:bookmarkEnd w:id="1966"/>
    </w:p>
    <w:p w14:paraId="3DD623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2.3.3.2.1.1 Objeto. Por medio del presente capítulo se establece el Mecanismo Departamental para la evaluación y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del sector de agua potable y saneamiento básico a financiar con recursos que no provienen de la Nación, y se determinan los requisitos y procedimientos para la presentación,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y aprobación de proyectos. </w:t>
      </w:r>
    </w:p>
    <w:p w14:paraId="2259A729" w14:textId="48275C8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67" w:name="ver_30076008"/>
      <w:bookmarkEnd w:id="1967"/>
    </w:p>
    <w:p w14:paraId="646E96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2.3.3.2.1.2.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A través del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se evaluarán y viabilizarán aquellos proyectos del sector de agua potable y saneamiento básico que han sido priorizados en el marco de los Planes Departamentales de Agua y de los demás programas regionales para el manejo de agua potable y saneamiento básico de que trata el Artículo primero del presente capítulo y cuya financiación no incorpore recursos provenientes de la Nación. </w:t>
      </w:r>
    </w:p>
    <w:p w14:paraId="312DD8C6" w14:textId="5787D87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68" w:name="ver_30076009"/>
      <w:bookmarkEnd w:id="1968"/>
    </w:p>
    <w:p w14:paraId="46E1E0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2.3.3.2.1.3. Comité técnico de proyectos. El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contará con un Comité Técnico Departamental de Proyectos, como instancia asesora en el proceso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y aprobación de los proyectos de agua potable y saneamiento básico a financiar exclusivamente con recursos que no provienen de la Nación, previstos en los instrumentos de planeación de los Planes Departamentales de Agua, así como aquellos que se ejecuten en el marco de Programas regionales para el manejo de agua potable y saneamiento básico, que estará adscrito a la Oficina de Planeación, Secretaría de Planeación, al Departamento Administrativo de Planeación o a la instancia a nivel departamental que haga sus veces. </w:t>
      </w:r>
    </w:p>
    <w:p w14:paraId="627E92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B4FD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Técnico Departamental de Proyectos podrá ser creado y adoptado por Decreto Departamental y deberá estar integrado como mínimo por los siguientes miembros, sin perjuicio de la participación de los miembros permanentes del Banco de Proyectos del Departamento. </w:t>
      </w:r>
    </w:p>
    <w:p w14:paraId="36737A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2ADA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Un Delegado del Gobernador. </w:t>
      </w:r>
    </w:p>
    <w:p w14:paraId="120BF1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38E5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2. El Jefe de la Oficina de Planeación, el Secretario de Planeación Departamental, el </w:t>
      </w:r>
      <w:proofErr w:type="gramStart"/>
      <w:r w:rsidRPr="009342F9">
        <w:rPr>
          <w:rFonts w:ascii="Arial" w:eastAsia="Times New Roman" w:hAnsi="Arial" w:cs="Arial"/>
          <w:color w:val="000000"/>
          <w:lang w:eastAsia="es-CO"/>
        </w:rPr>
        <w:t>Director</w:t>
      </w:r>
      <w:proofErr w:type="gramEnd"/>
      <w:r w:rsidRPr="009342F9">
        <w:rPr>
          <w:rFonts w:ascii="Arial" w:eastAsia="Times New Roman" w:hAnsi="Arial" w:cs="Arial"/>
          <w:color w:val="000000"/>
          <w:lang w:eastAsia="es-CO"/>
        </w:rPr>
        <w:t xml:space="preserve"> del Departamento Administrativo de Planeación o quien haga sus veces, o su delegado quien deberá ser un funcionario del nivel directivo. </w:t>
      </w:r>
    </w:p>
    <w:p w14:paraId="74B6BA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10FD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El Secretario de la Dependencia competente en materia de agua y saneamiento; en aquellos departamentos en que dicho cargo no exista podrá ser reemplazado por el </w:t>
      </w:r>
      <w:proofErr w:type="gramStart"/>
      <w:r w:rsidRPr="009342F9">
        <w:rPr>
          <w:rFonts w:ascii="Arial" w:eastAsia="Times New Roman" w:hAnsi="Arial" w:cs="Arial"/>
          <w:color w:val="000000"/>
          <w:lang w:eastAsia="es-CO"/>
        </w:rPr>
        <w:t>Secretario</w:t>
      </w:r>
      <w:proofErr w:type="gramEnd"/>
      <w:r w:rsidRPr="009342F9">
        <w:rPr>
          <w:rFonts w:ascii="Arial" w:eastAsia="Times New Roman" w:hAnsi="Arial" w:cs="Arial"/>
          <w:color w:val="000000"/>
          <w:lang w:eastAsia="es-CO"/>
        </w:rPr>
        <w:t xml:space="preserve"> de. Infraestructura o quien haga sus veces, o su delegado quien deberá ser un funcionario del nivel directivo. </w:t>
      </w:r>
    </w:p>
    <w:p w14:paraId="23CF92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3ECE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El Gestor del PAP - PDA, quien tendrá </w:t>
      </w:r>
      <w:proofErr w:type="gramStart"/>
      <w:r w:rsidRPr="009342F9">
        <w:rPr>
          <w:rFonts w:ascii="Arial" w:eastAsia="Times New Roman" w:hAnsi="Arial" w:cs="Arial"/>
          <w:color w:val="000000"/>
          <w:lang w:eastAsia="es-CO"/>
        </w:rPr>
        <w:t>voz</w:t>
      </w:r>
      <w:proofErr w:type="gramEnd"/>
      <w:r w:rsidRPr="009342F9">
        <w:rPr>
          <w:rFonts w:ascii="Arial" w:eastAsia="Times New Roman" w:hAnsi="Arial" w:cs="Arial"/>
          <w:color w:val="000000"/>
          <w:lang w:eastAsia="es-CO"/>
        </w:rPr>
        <w:t xml:space="preserve"> pero no voto. </w:t>
      </w:r>
    </w:p>
    <w:p w14:paraId="1D72FE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A49A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El Secretario de Medio Ambiente o quien haga sus veces, cuando se trate de la evaluación de proyectos del componente ambiental del PAP- PDA, o su delegado quien deberá ser un funcionario del nivel directivo. </w:t>
      </w:r>
    </w:p>
    <w:p w14:paraId="48D22A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C17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Un Alcalde que forme parte del Comité Directivo del PAP- PDA o su delegado. </w:t>
      </w:r>
    </w:p>
    <w:p w14:paraId="360139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14BA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El Coordinador del Banco de Proyectos o quien haga sus veces. </w:t>
      </w:r>
    </w:p>
    <w:p w14:paraId="7E3859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D119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Secretaría Técnica del Comité será ejercida por el Gestor. </w:t>
      </w:r>
    </w:p>
    <w:p w14:paraId="3ACAEB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C9F3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los eventos en que las actividades encomendadas al Gestor del PAP -PDA sean desarrolladas por una secretaria de las enunciadas como miembro permanente del Comité, la participación en aprobación de proyectos se desarrollará únicamente en su calidad de Gestor y en consecuencia se podrá delegar por el Gobernador un </w:t>
      </w:r>
      <w:proofErr w:type="gramStart"/>
      <w:r w:rsidRPr="009342F9">
        <w:rPr>
          <w:rFonts w:ascii="Arial" w:eastAsia="Times New Roman" w:hAnsi="Arial" w:cs="Arial"/>
          <w:color w:val="000000"/>
          <w:lang w:eastAsia="es-CO"/>
        </w:rPr>
        <w:t>Secretario</w:t>
      </w:r>
      <w:proofErr w:type="gramEnd"/>
      <w:r w:rsidRPr="009342F9">
        <w:rPr>
          <w:rFonts w:ascii="Arial" w:eastAsia="Times New Roman" w:hAnsi="Arial" w:cs="Arial"/>
          <w:color w:val="000000"/>
          <w:lang w:eastAsia="es-CO"/>
        </w:rPr>
        <w:t xml:space="preserve"> ad hoc. </w:t>
      </w:r>
    </w:p>
    <w:p w14:paraId="7F8BD6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BDCB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Comité Técnico podrá invitar a las sesiones a funcionarios de la Gobernación expertos en agua y saneamiento o representantes de la academia, que considere pertinentes, para escuchar sus opiniones o conceptos sobre temas específicos. </w:t>
      </w:r>
    </w:p>
    <w:p w14:paraId="36412F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CFBBE4" w14:textId="77777777" w:rsidR="00FC79C1" w:rsidRPr="009342F9" w:rsidRDefault="00FC79C1" w:rsidP="00FC79C1">
      <w:p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Igualmente</w:t>
      </w:r>
      <w:proofErr w:type="gramEnd"/>
      <w:r w:rsidRPr="009342F9">
        <w:rPr>
          <w:rFonts w:ascii="Arial" w:eastAsia="Times New Roman" w:hAnsi="Arial" w:cs="Arial"/>
          <w:color w:val="000000"/>
          <w:lang w:eastAsia="es-CO"/>
        </w:rPr>
        <w:t xml:space="preserve"> el Comité Técnico podrá solicitar al Gestor el acompañamiento técnico por parte de expertos, acorde con la especialidad del tema. </w:t>
      </w:r>
    </w:p>
    <w:p w14:paraId="7651B00F" w14:textId="46D9E51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69" w:name="ver_30076010"/>
      <w:bookmarkEnd w:id="1969"/>
    </w:p>
    <w:p w14:paraId="36DC18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2.3.3.2.1.4. Quórum </w:t>
      </w:r>
      <w:proofErr w:type="spellStart"/>
      <w:r w:rsidRPr="009342F9">
        <w:rPr>
          <w:rFonts w:ascii="Arial" w:eastAsia="Times New Roman" w:hAnsi="Arial" w:cs="Arial"/>
          <w:color w:val="000000"/>
          <w:lang w:eastAsia="es-CO"/>
        </w:rPr>
        <w:t>deliberatorio</w:t>
      </w:r>
      <w:proofErr w:type="spellEnd"/>
      <w:r w:rsidRPr="009342F9">
        <w:rPr>
          <w:rFonts w:ascii="Arial" w:eastAsia="Times New Roman" w:hAnsi="Arial" w:cs="Arial"/>
          <w:color w:val="000000"/>
          <w:lang w:eastAsia="es-CO"/>
        </w:rPr>
        <w:t xml:space="preserve"> y decisorio. Solo serán válidas las sesiones del Comité Técnico de Proyectos donde se cuente por lo menos con las tres cuartas partes de los miembros permanentes. En cualquier </w:t>
      </w:r>
      <w:proofErr w:type="gramStart"/>
      <w:r w:rsidRPr="009342F9">
        <w:rPr>
          <w:rFonts w:ascii="Arial" w:eastAsia="Times New Roman" w:hAnsi="Arial" w:cs="Arial"/>
          <w:color w:val="000000"/>
          <w:lang w:eastAsia="es-CO"/>
        </w:rPr>
        <w:t>caso</w:t>
      </w:r>
      <w:proofErr w:type="gramEnd"/>
      <w:r w:rsidRPr="009342F9">
        <w:rPr>
          <w:rFonts w:ascii="Arial" w:eastAsia="Times New Roman" w:hAnsi="Arial" w:cs="Arial"/>
          <w:color w:val="000000"/>
          <w:lang w:eastAsia="es-CO"/>
        </w:rPr>
        <w:t xml:space="preserve"> para la toma de decisiones se aplicará la regla de mayoría simple. </w:t>
      </w:r>
    </w:p>
    <w:p w14:paraId="719E4C7D" w14:textId="689026D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70" w:name="ver_30076011"/>
      <w:bookmarkEnd w:id="1970"/>
    </w:p>
    <w:p w14:paraId="60E93C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2.3.3.2.1.5. Funciones del comité técnico de proyectos. El Comité Técnico de Proyectos tendrá las siguientes funciones: </w:t>
      </w:r>
    </w:p>
    <w:p w14:paraId="6EB403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EA72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Emitir concepto al Gobernador recomendando la viabilidad o no de los proyectos que se sometan a su consideración. El concepto emitido sobre </w:t>
      </w:r>
      <w:proofErr w:type="gramStart"/>
      <w:r w:rsidRPr="009342F9">
        <w:rPr>
          <w:rFonts w:ascii="Arial" w:eastAsia="Times New Roman" w:hAnsi="Arial" w:cs="Arial"/>
          <w:color w:val="000000"/>
          <w:lang w:eastAsia="es-CO"/>
        </w:rPr>
        <w:t>éste</w:t>
      </w:r>
      <w:proofErr w:type="gramEnd"/>
      <w:r w:rsidRPr="009342F9">
        <w:rPr>
          <w:rFonts w:ascii="Arial" w:eastAsia="Times New Roman" w:hAnsi="Arial" w:cs="Arial"/>
          <w:color w:val="000000"/>
          <w:lang w:eastAsia="es-CO"/>
        </w:rPr>
        <w:t xml:space="preserve"> particular deberá estar sustentado técnicamente. </w:t>
      </w:r>
    </w:p>
    <w:p w14:paraId="5F2E9F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A600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Aprobar modificaciones o reformulaciones de proyectos previamente aprobados. </w:t>
      </w:r>
    </w:p>
    <w:p w14:paraId="6D6246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364E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Definir su propio reglamento, que deberá incluir un procedimiento para elegir presidente en cada sesión y para dirimir casos de empate en la votación en el evento de que los mismos se presenten. </w:t>
      </w:r>
    </w:p>
    <w:p w14:paraId="08A4920B" w14:textId="5110A1D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71" w:name="ver_30076012"/>
      <w:bookmarkEnd w:id="1971"/>
    </w:p>
    <w:p w14:paraId="2C836B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2.3.3.2.1.6. </w:t>
      </w:r>
      <w:proofErr w:type="gramStart"/>
      <w:r w:rsidRPr="009342F9">
        <w:rPr>
          <w:rFonts w:ascii="Arial" w:eastAsia="Times New Roman" w:hAnsi="Arial" w:cs="Arial"/>
          <w:color w:val="000000"/>
          <w:lang w:eastAsia="es-CO"/>
        </w:rPr>
        <w:t>Proyectos A Presentar</w:t>
      </w:r>
      <w:proofErr w:type="gramEnd"/>
      <w:r w:rsidRPr="009342F9">
        <w:rPr>
          <w:rFonts w:ascii="Arial" w:eastAsia="Times New Roman" w:hAnsi="Arial" w:cs="Arial"/>
          <w:color w:val="000000"/>
          <w:lang w:eastAsia="es-CO"/>
        </w:rPr>
        <w:t xml:space="preserve"> Al Comité Técnico Para Su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A través del Mecanismo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Departamental, se presentarán para su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y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usos que para cada fuente de recursos establezcan la ley, decretos, Resoluciones o Acuerdos, los proyectos orientados a: </w:t>
      </w:r>
    </w:p>
    <w:p w14:paraId="48C81C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F67B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6.1. Construcción, ampliación, rehabilitación de sistemas de acueducto, alcantarillado sanitario y pluvial, y aseo. </w:t>
      </w:r>
    </w:p>
    <w:p w14:paraId="6DFA2B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5AB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6.2. Construcción, ampliación y rehabilitación de sistemas de disposición final, tratamiento y/o aprovechamiento de residuos sólidos y tratamiento de lixiviados. En aquellos casos en que se contemple el aprovechamiento de residuos sólidos, el proyecto deberá contar con el estudio de mercado que determine su viabilidad financiera. </w:t>
      </w:r>
    </w:p>
    <w:p w14:paraId="013AA7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447F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6.3. Conservación de microcuencas que abastecen el sistema de acueducto, protección de fuentes y reforestación de dichas fuentes y aguas subterráneas. </w:t>
      </w:r>
    </w:p>
    <w:p w14:paraId="58EC64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E284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6.4. Gestión de riesgos de los diferentes componentes de los sistemas de acueducto alcantarillado y aseo. </w:t>
      </w:r>
    </w:p>
    <w:p w14:paraId="30133E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56BD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6.5. Proyectos de </w:t>
      </w:r>
      <w:proofErr w:type="spellStart"/>
      <w:r w:rsidRPr="009342F9">
        <w:rPr>
          <w:rFonts w:ascii="Arial" w:eastAsia="Times New Roman" w:hAnsi="Arial" w:cs="Arial"/>
          <w:color w:val="000000"/>
          <w:lang w:eastAsia="es-CO"/>
        </w:rPr>
        <w:t>preinversión</w:t>
      </w:r>
      <w:proofErr w:type="spellEnd"/>
      <w:r w:rsidRPr="009342F9">
        <w:rPr>
          <w:rFonts w:ascii="Arial" w:eastAsia="Times New Roman" w:hAnsi="Arial" w:cs="Arial"/>
          <w:color w:val="000000"/>
          <w:lang w:eastAsia="es-CO"/>
        </w:rPr>
        <w:t xml:space="preserve"> e inversión en infraestructuras de agua y saneamiento, así como de rehabilitación, reconstrucción, prevención y/o mitigación de riesgos de los sistemas de acueducto, alcantarillado y/o aseo, que se vean afectados por cualquier situación de desastre. </w:t>
      </w:r>
    </w:p>
    <w:p w14:paraId="33AF7E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9AD9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6.6. Equipos requeridos para la operación de los sistemas de acueducto alcantarillado y aseo, incluyendo sistemas alternativos de generación eléctrica. </w:t>
      </w:r>
    </w:p>
    <w:p w14:paraId="45A0C2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5030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6.7. </w:t>
      </w:r>
      <w:proofErr w:type="spellStart"/>
      <w:r w:rsidRPr="009342F9">
        <w:rPr>
          <w:rFonts w:ascii="Arial" w:eastAsia="Times New Roman" w:hAnsi="Arial" w:cs="Arial"/>
          <w:color w:val="000000"/>
          <w:lang w:eastAsia="es-CO"/>
        </w:rPr>
        <w:t>Preinversión</w:t>
      </w:r>
      <w:proofErr w:type="spellEnd"/>
      <w:r w:rsidRPr="009342F9">
        <w:rPr>
          <w:rFonts w:ascii="Arial" w:eastAsia="Times New Roman" w:hAnsi="Arial" w:cs="Arial"/>
          <w:color w:val="000000"/>
          <w:lang w:eastAsia="es-CO"/>
        </w:rPr>
        <w:t xml:space="preserve"> en Planes Maestros de acueducto y alcantarillado, estudios, diseños e interventoría cuyo alcance deberá contemplar los aspectos técnico, administrativo, financiero y ambiental de los mismos. </w:t>
      </w:r>
    </w:p>
    <w:p w14:paraId="765A16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20D1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De conformidad con el capítulo I del presente título, el Comité Directivo del PAP – PDA determinará los casos específicos en los cuales los proyectos requieren solamente la aprobación por parte del Comité Directivo, a través de las respectivas Actas. </w:t>
      </w:r>
    </w:p>
    <w:p w14:paraId="45F9CB1F" w14:textId="1273F5E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72" w:name="ver_30076013"/>
      <w:bookmarkEnd w:id="1972"/>
    </w:p>
    <w:p w14:paraId="1AF244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2.3.3.2.1.7. Actividades o componentes no susceptibles de financiación. Con recursos del Sistema General de Participaciones no se podrán financiar las actividades o componentes que no se encuentren enmarcados en las actividades definidas en los artículos 10 y 11 de la Ley 1176 de 2007 o aquella que la modifique, sustituya o derogue. </w:t>
      </w:r>
    </w:p>
    <w:p w14:paraId="118E026F" w14:textId="06E0891D" w:rsidR="00FC79C1" w:rsidRPr="009342F9" w:rsidRDefault="00FC79C1" w:rsidP="00E476D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002289"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73" w:name="ver_30076014"/>
      <w:bookmarkEnd w:id="1973"/>
      <w:r w:rsidRPr="009342F9">
        <w:rPr>
          <w:rFonts w:ascii="Arial" w:eastAsia="Times New Roman" w:hAnsi="Arial" w:cs="Arial"/>
          <w:b/>
          <w:bCs/>
          <w:color w:val="000000"/>
          <w:lang w:eastAsia="es-CO"/>
        </w:rPr>
        <w:t>SECCIÓN 2</w:t>
      </w:r>
    </w:p>
    <w:p w14:paraId="70399CCF"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PRESENTACIÓN DE PROYECTOS</w:t>
      </w:r>
    </w:p>
    <w:p w14:paraId="6D41B67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74" w:name="ver_30076015"/>
      <w:bookmarkEnd w:id="1974"/>
    </w:p>
    <w:p w14:paraId="0D03056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2.3.3.2.2.8. Presentación de proyectos. Para efectos del presente capítulo, podrán presentar proyectos del sector de agua potable y saneamiento básico los departamentos, los municipios y Distritos. </w:t>
      </w:r>
    </w:p>
    <w:p w14:paraId="47F1E2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81C2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proyectos del sector de agua potable y saneamiento básico podrán ser presentados ante el Gestor del PAP – PDA quien los remitirá al Comité Técnico de Proyectos para su evaluación y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w:t>
      </w:r>
    </w:p>
    <w:p w14:paraId="766E3014" w14:textId="0BC4AE4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75" w:name="ver_30076016"/>
      <w:bookmarkEnd w:id="1975"/>
    </w:p>
    <w:p w14:paraId="7C3775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2.3.3.2.2.9. Requisitos para la presentación de los proyectos. Los proyectos que presenten las entidades territoriales para su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por parte del Comité Técnico de Proyectos deberán, además de cumplir con los requisitos previstos por el Departamento para su inclusión en el banco de proyectos, acreditar los requisitos que se definan en la guía de que trata el artículo 2.3.3.2.4.14 del presente capítulo. </w:t>
      </w:r>
    </w:p>
    <w:p w14:paraId="008DDD81" w14:textId="15F4224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76" w:name="ver_30076017"/>
      <w:bookmarkEnd w:id="1976"/>
    </w:p>
    <w:p w14:paraId="5D7755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2.3.3.2.2.10. Documentos para la presentación de proyectos. Los proyectos que presenten las entidades territoriales directamente al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o que sean radicados ante el Gestor del respectivo PAP – PDA, deben contener la documentación que se defina en la guía de que trata el artículo 2.3.3.2.4.14 del presente capítulo. </w:t>
      </w:r>
    </w:p>
    <w:p w14:paraId="461661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DFD1AA"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1977" w:name="ver_30076018"/>
      <w:bookmarkEnd w:id="1977"/>
      <w:r w:rsidRPr="009342F9">
        <w:rPr>
          <w:rFonts w:ascii="Arial" w:eastAsia="Times New Roman" w:hAnsi="Arial" w:cs="Arial"/>
          <w:b/>
          <w:bCs/>
          <w:color w:val="000000"/>
          <w:lang w:eastAsia="es-CO"/>
        </w:rPr>
        <w:t>SECCIÓN 3</w:t>
      </w:r>
    </w:p>
    <w:p w14:paraId="437B464B"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EVALUACIÓN, VIABILIZACIÓN Y APROBACIÓN DE PROYECTOS</w:t>
      </w:r>
    </w:p>
    <w:p w14:paraId="6B44756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78" w:name="ver_30076019"/>
      <w:bookmarkEnd w:id="1978"/>
    </w:p>
    <w:p w14:paraId="3C59A9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2.3.3.2.3.11. Procedimiento y plazos de evaluación,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y aprobación. Para la evaluación,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y aprobación de los proyectos de agua potable y saneamiento básico presentados en el marco del presente decreto, se atenderá el siguiente procedimiento: </w:t>
      </w:r>
    </w:p>
    <w:p w14:paraId="56CFD6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546A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11.1. Una vez formulado el proyecto por los entes territoriales, el mismo deberá ser radicado para su evaluación ante la Secretaría Técnica del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w:t>
      </w:r>
    </w:p>
    <w:p w14:paraId="078765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4B03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 El Gestor incorporará el respectivo proyecto al Plan de Acción del Municipio. </w:t>
      </w:r>
    </w:p>
    <w:p w14:paraId="08C6BE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8162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11.3. El Comité Técnico Departamental de Proyectos asignará un evaluador quien deberá emitir revisión técnica en un plazo no mayor de diez (10) días hábiles. </w:t>
      </w:r>
    </w:p>
    <w:p w14:paraId="3DA23B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D5C9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11.4. Una vez el proyecto cuente con revisión técnica favorable del evaluador, se convocará al Comité Técnico Departamental de Proyectos para que sesione en un plazo no mayor a cinco (5) días hábiles. En dicha sesión el Evaluador designado sustentará el respectivo proyecto, y el Comité emitirá un concepto recomendando o no la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del mismo. </w:t>
      </w:r>
    </w:p>
    <w:p w14:paraId="0B91E1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8BE9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11.5. Una vez el Comité emita la recomendación con el respectivo concepto técnico, el Gobernador mediante oficio dará a conocer a la entidad territorial correspondiente y al Gestor la decisión de viabilidad o no del proyecto, acorde con la carta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modelo prevista en la Guía de que trata el artículo 2.3.3.2.4.14 del presente capítulo. </w:t>
      </w:r>
    </w:p>
    <w:p w14:paraId="708D18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FA6D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11.6. El valor final del proyecto corresponderá al consignado en la carta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w:t>
      </w:r>
    </w:p>
    <w:p w14:paraId="75482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3E7A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11.7. Igualmente se remitirá la carta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con su respectivo concepto al Comité Directivo del Programa Agua para la Prosperidad - Plan Departamental de Agua, al Ministerio de Vivienda, Ciudad y Territorio y al Gestor a fin de que éste último de inicio al trámite de contratación en los términos previstos por el artículo 2.3.3.2.4.15 del capítulo 1 del título 3 de este Libro o la norma que lo sustituya o derogue y para que se le comunique a la entidad responsable de la administración de los recursos, para que expida los respectivos Certificados de Disponibilidad de Recursos – CDR, que permitan dar inicio a los procesos de contratación. </w:t>
      </w:r>
    </w:p>
    <w:p w14:paraId="754EE968" w14:textId="0FAA424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79" w:name="ver_30076020"/>
      <w:bookmarkEnd w:id="1979"/>
    </w:p>
    <w:p w14:paraId="6F5D37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2.3.3.2.3.12. Evaluación de proyectos. La evaluación de los proyectos regionales </w:t>
      </w:r>
      <w:proofErr w:type="gramStart"/>
      <w:r w:rsidRPr="009342F9">
        <w:rPr>
          <w:rFonts w:ascii="Arial" w:eastAsia="Times New Roman" w:hAnsi="Arial" w:cs="Arial"/>
          <w:color w:val="000000"/>
          <w:lang w:eastAsia="es-CO"/>
        </w:rPr>
        <w:t>presentados,</w:t>
      </w:r>
      <w:proofErr w:type="gramEnd"/>
      <w:r w:rsidRPr="009342F9">
        <w:rPr>
          <w:rFonts w:ascii="Arial" w:eastAsia="Times New Roman" w:hAnsi="Arial" w:cs="Arial"/>
          <w:color w:val="000000"/>
          <w:lang w:eastAsia="es-CO"/>
        </w:rPr>
        <w:t xml:space="preserve"> se llevará a cabo por el personal profesional contratado o vinculado por el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del respectivo departamento, de que trata el artículo 2.3.3.2.1.3. del presente capítulo, el cual contará como mínimo con los perfiles que se definan en la guía de que trata el artículo 2.3.3.2.4.14 del presente capítulo. </w:t>
      </w:r>
    </w:p>
    <w:p w14:paraId="6633EC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0D69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no podrán realizar la evaluación de proyectos aquellas personas jurídicas y naturales que hayan participado en la formulación, diseño o planificación de los proyectos. </w:t>
      </w:r>
    </w:p>
    <w:p w14:paraId="2A8C63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DC3F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Así mismo, no podrán realizar la ejecución, construcción o interventoría de los proyectos aquellas personas jurídicas o naturales que participaron en las actividades de evaluación y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del mismo, con capacidad de voto. </w:t>
      </w:r>
    </w:p>
    <w:p w14:paraId="2A6ACD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661E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primero. Los profesionales del equipo evaluador podrán ser funcionarios o contratistas. </w:t>
      </w:r>
    </w:p>
    <w:p w14:paraId="0EB26C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F436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segundo. Los costos del Mecanismo Departamental de Evaluación de Proyectos podrán ser asumidos con cargo a recursos propios del Departamento o del SGP del Departamento (Sector Agua Potable y Saneamiento Básico), con previa aprobación del Comité Directivo del PAP - PDA, y acorde con las directrices que para tal efecto defina el Ministerio de Vivienda, Ciudad y Territorio. </w:t>
      </w:r>
    </w:p>
    <w:p w14:paraId="29985BAC" w14:textId="5978729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80" w:name="ver_30076021"/>
      <w:bookmarkEnd w:id="1980"/>
    </w:p>
    <w:p w14:paraId="55019E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2.3.3.2.3.13. Requisitos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Los proyectos de agua potable y saneamiento básico que presenten las entidades territoriales y el Gestor en el marco del presente decreto podrán declararse viables por parte del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una vez se hayan cumplido los requisitos y documentos de presentación, el Comité Técnico Departamental haya emitido el respectivo concepto de viabilidad y se cuente con los recursos disponibles para su financiación. </w:t>
      </w:r>
    </w:p>
    <w:p w14:paraId="61A0F56B" w14:textId="4EE0771C"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81" w:name="ver_30076022"/>
      <w:bookmarkEnd w:id="1981"/>
    </w:p>
    <w:p w14:paraId="0E395E38" w14:textId="0C778E76"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49E03979"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OTRAS DISPOSICIONES</w:t>
      </w:r>
    </w:p>
    <w:p w14:paraId="3A09BA7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82" w:name="ver_30076023"/>
      <w:bookmarkEnd w:id="1982"/>
    </w:p>
    <w:p w14:paraId="224323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2.3.3.2.4.14. Guía. El Ministerio de Vivienda, Ciudad y Territorio expedirá la Guía para la presentación,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y aprobación de proyectos ante el Mecanismo Departamental de Evaluación y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del sector de agua potable y saneamiento básico en el marco de los Planes Departamentales de Agua y los demás Programas regionales para el manejo de agua potable y saneamiento básico. </w:t>
      </w:r>
    </w:p>
    <w:p w14:paraId="04A654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1579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Gobernador del respectivo departamento dará aplicación a los contenidos mínimos que se establezcan en la Guía que expida el Ministerio y los incorporará como obligatorios en el proceso de evaluación y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w:t>
      </w:r>
    </w:p>
    <w:p w14:paraId="25DBE018" w14:textId="39657CC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83" w:name="ver_30076024"/>
      <w:bookmarkEnd w:id="1983"/>
    </w:p>
    <w:p w14:paraId="7F30C5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2.3.3.2.4.15. Documentos, formatos y disposiciones particulares. Además de los formatos, documentos y disposiciones particulares establecidas por cada departamento para la inscripción de proyectos en su banco de proyectos, corresponderá a cada departamento definir los formatos, documentos y criterios de orden técnico y procedimental requeridos para la presentación de proyectos de agua potable y saneamiento básico ante el respectivo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w:t>
      </w:r>
    </w:p>
    <w:p w14:paraId="6B6E4C4C" w14:textId="2E4601B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84" w:name="ver_30076025"/>
      <w:bookmarkEnd w:id="1984"/>
    </w:p>
    <w:p w14:paraId="0171FE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2.3.3.2.4.16. Capacitación al mecanismo departamental de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El Viceministerio de Agua y Saneamiento Básico del Ministerio de Vivienda, Ciudad y Territorio, en coordinación con otras entidades del orden nacional y departamental deberá efectuar procesos de capacitación técnica constante con los responsables de la evaluación al interior de los Departamentos </w:t>
      </w:r>
    </w:p>
    <w:p w14:paraId="097E603C" w14:textId="39739DF2"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85" w:name="ver_30076026"/>
      <w:bookmarkEnd w:id="1985"/>
    </w:p>
    <w:p w14:paraId="4C646D9F" w14:textId="76F3FEAE"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43CE4B79"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DISTRIBUCIÓN DE CUPOS INDICATIVOS PARA AGUA POTABLE</w:t>
      </w:r>
    </w:p>
    <w:p w14:paraId="5C322B36"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Y SANEAMIENTO BÁSICO</w:t>
      </w:r>
    </w:p>
    <w:p w14:paraId="0BB090A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86" w:name="ver_30076027"/>
      <w:bookmarkEnd w:id="1986"/>
    </w:p>
    <w:p w14:paraId="0FAB49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2.3.3.3.1. Distribución de cupos indicativos para agua potable y saneamiento básico. Como resultado de la aplicación de los criterios de equidad regional previstos en el artículo 93 de la Ley 1151 de 2007, a </w:t>
      </w:r>
      <w:proofErr w:type="gramStart"/>
      <w:r w:rsidRPr="009342F9">
        <w:rPr>
          <w:rFonts w:ascii="Arial" w:eastAsia="Times New Roman" w:hAnsi="Arial" w:cs="Arial"/>
          <w:color w:val="000000"/>
          <w:lang w:eastAsia="es-CO"/>
        </w:rPr>
        <w:t>continuación</w:t>
      </w:r>
      <w:proofErr w:type="gramEnd"/>
      <w:r w:rsidRPr="009342F9">
        <w:rPr>
          <w:rFonts w:ascii="Arial" w:eastAsia="Times New Roman" w:hAnsi="Arial" w:cs="Arial"/>
          <w:color w:val="000000"/>
          <w:lang w:eastAsia="es-CO"/>
        </w:rPr>
        <w:t xml:space="preserve"> se presenta la distribución de los cupos indicativos para cada departamento, del billón de pesos a que se refiere el artículo 94 de dicha ley, ajustado al Plan Nacional de Inversiones 2007-2010: </w:t>
      </w:r>
    </w:p>
    <w:p w14:paraId="393A97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CF667F" w14:textId="58488918"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66AFDAC7" wp14:editId="17042C89">
            <wp:extent cx="5529578" cy="7177404"/>
            <wp:effectExtent l="0" t="0" r="0" b="444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pic:nvPicPr>
                  <pic:blipFill>
                    <a:blip r:embed="rId41">
                      <a:extLst>
                        <a:ext uri="{28A0092B-C50C-407E-A947-70E740481C1C}">
                          <a14:useLocalDpi xmlns:a14="http://schemas.microsoft.com/office/drawing/2010/main" val="0"/>
                        </a:ext>
                      </a:extLst>
                    </a:blip>
                    <a:stretch>
                      <a:fillRect/>
                    </a:stretch>
                  </pic:blipFill>
                  <pic:spPr>
                    <a:xfrm>
                      <a:off x="0" y="0"/>
                      <a:ext cx="5529578" cy="7177404"/>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46D3483D" w14:textId="77777777" w:rsidR="004E2147" w:rsidRPr="009342F9" w:rsidRDefault="004E2147" w:rsidP="00FC79C1">
      <w:pPr>
        <w:spacing w:after="0" w:line="240" w:lineRule="auto"/>
        <w:jc w:val="both"/>
        <w:rPr>
          <w:rFonts w:ascii="Arial" w:eastAsia="Times New Roman" w:hAnsi="Arial" w:cs="Arial"/>
          <w:color w:val="000000"/>
          <w:lang w:eastAsia="es-CO"/>
        </w:rPr>
      </w:pPr>
      <w:bookmarkStart w:id="1987" w:name="ver_30076028"/>
      <w:bookmarkEnd w:id="1987"/>
    </w:p>
    <w:p w14:paraId="0A9BD754" w14:textId="2CF1799D"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4</w:t>
      </w:r>
    </w:p>
    <w:p w14:paraId="17A0660B" w14:textId="77777777" w:rsidR="00FC79C1"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SUBSIDIOS</w:t>
      </w:r>
    </w:p>
    <w:p w14:paraId="637CEB68" w14:textId="77777777" w:rsidR="00F739F4" w:rsidRPr="009342F9" w:rsidRDefault="00F739F4" w:rsidP="004E2147">
      <w:pPr>
        <w:spacing w:after="0" w:line="240" w:lineRule="auto"/>
        <w:jc w:val="center"/>
        <w:rPr>
          <w:rFonts w:ascii="Arial" w:eastAsia="Times New Roman" w:hAnsi="Arial" w:cs="Arial"/>
          <w:b/>
          <w:bCs/>
          <w:color w:val="000000"/>
          <w:lang w:eastAsia="es-CO"/>
        </w:rPr>
      </w:pPr>
    </w:p>
    <w:p w14:paraId="7F777422"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24AF28C6" w14:textId="77777777" w:rsidR="00FC79C1"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FONDOS DE SOLIDARIDAD Y REDISTRIBUCIÓN DE INGRESOS DEL ORDEN DEPARTAMENTAL, MUNICIPAL Y DISTRITAL PARA LOS SERVICIOS DE ACUEDUCTO, ALCANTARILLADO Y ASEO</w:t>
      </w:r>
    </w:p>
    <w:p w14:paraId="5D68E32D" w14:textId="77777777" w:rsidR="00F739F4" w:rsidRPr="009342F9" w:rsidRDefault="00F739F4" w:rsidP="004E2147">
      <w:pPr>
        <w:spacing w:after="0" w:line="240" w:lineRule="auto"/>
        <w:jc w:val="center"/>
        <w:rPr>
          <w:rFonts w:ascii="Arial" w:eastAsia="Times New Roman" w:hAnsi="Arial" w:cs="Arial"/>
          <w:b/>
          <w:bCs/>
          <w:color w:val="000000"/>
          <w:lang w:eastAsia="es-CO"/>
        </w:rPr>
      </w:pPr>
    </w:p>
    <w:p w14:paraId="6EBC0779"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1</w:t>
      </w:r>
    </w:p>
    <w:p w14:paraId="3E779B1A"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DEFINICIONES Y ÁMBITO DE APLICACIÓN DEL SUBSIDIO</w:t>
      </w:r>
    </w:p>
    <w:p w14:paraId="0D860EE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88" w:name="ver_30076029"/>
      <w:bookmarkEnd w:id="1988"/>
    </w:p>
    <w:p w14:paraId="6AF5D7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2.3.4.1.1.1. Definiciones. Para los efectos de este capítulo se adoptan las siguientes: </w:t>
      </w:r>
    </w:p>
    <w:p w14:paraId="744BF8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820C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Aporte solidario: Es la diferencia entre el valor que se paga por un servicio público domiciliario y el costo económico de referencia, cuando este costo es menor que el pago que efectúa el usuario o suscriptor. </w:t>
      </w:r>
    </w:p>
    <w:p w14:paraId="152EF2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0E2B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Consumo básico: Es aquel que se destina a satisfacer las necesidades básicas de las familias. Para cada servicio, el consumo básico será el que defina la Comisión de Regulación de Agua Potable y Saneamiento Básico. </w:t>
      </w:r>
    </w:p>
    <w:p w14:paraId="4BAB78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426F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Costo económico de referencia del servicio: Es el resultante de aplicar los criterios y las metodologías que defina la Comisión de Regulación de Agua Potable y Saneamiento Básico de acuerdo con las disposiciones de la Ley 142 de 1994. </w:t>
      </w:r>
    </w:p>
    <w:p w14:paraId="6BB6A0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4B0D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Subsidio: Se entiende por subsidio la diferencia entre el valor que un usuario o suscriptor paga por el consumo básico del servicio público domiciliario y su costo económico de referencia, cuando tal costo es mayor que el pago que efectúa el usuario o suscriptor. </w:t>
      </w:r>
    </w:p>
    <w:p w14:paraId="5245A6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20DC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Usuario: Persona natural o jurídica que se beneficia con la prestación de un servicio público, bien como propietario del inmueble en donde éste se presta, o como receptor directo del servicio, cuando es sujeto de facturación. </w:t>
      </w:r>
    </w:p>
    <w:p w14:paraId="68AAEE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8BB9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Usuarios de menores ingresos: Son aquellas personas naturales o jurídicas que se benefician de un servicio público y que pertenecen a los estratos 1 y 2. </w:t>
      </w:r>
    </w:p>
    <w:p w14:paraId="7939B221" w14:textId="440D66B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89" w:name="ver_30076030"/>
      <w:bookmarkEnd w:id="1989"/>
    </w:p>
    <w:p w14:paraId="3573A2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2.3.4.1.1.2. Beneficiarios del Subsidio. Para efectos de lo dispuesto en este capítulo, se entiende por beneficiarios del subsidio a los usuarios de menores ingresos, y en las condiciones que defina la Comisión de Regulación de Agua Potable y Saneamiento Básico a los del estrato 3, de las zonas urbanas y rurales. Los estratos serán los resultantes de la aplicación de la metodología establecida por el Departamento Nacional de Planeación. </w:t>
      </w:r>
    </w:p>
    <w:p w14:paraId="542F31CB" w14:textId="72BF7A8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0" w:name="ver_30076031"/>
      <w:bookmarkEnd w:id="1990"/>
    </w:p>
    <w:p w14:paraId="31960C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2.3.4.1.1.3. Objeto del subsidio. Podrá ser objeto del subsidio, la facturación correspondiente al valor del consumo básico de los beneficiarios del subsidio y los costos económicos para garantizar la disponibilidad permanente del servicio. Igualmente, los cargos por aportes de conexión domiciliaria, incluyendo la acometida y el medidor de los estratos 1, 2 y 3 podrán ser subsidiados (artículo 97 de la Ley 142 de 1994). </w:t>
      </w:r>
    </w:p>
    <w:p w14:paraId="043A11A7" w14:textId="57633150" w:rsidR="004E2147" w:rsidRPr="009342F9" w:rsidRDefault="00FC79C1" w:rsidP="00E476D9">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1991" w:name="ver_30076032"/>
      <w:bookmarkEnd w:id="1991"/>
    </w:p>
    <w:p w14:paraId="475386E4" w14:textId="32871B96"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6A6AA40E"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NATURALEZA Y OPERACIÓN DE LOS FONDOS DE SOLIDARIDAD Y REDISTRIBUCIÓN DE INGRESOS</w:t>
      </w:r>
    </w:p>
    <w:p w14:paraId="1824950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1992" w:name="ver_30076033"/>
      <w:bookmarkEnd w:id="1992"/>
    </w:p>
    <w:p w14:paraId="4E756B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2.3.4.1.2.4. Naturaleza de los Fondos de Solidaridad y Redistribución de Ingresos para los servicios de acueducto, alcantarillado y aseo. Los Fondos de Solidaridad y Redistribución de Ingresos, que de acuerdo con la Ley 142 de 1994 deben constituir los concejos municipales y distritales y las asambleas, serán cuentas especiales dentro de la contabilidad de los municipios, distritos y departamentos, a través de las cuales se contabilizarán exclusivamente los recursos destinados a otorgar subsidios a los servicios públicos domiciliarios. </w:t>
      </w:r>
    </w:p>
    <w:p w14:paraId="09A839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AEEC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Dentro de cada Fondo creado se llevará la contabilidad separada por cada servicio prestado en el municipio o distrito y al interior de ellos no podrán hacerse transferencias de recursos entre servicios. </w:t>
      </w:r>
    </w:p>
    <w:p w14:paraId="0D62E295" w14:textId="2FE3E4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3" w:name="ver_30076034"/>
      <w:bookmarkEnd w:id="1993"/>
    </w:p>
    <w:p w14:paraId="259B1F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2.3.4.1.2.5. Determinación del monto de subsidios. Cada entidad prestadora de los servicios públicos deberá comunicar a la Secretaría de Hacienda respectiva o a quien haga sus veces en la preparación del anteproyecto de presupuesto municipal, distrital o departamental, los requerimientos anuales de subsidios para cada servicio que preste. Así mismo, comunicará los estimativos de recaudo por aporte solidario. </w:t>
      </w:r>
    </w:p>
    <w:p w14:paraId="4E60A4F0" w14:textId="5A48925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4" w:name="ver_30076035"/>
      <w:bookmarkEnd w:id="1994"/>
    </w:p>
    <w:p w14:paraId="6CA458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2.3.4.1.2.6. Criterios de asignación.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municipal o distrital o el Gobernador, según sea el caso, definirán los criterios con los cuales deberán asignarse los recursos destinados a sufragar los subsidios, en concordancia con lo establecido por la Ley 142 de 1994 y por este capítulo. </w:t>
      </w:r>
    </w:p>
    <w:p w14:paraId="77D345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217B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Cuando el monto de los recursos aprobado por las autoridades competentes en el Fondo de Solidaridad no sea suficiente para cubrir la totalidad de los subsidios previstos, la entidad prestadora de los servicios públicos </w:t>
      </w:r>
      <w:proofErr w:type="gramStart"/>
      <w:r w:rsidRPr="009342F9">
        <w:rPr>
          <w:rFonts w:ascii="Arial" w:eastAsia="Times New Roman" w:hAnsi="Arial" w:cs="Arial"/>
          <w:color w:val="000000"/>
          <w:lang w:eastAsia="es-CO"/>
        </w:rPr>
        <w:t>domiciliarios,</w:t>
      </w:r>
      <w:proofErr w:type="gramEnd"/>
      <w:r w:rsidRPr="009342F9">
        <w:rPr>
          <w:rFonts w:ascii="Arial" w:eastAsia="Times New Roman" w:hAnsi="Arial" w:cs="Arial"/>
          <w:color w:val="000000"/>
          <w:lang w:eastAsia="es-CO"/>
        </w:rPr>
        <w:t xml:space="preserve"> deberá prever el plan de ajuste tarifario requerido. </w:t>
      </w:r>
    </w:p>
    <w:p w14:paraId="21FB03A3" w14:textId="0B782F9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5" w:name="ver_30076036"/>
      <w:bookmarkEnd w:id="1995"/>
    </w:p>
    <w:p w14:paraId="35C74CAC"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2.3.4.1.2.7. Contabilidad interna. Las entidades prestadoras de los servicios públicos domiciliarios deberán llevar cuentas detalladas de las sumas recaudadas y de las recibidas por transferencias de otras entidades con destino a los Fondos de Solidaridad y Redistribución de Ingresos, y de su aplicación. </w:t>
      </w:r>
    </w:p>
    <w:p w14:paraId="39D52EC3"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6FC53B"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Si la entidad presta servicios en varios municipios, las cuentas internas y la contabilidad deberán, además, llevarse en forma separada para cada municipio. </w:t>
      </w:r>
    </w:p>
    <w:p w14:paraId="54EE52D5"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EC8C85"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Si en un municipio un mismo servicio es prestado por diferentes entidades cada una de ellas deberá llevar la contabilidad de aportes solidarios y subsidios de su zona o área de servicio. </w:t>
      </w:r>
    </w:p>
    <w:p w14:paraId="081C8079" w14:textId="2C3B5BC3" w:rsidR="00FC79C1" w:rsidRPr="009342F9" w:rsidRDefault="00FC79C1" w:rsidP="00E476D9">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6" w:name="ver_30076037"/>
      <w:bookmarkEnd w:id="1996"/>
    </w:p>
    <w:p w14:paraId="48795A01"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2.3.4.1.2.8. Procedimiento interno. Las entidades prestadoras de los servicios públicos domiciliarios, mensual o bimestralmente, o según el período de facturación, efectuarán el cálculo de subsidios y aportes solidarios. La diferencia entre aportes solidarios y subsidios generará déficit o superávit. </w:t>
      </w:r>
    </w:p>
    <w:p w14:paraId="72F6BB49" w14:textId="73F2568E" w:rsidR="00FC79C1" w:rsidRPr="009342F9" w:rsidRDefault="00FC79C1" w:rsidP="00E476D9">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7" w:name="ver_30076038"/>
      <w:bookmarkEnd w:id="1997"/>
    </w:p>
    <w:p w14:paraId="7E7BC8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2.3.4.1.2.9. Manejo de los superávits. Los superávits resultantes del cruce de que trata el artículo </w:t>
      </w:r>
      <w:proofErr w:type="gramStart"/>
      <w:r w:rsidRPr="009342F9">
        <w:rPr>
          <w:rFonts w:ascii="Arial" w:eastAsia="Times New Roman" w:hAnsi="Arial" w:cs="Arial"/>
          <w:color w:val="000000"/>
          <w:lang w:eastAsia="es-CO"/>
        </w:rPr>
        <w:t>anterior,</w:t>
      </w:r>
      <w:proofErr w:type="gramEnd"/>
      <w:r w:rsidRPr="009342F9">
        <w:rPr>
          <w:rFonts w:ascii="Arial" w:eastAsia="Times New Roman" w:hAnsi="Arial" w:cs="Arial"/>
          <w:color w:val="000000"/>
          <w:lang w:eastAsia="es-CO"/>
        </w:rPr>
        <w:t xml:space="preserve"> ingresarán al Fondo de Solidaridad y Redistribución de Ingresos municipal, distrital o departamental, según sea el caso. </w:t>
      </w:r>
    </w:p>
    <w:p w14:paraId="6DCA61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806A6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las entidades prestadoras de los servicios públicos desarrollen sus actividades en varios municipios de un mismo departamento, los superávits deberán ingresar a los Fondos de Solidaridad y Redistribución de Ingresos del municipio donde éstos se generen. </w:t>
      </w:r>
    </w:p>
    <w:p w14:paraId="021DE6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26F7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recursos provenientes de aportes solidarios que constituyan superávit del Fondo de Solidaridad y Redistribución de </w:t>
      </w:r>
      <w:proofErr w:type="gramStart"/>
      <w:r w:rsidRPr="009342F9">
        <w:rPr>
          <w:rFonts w:ascii="Arial" w:eastAsia="Times New Roman" w:hAnsi="Arial" w:cs="Arial"/>
          <w:color w:val="000000"/>
          <w:lang w:eastAsia="es-CO"/>
        </w:rPr>
        <w:t>Ingresos,</w:t>
      </w:r>
      <w:proofErr w:type="gramEnd"/>
      <w:r w:rsidRPr="009342F9">
        <w:rPr>
          <w:rFonts w:ascii="Arial" w:eastAsia="Times New Roman" w:hAnsi="Arial" w:cs="Arial"/>
          <w:color w:val="000000"/>
          <w:lang w:eastAsia="es-CO"/>
        </w:rPr>
        <w:t xml:space="preserve"> se distribuirán según lo dispuesto en este capítulo. </w:t>
      </w:r>
    </w:p>
    <w:p w14:paraId="34AD0FB4" w14:textId="44DB9A5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8" w:name="ver_30076039"/>
      <w:bookmarkEnd w:id="1998"/>
    </w:p>
    <w:p w14:paraId="6E404C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2.3.4.1.2.10. Transferencias efectivas de las entidades prestadoras de los servicios públicos. Las transferencias efectivas de dinero de las entidades prestadoras de servicios públicos a los Fondos de Solidaridad y Redistribución de Ingresos por concepto de «aportes solidarios» sólo ocurrirán cuando se presenten superávits, después de aplicar internamente los recursos necesarios para otorgar subsidios. </w:t>
      </w:r>
    </w:p>
    <w:p w14:paraId="33D2EB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A510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entidad territorial y la empresa prestadora de servicios públicos definirán el mecanismo más idóneo para garantizar que la transferencia de que trata el inciso anterior se haga efectiva, estableciendo entre otros, los intereses de mora por el no giro oportuno. </w:t>
      </w:r>
    </w:p>
    <w:p w14:paraId="007874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20AB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superávits en empresas privadas o mixtas prestadoras de los servicios de acueducto, alcantarillado y aseo, se destinarán a los Fondos de Solidaridad y Redistribución de Ingresos del municipio, distrito o departamento correspondiente, y serán transferidos mensualmente, de acuerdo con los mecanismos que establezca la Comisión de Regulación de Agua Potable y Saneamiento Básico. </w:t>
      </w:r>
    </w:p>
    <w:p w14:paraId="2DF4C275" w14:textId="51DD81C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1999" w:name="ver_30076040"/>
      <w:bookmarkEnd w:id="1999"/>
    </w:p>
    <w:p w14:paraId="21D4D9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2.3.4.1.2.11. Transferencias de dinero de las entidades territoriales. Las transferencias de dinero de las entidades territoriales a los Fondos de Solidaridad y Redistribución de Ingresos por concepto de </w:t>
      </w:r>
      <w:proofErr w:type="gramStart"/>
      <w:r w:rsidRPr="009342F9">
        <w:rPr>
          <w:rFonts w:ascii="Arial" w:eastAsia="Times New Roman" w:hAnsi="Arial" w:cs="Arial"/>
          <w:color w:val="000000"/>
          <w:lang w:eastAsia="es-CO"/>
        </w:rPr>
        <w:t>subsidios,</w:t>
      </w:r>
      <w:proofErr w:type="gramEnd"/>
      <w:r w:rsidRPr="009342F9">
        <w:rPr>
          <w:rFonts w:ascii="Arial" w:eastAsia="Times New Roman" w:hAnsi="Arial" w:cs="Arial"/>
          <w:color w:val="000000"/>
          <w:lang w:eastAsia="es-CO"/>
        </w:rPr>
        <w:t xml:space="preserve"> deberán ser giradas a la entidad prestadora del servicio público para la aplicación de los subsidios, en un plazo de treinta días, contados desde la misma fecha en que la entidad prestadora expida la factura a cargo del municipio (artículo 99.8 de la Ley 142 de 1994). </w:t>
      </w:r>
    </w:p>
    <w:p w14:paraId="7DB9F1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7D4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asegurar esta transferencia, los recursos destinados a otorgar subsidios, y que provengan de las tesorerías de las entidades territoriales, deberán ceñirse en su manejo a lo que se estipule en el contrato que para el efecto debe suscribirse entre el municipio, distrito, o departamento y las entidades encargadas de la prestación de los servicios públicos, en el que, entre otros, se establecerán los intereses de mora. </w:t>
      </w:r>
    </w:p>
    <w:p w14:paraId="1E7842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AB8E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alcaldes y concejales deberán dar prioridad a las apropiaciones para los servicios de acueducto y alcantarillado, sobre otros gastos que no sean indispensables para el funcionamiento del ente territorial respectivo (artículo 99.5 de la Ley 142 de 1994). </w:t>
      </w:r>
    </w:p>
    <w:p w14:paraId="3910A29B" w14:textId="3C39D7B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00" w:name="ver_30076041"/>
      <w:bookmarkEnd w:id="2000"/>
    </w:p>
    <w:p w14:paraId="4E3AE0E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2.3.4.1.2.12. Responsabilidad del recaudo de los aportes solidarios. El recaudo de los aportes solidarios será responsabilidad de las entidades prestadoras de los servicios públicos en cada municipio, distrito, o departamento. Estas mismas entidades se encargarán de repartir los subsidios y de manejar los recursos de los Fondos de Solidaridad y Redistribución de Ingresos en una cuenta separada, claramente diferenciada del resto de sus ingresos, y con una contabilidad propia. </w:t>
      </w:r>
    </w:p>
    <w:p w14:paraId="30F01E74" w14:textId="57981B8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01" w:name="ver_30076042"/>
      <w:bookmarkEnd w:id="2001"/>
    </w:p>
    <w:p w14:paraId="06CD1D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2.3.4.1.2.13. Normas para los recaudos. Los recursos de los Fondos de Solidaridad y Redistribución de Ingresos son públicos. Por lo tanto, quienes hagan sus recaudos estarán sujetos a las normas sobre declaración y sanciones que se aplican a los retenedores en el Decreto 624 de 1989 y en las normas que lo sustituyan. Deberán hacerse devoluciones en el momento en que el usuario demuestre su derecho (artículo 89.6 de la Ley 142 de 1994). </w:t>
      </w:r>
    </w:p>
    <w:p w14:paraId="70116D6A" w14:textId="5FA469BD"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02" w:name="ver_30076043"/>
      <w:bookmarkEnd w:id="2002"/>
    </w:p>
    <w:p w14:paraId="3AB93156" w14:textId="42C3E412"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6DA68F79"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FUENTES DE RECURSOS PARA OTORGAR SUBSIDIOS A TRAVÉS DE LOS FONDOS DE SOLIDARIDAD Y REDISTRIBUCIÓN DE INGRESOS</w:t>
      </w:r>
    </w:p>
    <w:p w14:paraId="29DB0FF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03" w:name="ver_30076044"/>
      <w:bookmarkEnd w:id="2003"/>
    </w:p>
    <w:p w14:paraId="540140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2.3.4.1.3.14. Fuentes de los recursos para otorgar los subsidios a través de los Fondos de Solidaridad y Redistribución de Ingresos. Podrán utilizarse como fuentes para el otorgamiento de los subsidios las siguientes: </w:t>
      </w:r>
    </w:p>
    <w:p w14:paraId="4F19A4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C2E3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Los recursos provenientes de los aportes solidarios definidos en el artículo 2.3.4.1.1.1 de este capítulo, podrán ser administrados por las entidades prestadoras de los servicios públicos domiciliarios; </w:t>
      </w:r>
    </w:p>
    <w:p w14:paraId="4092A8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484E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Los recursos obtenidos de otros Fondos de Solidaridad y Redistribución de Ingresos del orden municipal, distrital y departamental; </w:t>
      </w:r>
    </w:p>
    <w:p w14:paraId="51EB24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E075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Recursos provenientes de la participación de los municipios en los ingresos corrientes de la Nación, tanto los correspondientes a libre inversión como los que deben destinarse al sector (Ley 60 de 1993); </w:t>
      </w:r>
    </w:p>
    <w:p w14:paraId="7204150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A6B0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Recursos provenientes del 10% del impuesto predial unificado al que se refiere el artículo 7 de la Ley 44 de 1990, para los servicios de acueducto, alcantarillado y aseo; </w:t>
      </w:r>
    </w:p>
    <w:p w14:paraId="12CD7F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97C4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Recursos provenientes de las regalías por concepto de explotación de recursos naturales no renovables de propiedad del Estado, de acuerdo con la Ley 141 de 1994; </w:t>
      </w:r>
    </w:p>
    <w:p w14:paraId="095154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31C5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Recursos presupuestales de las entidades descentralizadas del orden nacional o territorial (artículo 368 de la Constitución Nacional); </w:t>
      </w:r>
    </w:p>
    <w:p w14:paraId="607A6A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4CD2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Otros recursos presupuestales a los que se refiere el artículo 89.8 de la Ley 142 de 1994. </w:t>
      </w:r>
    </w:p>
    <w:p w14:paraId="45394F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se utilizarán recursos del crédito para atender subsidios (artículo 100 de la Ley 142 de 1994). </w:t>
      </w:r>
    </w:p>
    <w:p w14:paraId="68DBCF02" w14:textId="7D4CF8AC"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BB3F0D"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2004" w:name="ver_30076045"/>
      <w:bookmarkEnd w:id="2004"/>
      <w:r w:rsidRPr="009342F9">
        <w:rPr>
          <w:rFonts w:ascii="Arial" w:eastAsia="Times New Roman" w:hAnsi="Arial" w:cs="Arial"/>
          <w:b/>
          <w:bCs/>
          <w:color w:val="000000"/>
          <w:lang w:eastAsia="es-CO"/>
        </w:rPr>
        <w:t>SECCIÓN 4</w:t>
      </w:r>
    </w:p>
    <w:p w14:paraId="116E8E85"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SUPERÁVIT DE LOS FONDOS DE SOLIDARIDAD Y REDISTRIBUCIÓN DE INGRESOS</w:t>
      </w:r>
    </w:p>
    <w:p w14:paraId="595E520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05" w:name="ver_30076046"/>
      <w:bookmarkEnd w:id="2005"/>
    </w:p>
    <w:p w14:paraId="127D4B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2.3.4.1.4.15. Reparto de los superávits de los Fondos de Solidaridad y Redistribución de Ingresos. Los superávits en los Fondos de Solidaridad y Redistribución de Ingresos por concepto de aportes </w:t>
      </w:r>
      <w:proofErr w:type="gramStart"/>
      <w:r w:rsidRPr="009342F9">
        <w:rPr>
          <w:rFonts w:ascii="Arial" w:eastAsia="Times New Roman" w:hAnsi="Arial" w:cs="Arial"/>
          <w:color w:val="000000"/>
          <w:lang w:eastAsia="es-CO"/>
        </w:rPr>
        <w:t>solidarios,</w:t>
      </w:r>
      <w:proofErr w:type="gramEnd"/>
      <w:r w:rsidRPr="009342F9">
        <w:rPr>
          <w:rFonts w:ascii="Arial" w:eastAsia="Times New Roman" w:hAnsi="Arial" w:cs="Arial"/>
          <w:color w:val="000000"/>
          <w:lang w:eastAsia="es-CO"/>
        </w:rPr>
        <w:t xml:space="preserve"> serán destinados exclusivamente a cubrir los déficits en subsidios, y se repartirán de la siguiente manera: </w:t>
      </w:r>
    </w:p>
    <w:p w14:paraId="6BB8FF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4191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destinarán a empresas deficitarias en subsidios, de igual naturaleza y servicio que la que origina el superávit, y que cumplan sus actividades en la misma entidad territorial al de la empresa aportante. </w:t>
      </w:r>
    </w:p>
    <w:p w14:paraId="7578FB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5DE8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Si después de atender estos requerimientos se presentan superávits, éstos se destinarán a Fondos de Solidaridad y Redistribución de Ingresos de municipios, distritos o departamentos limítrofes respectivamente, que hayan arrojado déficit para cubrir los subsidios, con destino a empresas de igual naturaleza y servicio que la que origina el superávit. Los repartos se harán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los mecanismos y criterios que establezca la Comisión de Regulación de Agua Potable y Saneamiento Básico. </w:t>
      </w:r>
    </w:p>
    <w:p w14:paraId="54C2D2DA" w14:textId="2B268C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06" w:name="ver_30076047"/>
      <w:bookmarkEnd w:id="2006"/>
    </w:p>
    <w:p w14:paraId="511FCF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2.3.4.1.4.16. Distinción en las facturas de los aportes solidarios y de los subsidios. Para dar cumplimiento con lo establecido en el artículo 89 de la Ley 142 de 1994, las entidades prestadoras de servicios públicos domiciliarios deben distinguir entre el valor que corresponden al costo económico de referencia del servicio y los que corresponde a subsidios y a aportes solidarios. Esta distinción se presentará en las facturas de los suscriptores de los servicios públicos domiciliarios. </w:t>
      </w:r>
    </w:p>
    <w:p w14:paraId="723D6717" w14:textId="645B2AC5"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07" w:name="ver_30076048"/>
      <w:bookmarkEnd w:id="2007"/>
    </w:p>
    <w:p w14:paraId="6673DFCA" w14:textId="53A168C6"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065D28E5"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INFORMES SOBRE EL MANEJO DE LOS FONDOS DE SOLIDARIDAD Y</w:t>
      </w:r>
    </w:p>
    <w:p w14:paraId="3EF68ADF"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REDISTRIBUCIÓN DE INGRESOS</w:t>
      </w:r>
    </w:p>
    <w:p w14:paraId="133A50E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08" w:name="ver_30076049"/>
      <w:bookmarkEnd w:id="2008"/>
    </w:p>
    <w:p w14:paraId="3F3E50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2.3.4.1.5.17. Informes. Las entidades prestadoras de los servicios públicos domiciliarios deberán informar a la comunidad, a través de medios de información masiva y por lo menos una vez al año, la utilización de manera precisa que dieron de los subsidios presupuestales (artículo 53 de la Ley 142 de 1994). </w:t>
      </w:r>
    </w:p>
    <w:p w14:paraId="0E01C273" w14:textId="00E42DB4" w:rsidR="00FC79C1" w:rsidRPr="009342F9" w:rsidRDefault="00FC79C1" w:rsidP="00E476D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8D7D8E"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2009" w:name="ver_30076050"/>
      <w:bookmarkEnd w:id="2009"/>
      <w:r w:rsidRPr="009342F9">
        <w:rPr>
          <w:rFonts w:ascii="Arial" w:eastAsia="Times New Roman" w:hAnsi="Arial" w:cs="Arial"/>
          <w:b/>
          <w:bCs/>
          <w:color w:val="000000"/>
          <w:lang w:eastAsia="es-CO"/>
        </w:rPr>
        <w:t>CAPÍTULO 2</w:t>
      </w:r>
    </w:p>
    <w:p w14:paraId="7316B13C"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METODOLOGÍA PARA LA DETERMINACIÓN DEL EQUILIBRIO ENTRE LOS SUBSIDIOS Y LAS CONTRIBUCIONES PARA LOS SERVICIOS PÚBLICOS DOMICILIARIOS DE ACUEDUCTO, ALCANTARILLADO Y ASEO</w:t>
      </w:r>
    </w:p>
    <w:p w14:paraId="489A465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10" w:name="ver_30110824"/>
      <w:bookmarkEnd w:id="2010"/>
    </w:p>
    <w:p w14:paraId="6189D8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2.3.4.2.1. Ámbito de aplicación. La metodología que se establece en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se aplica a todas las personas prestadoras de los servicios públicos domiciliarios de acueducto, alcantarillado y aseo, así como a los municipios y distritos como los entes responsables de garantizar la prestación eficiente de los mismos. </w:t>
      </w:r>
    </w:p>
    <w:p w14:paraId="42D0B106" w14:textId="5CF68BE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11" w:name="ver_30110825"/>
      <w:bookmarkStart w:id="2012" w:name="ver_30110823"/>
      <w:bookmarkEnd w:id="2011"/>
    </w:p>
    <w:p w14:paraId="5B24158F" w14:textId="0D8823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2.3.4.2.2.</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Metodología para la determinación del equilibrio. La presente metodología deberá llevarse a cabo cada año para asegurar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para cada uno de los servicios, el monto total de las diferentes clases de contribuciones sea suficiente para cubrir el monto total de los subsidios que se otorguen en cada municipio o Distrito por parte del respectivo concejo municipal o distrital, según sea el caso, y se mantenga el equilibrio. Esta metodología corresponde a la descrita en los siguientes numerales:  </w:t>
      </w:r>
    </w:p>
    <w:p w14:paraId="125BFB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D59E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Antes del 15 de julio de cada año, todas las personas prestadoras de cada uno de los servicios de acueducto, alcantarillado y aseo, de acuerdo con la proyección de usuarios y consumos, la estructura tarifaria vigente, y el porcentaje o factor de aporte solidario aplicado en el año respectivo, presentarán al Alcalde, por conducto de la dependencia que administra el Fondo de Solidaridad y Redistribución de Ingresos del respectivo municipio o distrito, según sea el caso, una estimación para el año siguiente del monto total de los recursos potenciales a recaudar por concepto de aportes solidarios, así como la información del número total de usuarios atendidos, discriminados por servicio, estrato y uso, y para los servicios de acueducto y alcantarillado, la desagregación de consumos y vertimientos, respectivamente, según rango básico, complementario o suntuario.  </w:t>
      </w:r>
    </w:p>
    <w:p w14:paraId="37281B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BFDA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servicio público de aseo deberá incluir todas las actividades complementarias, incluido el aprovechamiento, y se reportarán adicionalmente los resultados del aforo de los Grandes Generadores y la información de los Pequeños Productores y Multiusuarios que lo hayan solicitado.  </w:t>
      </w:r>
    </w:p>
    <w:p w14:paraId="134139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4FC3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Las personas prestadoras de cada uno de los servicios de que trata el presente capítulo, de acuerdo con la estructura tarifaria vigente y con los porcentajes de subsidios otorgados para el año respectivo por el municipio o distrito, estimarán cada año los montos totales de la siguiente vigencia correspondientes a la suma de los subsidios necesarios a otorgar por estrato y para cada servicio.  </w:t>
      </w:r>
    </w:p>
    <w:p w14:paraId="36FD6B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1030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Con la información obtenida según lo indicado en los numerales anteriores, las personas prestadoras de cada uno de los servicios de que trata el presente </w:t>
      </w:r>
      <w:proofErr w:type="gramStart"/>
      <w:r w:rsidRPr="009342F9">
        <w:rPr>
          <w:rFonts w:ascii="Arial" w:eastAsia="Times New Roman" w:hAnsi="Arial" w:cs="Arial"/>
          <w:color w:val="000000"/>
          <w:lang w:eastAsia="es-CO"/>
        </w:rPr>
        <w:t>capítulo,</w:t>
      </w:r>
      <w:proofErr w:type="gramEnd"/>
      <w:r w:rsidRPr="009342F9">
        <w:rPr>
          <w:rFonts w:ascii="Arial" w:eastAsia="Times New Roman" w:hAnsi="Arial" w:cs="Arial"/>
          <w:color w:val="000000"/>
          <w:lang w:eastAsia="es-CO"/>
        </w:rPr>
        <w:t xml:space="preserve"> establecerán el valor de la diferencia entre el monto total de subsidios requerido para cada servicio y la suma de los aportes solidarios a facturar, cuyo resultado representará el monto total de los recursos necesarios para obtener el equilibrio.  </w:t>
      </w:r>
    </w:p>
    <w:p w14:paraId="0F183C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C783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Con base en dicho resultado, las personas prestadoras de los servicios presentarán la solicitud del monto requerido para cada servicio al alcalde municipal o distrital, según sea el caso, por conducto de la dependencia que administra el fondo de solidaridad y redistribución de ingresos.  </w:t>
      </w:r>
    </w:p>
    <w:p w14:paraId="141BD4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A43F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Recibida por parte del alcalde municipal o distrital la solicitud o solicitudes de que trata el numeral anterior, procederá a analizarlas y a preparar un proyecto consolidado sobre el particular para ser presentado a discusión y aprobación del concejo municipal o distrital, quien, conjuntamente con la aprobación del presupuesto del respectivo ente territorial, definirá el porcentaje de aporte solidario necesario para solventar dicho faltante, teniendo en consideración prioritaria mente los recursos con los que cuenta y puede contar el municipio o distrito en el Fondo de Solidaridad y Redistribución de Ingresos, con base en las fuentes de recursos para contribuciones señaladas en la normatividad única para el sector de Hacienda y Crédito Público y demás normas concordantes.  </w:t>
      </w:r>
    </w:p>
    <w:p w14:paraId="5A217C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BDC6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Tanto los factores de subsidio por estrato como el porcentaje o factor de Aporte Solidario en cada servicio, definidos por el Concejo, serán iguales para todas las personas prestadoras del mismo servicio en el municipio o distrito respectivo.  </w:t>
      </w:r>
    </w:p>
    <w:p w14:paraId="7879AF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4172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Una vez aprobado y expedido el acuerdo correspondiente, el alcalde y el concejo municipal o distrital, deberán divulgarlo ampliamente en los medios de comunicación locales y regionales, señalando claramente el impacto de su decisión sobre las tarifas a usuario final de cada uno de los servicios.  </w:t>
      </w:r>
    </w:p>
    <w:p w14:paraId="3CE060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DC3A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En el caso de un prestador que preste el servicio en más de un municipio y/o distrito, y la aglomeración de dichos municipios constituyan un solo mercado, los concejos municipales de los respectivos municipios y/o distritos podrán establecer el equilibrio entre subsidios y contribuciones previa la definición por parte de la Comisión de Regulación de Agua Potable y Saneamiento Básico del concepto de mercado.  </w:t>
      </w:r>
    </w:p>
    <w:p w14:paraId="49BC2A7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B70B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el efecto, las personas prestadoras de cada uno de los servicios de acueducto, alcantarillado y aseo, de acuerdo con la proyección de usuarios y consumos en cada uno de los municipios y/o distritos donde presta el servicio y que correspondan a un sistema interconectado, la estructura tarifaria vigente y el porcentaje o factor de Aporte Solidario aplicado en el año respectivo; presentarán a los Alcaldes, por conducto de las dependencias que administran los Fondos de Solidaridad y Redistribución de Ingresos de los respectivos municipios y/o distritos, según sea el caso, una estimación para el año siguiente del monto total de los recursos potenciales a recaudar por concepto de aportes solidarios, así como la información del número total de usuarios atendidos, discriminados por servicio, estrato y uso, y para los servicios de acueducto y alcantarillado, la desagregación de consumos y vertimientos, respectivamente, según rango básico, complementario o suntuario.  </w:t>
      </w:r>
    </w:p>
    <w:p w14:paraId="53376A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F0DE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servicio de aseo se reportarán adicionalmente los resultados del aforo de los grandes generadores y la información de los pequeños productores y multiusuarios que lo hayan solicitado.  </w:t>
      </w:r>
    </w:p>
    <w:p w14:paraId="268ADC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3CA4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Tanto los porcentajes de subsidio como de aportes de solidaridad deberán ser iguales por servicio y por tipo de usuario en cada uno de los municipios y/o distritos.  </w:t>
      </w:r>
    </w:p>
    <w:p w14:paraId="096D9C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12F8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únicos recursos que se podrán redistribuir entre los municipios y/o distritos a los que hace referencia este parágrafo para alcanzar el equilibrio entre subsidios y contribuciones, serán aquellos obtenidos por aportes solidarios.  </w:t>
      </w:r>
    </w:p>
    <w:p w14:paraId="6BDB5E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BD1B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4°. Para el caso de áreas metropolitanas en los cuales los municipios que la conforman no estén interconectados, podrán establecer el equilibrio entre subsidios y contribuciones solidarias atendiendo lo previsto en el presente capítulo, en desarrollo de la Ley 128 de 1994.  </w:t>
      </w:r>
    </w:p>
    <w:p w14:paraId="63501C89" w14:textId="5718350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6396C1"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2013" w:name="ver_30076053"/>
      <w:bookmarkEnd w:id="2012"/>
      <w:bookmarkEnd w:id="2013"/>
      <w:r w:rsidRPr="009342F9">
        <w:rPr>
          <w:rFonts w:ascii="Arial" w:eastAsia="Times New Roman" w:hAnsi="Arial" w:cs="Arial"/>
          <w:b/>
          <w:bCs/>
          <w:color w:val="000000"/>
          <w:lang w:eastAsia="es-CO"/>
        </w:rPr>
        <w:t>CAPÍTULO 3</w:t>
      </w:r>
    </w:p>
    <w:p w14:paraId="6E9B1B90"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METODOLOGÍA PARA LA DISTRIBUCIÓN DE LOS RECURSOS PROVENIENTES DE APORTES SOLIDARIOS EN MUNICIPIOS Y DISTRITOS QUE CUENTEN CON PERSONAS PRESTADORAS DE LOS SERVICIOS PÚBLICOS DOMICILIARIOS DE ACUEDUCTO Y ALCANTARILLADO QUE ATIENDAN A MÁS DE UN MUNICIPIO O DISTRITO.</w:t>
      </w:r>
    </w:p>
    <w:p w14:paraId="4F7D5F0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14" w:name="ver_30110855"/>
      <w:bookmarkStart w:id="2015" w:name="ver_30110854"/>
      <w:bookmarkEnd w:id="2014"/>
    </w:p>
    <w:p w14:paraId="17B318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2.3.4.3.1. Alcance. El presente capítulo establece las reglas que adicionan la metodología para la determinación del equilibrio y la distribución de los recursos provenientes de aportes solidarios y aplica en los municipios y distritos que cuenten con personas prestadoras de los servicios públicos domiciliarios de acueducto y alcantarillado que atiendan a más de un municipio o distrito. </w:t>
      </w:r>
    </w:p>
    <w:p w14:paraId="4CBE31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8EEA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En el caso de los mercados regionales declarados por la Comisión de Regulación de Agua Potable y Saneamiento Básico (CRA), no procede la aplicación de la metodología señalada en el presente capítulo.  </w:t>
      </w:r>
    </w:p>
    <w:p w14:paraId="00D67F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E72F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metodología para la determinación del equilibrio entre los subsidios y las contribuciones en mercados </w:t>
      </w:r>
      <w:proofErr w:type="gramStart"/>
      <w:r w:rsidRPr="009342F9">
        <w:rPr>
          <w:rFonts w:ascii="Arial" w:eastAsia="Times New Roman" w:hAnsi="Arial" w:cs="Arial"/>
          <w:color w:val="000000"/>
          <w:lang w:eastAsia="es-CO"/>
        </w:rPr>
        <w:t>regionales,</w:t>
      </w:r>
      <w:proofErr w:type="gramEnd"/>
      <w:r w:rsidRPr="009342F9">
        <w:rPr>
          <w:rFonts w:ascii="Arial" w:eastAsia="Times New Roman" w:hAnsi="Arial" w:cs="Arial"/>
          <w:color w:val="000000"/>
          <w:lang w:eastAsia="es-CO"/>
        </w:rPr>
        <w:t xml:space="preserve"> será la establecida en el parágrafo 3° del artículo 2.3.4.2.2. de este decreto.  </w:t>
      </w:r>
    </w:p>
    <w:p w14:paraId="230A39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757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personas prestadoras y las entidades territoriales que hagan parte de un mercado regional declarado por la Comisión de Regulación de Agua Potable y Saneamiento Básico (CRA), deberán realizar las acciones señaladas en los plazos previstos en el artículo 2.3.4.2.2. de este decreto, de tal manera que a partir del 1° de enero de 2018, se encuentren apropiados en los presupuestos de los municipios y distritos, los montos estimados que resulten de la aplicación de dicha metodología”.  </w:t>
      </w:r>
    </w:p>
    <w:p w14:paraId="6A2E801D" w14:textId="787ED67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16" w:name="ver_30076055"/>
      <w:bookmarkEnd w:id="2015"/>
      <w:bookmarkEnd w:id="2016"/>
    </w:p>
    <w:p w14:paraId="14F5BE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2.3.4.3.2. Ámbito de operación. Para efectos del presente capítulo y en desarrollo de lo previsto en el inciso 3º del artículo 2° de la Ley 632 de 2000, se entenderá como ámbito de operación, el sector de los municipios y/o distritos donde la persona prestadora del servicio cuente con suscriptores a través de un sistema interconectado. </w:t>
      </w:r>
    </w:p>
    <w:p w14:paraId="5E3D0956" w14:textId="7C433A5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17" w:name="ver_30076056"/>
      <w:bookmarkEnd w:id="2017"/>
    </w:p>
    <w:p w14:paraId="669C0D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2.3.4.3.3. Distribución de aportes solidarios en el ámbito de operación. Las personas prestadoras cuyo ámbito de operación comprenda varios municipios y/o distritos en los términos antes señalados, conformarán una bolsa común de recursos para el otorgamiento de subsidios tarifarios, con las sumas provenientes de la aplicación de los factores de aporte solidario mínimos, establecidos en el artículo 125 de la Ley 1450 de 2011. Los recursos obtenidos se destinarán a cubrir los subsidios en el ámbito de operación del prestador. </w:t>
      </w:r>
    </w:p>
    <w:p w14:paraId="0BC63D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28CD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mencionada bolsa se constituirá con el fin de distribuir los aportes solidarios entre los suscriptores subsidiables del prestador, en los municipios que conforman su ámbito de operación, y considerando los requerimientos de subsidios de cada municipio, para lo cual se deberá seguir el siguiente procedimiento: </w:t>
      </w:r>
    </w:p>
    <w:p w14:paraId="6B5D3D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0ADB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Para cada municipio, la persona prestadora determinará los requerimientos máximos de subsidios de los usuarios de estratos 1 y 2 por ella atendidos, suponiendo un escenario de otorgamiento de subsidios correspondiente a los topes máximos establecidos por la ley; </w:t>
      </w:r>
    </w:p>
    <w:p w14:paraId="0281D1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3F64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Con base en el estimativo anterior, la persona prestadora calculará los requerimientos ajustados de subsidios, afectando el requerimiento máximo de subsidios de cada municipio por la relación entre la factura promedio sin subsidio ni contribución del municipio respectivo y la correspondiente al municipio con mayor factura promedio sin subsidio ni contribución, según los costos de referencia correspondientes, para lo cual se aplicará la siguiente fórmula: </w:t>
      </w:r>
    </w:p>
    <w:p w14:paraId="1FEE3A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550F99" w14:textId="4BE94ED7"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0368F5AA" wp14:editId="04233458">
            <wp:extent cx="5529578" cy="4848226"/>
            <wp:effectExtent l="0" t="0" r="0" b="952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pic:cNvPicPr/>
                  </pic:nvPicPr>
                  <pic:blipFill>
                    <a:blip r:embed="rId42">
                      <a:extLst>
                        <a:ext uri="{28A0092B-C50C-407E-A947-70E740481C1C}">
                          <a14:useLocalDpi xmlns:a14="http://schemas.microsoft.com/office/drawing/2010/main" val="0"/>
                        </a:ext>
                      </a:extLst>
                    </a:blip>
                    <a:stretch>
                      <a:fillRect/>
                    </a:stretch>
                  </pic:blipFill>
                  <pic:spPr>
                    <a:xfrm>
                      <a:off x="0" y="0"/>
                      <a:ext cx="5529578" cy="4848226"/>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074415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0752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las estimaciones establecidas, las personas prestadoras deberán considerar, para cada municipio, el mecanismo de distribución previsto en el presente artículo, cuyo resultado se entenderá como el valor de los recursos potenciales a recaudar por concepto de Aportes Solidarios, el cual deberá ser informado a los respectivos alcaldes municipales y/o distritales, a efectos de la aplicación de la metodología de equilibrio entre contribuciones y subsidios. </w:t>
      </w:r>
    </w:p>
    <w:p w14:paraId="65E24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B1DC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 después de efectuada la anterior distribución, se presentaran superávits para alguno (s) de los mercados que en cada municipio atiende el operador, dichos recursos serán devueltos a la bolsa común, para volver a aplicar el procedimiento de que trata el presente artículo, incluyendo solamente a los municipios que aún presentan déficit, los cuales serán distribuidos en proporción al aporte inicial de cada municipio a la bolsa común. </w:t>
      </w:r>
    </w:p>
    <w:p w14:paraId="036EE8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E5D0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procedimiento aquí establecido se llevará a cabo hasta tanto se agoten los recursos a los que se refiere el presente parágrafo. </w:t>
      </w:r>
    </w:p>
    <w:p w14:paraId="1B8231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AEA9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el evento que las sumas por contribución resulten superiores a las necesidades máximas de subsidio de los usuarios atendidos por la empresa prestadora en su ámbito de operación, el remanente deberá girarse a los Fondos de Solidaridad y Redistribución de Ingresos de los Municipios y/o Distritos que conforman el ámbito de operación de la persona prestadora, en forma proporcional al monto del aporte solidario generado en cada uno de los municipios y/o distritos. </w:t>
      </w:r>
    </w:p>
    <w:p w14:paraId="4554FA02" w14:textId="05484E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18" w:name="ver_30076057"/>
      <w:bookmarkEnd w:id="2018"/>
    </w:p>
    <w:p w14:paraId="6807F0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2.3.4.3.4. Esfuerzo local para el otorgamiento de subsidios. Los Municipios y/o Distritos podrán recurrir a las fuentes adicionales de recursos para contribuciones señaladas en el artículo 100 de la Ley 142 de 1994 y las demás normas que regulan la materia, sujetándose en todo caso a la metodología establecida en el capítulo 2 del presente título o a la norma que lo modifique o adicione. </w:t>
      </w:r>
    </w:p>
    <w:p w14:paraId="4C0DA751" w14:textId="5A2DDE2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19" w:name="ver_30076058"/>
      <w:bookmarkEnd w:id="2019"/>
    </w:p>
    <w:p w14:paraId="42D8AC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2.3.4.3.5. Acciones para el equilibrio. Cuando en cualquier momento se afecte el equilibrio entre subsidios y contribuciones, podrán seguirse, entre otras, cualquiera de las siguientes acciones o una combinación de ellas, a fin de procurar el mencionado equilibrio: </w:t>
      </w:r>
    </w:p>
    <w:p w14:paraId="0D4BC3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A78C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Alcalde Municipal o Distrital, podrá solicitar a la empresa prestadora que se apliquen los porcentajes de subsidios que el Concejo otorgue, para lo cual deberá comprometerse la entidad territorial a cubrir los faltantes generados. </w:t>
      </w:r>
    </w:p>
    <w:p w14:paraId="6CD14F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D31A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municipio o distrito de manera conjunta con las personas prestadoras, podrá acordar alternativas para ajustar los subsidios en el tiempo, de acuerdo con las condiciones de disponibilidad de recursos. </w:t>
      </w:r>
    </w:p>
    <w:p w14:paraId="4253DC98" w14:textId="7F237829"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0" w:name="ver_30076059"/>
      <w:bookmarkEnd w:id="2020"/>
    </w:p>
    <w:p w14:paraId="4EF92707" w14:textId="38A8E48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4</w:t>
      </w:r>
    </w:p>
    <w:p w14:paraId="475B2949"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SUBSIDIOS PARA CONEXIONES INTRADOMICILIARIAS</w:t>
      </w:r>
    </w:p>
    <w:p w14:paraId="0F4BA50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21" w:name="ver_30076060"/>
      <w:bookmarkEnd w:id="2021"/>
    </w:p>
    <w:p w14:paraId="64067F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2.3.4.4.1. El objeto. El objeto del presente capítulo es reglamentar el subsidio de conexiones intradomiciliarias para inmuebles de los estratos 1 y 2 con el fin de garantizar la conexión efectiva a los servicios de agua potable y saneamiento básico. </w:t>
      </w:r>
    </w:p>
    <w:p w14:paraId="377863E3" w14:textId="364D7F0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2" w:name="ver_30076061"/>
      <w:bookmarkEnd w:id="2022"/>
    </w:p>
    <w:p w14:paraId="209CCC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2.3.4.4.2. Ámbito de aplicación. El presente capítulo aplica a los programas de conexiones intradomiciliarias de agua potable y saneamiento básico en el área urbana y rural nucleada de los municipios, que se financien con recursos de la Nación –MVCT, y/o de las entidades territoriales, en lo que les sea aplicable. </w:t>
      </w:r>
    </w:p>
    <w:p w14:paraId="6181CD2E" w14:textId="0EEA4F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3" w:name="ver_30076062"/>
      <w:bookmarkEnd w:id="2023"/>
    </w:p>
    <w:p w14:paraId="4BA95A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2.3.4.4.3. Definiciones. Para efectos de la aplicación del presente capítulo se definen los siguientes conceptos: </w:t>
      </w:r>
    </w:p>
    <w:p w14:paraId="3B1490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00E9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Conexión intradomiciliaria de acueducto. Conjunto de tuberías, accesorios, equipos y aparatos que integran el sistema hidráulico del inmueble a partir del medidor, para el suministro de agua potable. </w:t>
      </w:r>
    </w:p>
    <w:p w14:paraId="0118A9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2251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Conexión intradomiciliaria de aguas residuales. Conjunto de tuberías, accesorios, equipos y aparatos instalados en un inmueble que integran el sistema de evacuación y ventilación de las aguas residuales hasta la caja de inspección final. </w:t>
      </w:r>
    </w:p>
    <w:p w14:paraId="5425FBC0" w14:textId="56B1417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4" w:name="ver_30076063"/>
      <w:bookmarkEnd w:id="2024"/>
    </w:p>
    <w:p w14:paraId="5037CC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2.3.4.4.4. Criterios de focalización. Los recursos de los programas de conexiones intradomiciliarias, sólo se podrán aplicar en los inmuebles que cumplan los siguientes criterios: </w:t>
      </w:r>
    </w:p>
    <w:p w14:paraId="07A14C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06FF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En áreas urbanas:  </w:t>
      </w:r>
    </w:p>
    <w:p w14:paraId="7195360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47CD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Que pertenezcan a los estratos 1 o 2. </w:t>
      </w:r>
    </w:p>
    <w:p w14:paraId="5196BD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FEBF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Que cuenten con disponibilidad de los servicios de acueducto y/o alcantarillado, a través de la posibilidad de conectarse a las redes de prestación de estos servicios, de conformidad con la viabilidad técnica expedida por la persona prestadora legalmente constituida. </w:t>
      </w:r>
    </w:p>
    <w:p w14:paraId="2E1585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A1B0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Que el inmueble carezca total o parcialmente de conexiones intradomiciliarias, de acuerdo con lo que defina para el efecto el MVCT en el caso que el inmueble carezca de conexiones domiciliarias de acueducto y/o alcantarillado solo podrán financiarse las conexiones intradomiciliarias si se garantiza la construcción de las domiciliarias faltantes. </w:t>
      </w:r>
    </w:p>
    <w:p w14:paraId="77EC24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437E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En áreas rurales nucleadas:  </w:t>
      </w:r>
    </w:p>
    <w:p w14:paraId="6D580A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9103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Que pertenezcan a los estratos 1 o 2. </w:t>
      </w:r>
    </w:p>
    <w:p w14:paraId="0743B8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0468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Que cuenten con disponibilidad de los servicios de acueducto y/o manejo de aguas residuales, a través de la posibilidad de conectarse a las redes de distribución de agua y/o sistema de manejo de aguas residuales de estos servicios de acuerdo con lo establecido en el RAS y de conformidad con la viabilidad técnica expedida por la persona prestadora legalmente constituida o en su defecto la autoridad municipal competente. </w:t>
      </w:r>
    </w:p>
    <w:p w14:paraId="602DCB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D9CC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2.3. Que el inmueble carezca total o parcialmente de conexiones intradomiciliarias, de acuerdo con lo que defina para el efecto el MVCT en el caso que el inmueble carezca de conexiones domiciliarias de acueducto y/o alcantarillado solo podrán financiarse las conexiones intradomiciliarias si se garantiza la construcción de las domiciliarias faltantes cuando técnicamente se requieran. </w:t>
      </w:r>
    </w:p>
    <w:p w14:paraId="598EF9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036A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programas de conexiones intradomiciliarias no cobijan inmuebles localizados en áreas de riesgo no mitigable o en zonas de protección ambiental de acuerdo con el respectivo Plan de Ordenamiento Territorial, o los instrumentos que lo desarrollen y complementen. Tampoco podrán hacer parte del programa los inmuebles afectados en los términos del artículo 37 de la Ley 9a de 1989 o la norma que la adiciones, modifique o sustituya. </w:t>
      </w:r>
    </w:p>
    <w:p w14:paraId="671A32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099B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Los hogares que habiten inmuebles potenciales beneficiarios del </w:t>
      </w:r>
      <w:proofErr w:type="gramStart"/>
      <w:r w:rsidRPr="009342F9">
        <w:rPr>
          <w:rFonts w:ascii="Arial" w:eastAsia="Times New Roman" w:hAnsi="Arial" w:cs="Arial"/>
          <w:color w:val="000000"/>
          <w:lang w:eastAsia="es-CO"/>
        </w:rPr>
        <w:t>programa,</w:t>
      </w:r>
      <w:proofErr w:type="gramEnd"/>
      <w:r w:rsidRPr="009342F9">
        <w:rPr>
          <w:rFonts w:ascii="Arial" w:eastAsia="Times New Roman" w:hAnsi="Arial" w:cs="Arial"/>
          <w:color w:val="000000"/>
          <w:lang w:eastAsia="es-CO"/>
        </w:rPr>
        <w:t xml:space="preserve"> deberán acreditar su condición de propietario, poseedor, o tenedor del inmueble, en las condiciones y términos que establezca el MVCT. </w:t>
      </w:r>
    </w:p>
    <w:p w14:paraId="5298C5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CC4D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Para el caso de inmuebles arrendados, el arrendatario y arrendador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deberán cumplir con los criterios establecidos del presente artículo, y los que para el efecto establezcan el MVCT para acceder al beneficio. </w:t>
      </w:r>
    </w:p>
    <w:p w14:paraId="1FF2653D" w14:textId="0BD8B08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5" w:name="ver_30076064"/>
      <w:bookmarkEnd w:id="2025"/>
    </w:p>
    <w:p w14:paraId="3122A4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2.3.4.4.5. Criterios de selección de municipios y de priorización de barrios o zonas rurales nucleadas, para los programas de conexiones intradomiciliarias de la Nación. El MVCT determinará los municipios beneficiarios del programa de conexiones intradomiciliarias y priorizará los barrios y/o zonas rurales nucleadas de los mismos, a través de la aplicación de los siguientes criterios: </w:t>
      </w:r>
    </w:p>
    <w:p w14:paraId="190DF6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C10B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4.1.1.1. Para el Área Urbana:  </w:t>
      </w:r>
    </w:p>
    <w:p w14:paraId="53D6CA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1866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Priorización y selección de municipios para intervención. El Ministerio a partir de la aplicación de las siguientes variables, determinará el orden de intervención de los municipios del país: </w:t>
      </w:r>
    </w:p>
    <w:p w14:paraId="2D0F61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0D09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Número de habitantes en zona urbana; </w:t>
      </w:r>
    </w:p>
    <w:p w14:paraId="093CB6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41FB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Índice de pobreza multidimensional en zona urbana; </w:t>
      </w:r>
    </w:p>
    <w:p w14:paraId="735A95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2713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Número de hogares vinculados al Programa Red Unidos en zona urbana o el programa local vinculado a este; </w:t>
      </w:r>
    </w:p>
    <w:p w14:paraId="772C2B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499F7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Capacidad de gestión de las empresas de servicios públicos de acueducto y/o alcantarillado, de acuerdo con los indicadores del Sistema Único de Información – SUI administrado por la SSPD, de acuerdo con lo establecido por el MVCT. </w:t>
      </w:r>
    </w:p>
    <w:p w14:paraId="51AA46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5B33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resultado de la aplicación de los criterios antes enunciados no implica participación inmediata en el programa de todos los municipios. La intervención se dará conforme al orden arrojado y la disponibilidad de recursos para cada vigencia, y los tamaños mínimos de intervención de acuerdo con el número de inmuebles potencialmente beneficiarios. </w:t>
      </w:r>
    </w:p>
    <w:p w14:paraId="21E613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7C79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Selección y priorización de barrios. De los municipios a ser atendidos de conformidad con lo preceptuado en el numeral 1.1 del presente artículo, el MVCT seleccionará los barrios potencialmente beneficiarios del programa, teniendo en cuenta los criterios de focalización establecidos en el artículo 2.3.4.4.4. del presente capítulo y priorizará su intervención aplicando los siguientes criterios, en este orden: </w:t>
      </w:r>
    </w:p>
    <w:p w14:paraId="4C447C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6E8B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el estrato predominante corresponda al estrato 1; </w:t>
      </w:r>
    </w:p>
    <w:p w14:paraId="7DDB31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F47F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Mayor número de familias que pertenezcan a Red Unidos o al programa local vinculado a este. </w:t>
      </w:r>
    </w:p>
    <w:p w14:paraId="2AC1E2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resultado de la aplicación de los criterios antes enunciados no implica participación en el programa de todos los barrios. La intervención se dará conforme al orden arrojado y la disponibilidad de recursos asignados al municipio. </w:t>
      </w:r>
    </w:p>
    <w:p w14:paraId="6B15BA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ABA9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Para el Área Rural Nucleada:  </w:t>
      </w:r>
    </w:p>
    <w:p w14:paraId="4389F7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DBCF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2.1. Priorización y selección de municipios para intervención en el área rural. El MVCT a partir de la aplicación de las siguientes variables, determinará el orden de intervención de los municipios del país, potenciales beneficiarios del programa: </w:t>
      </w:r>
    </w:p>
    <w:p w14:paraId="71A46E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2110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Municipios categoría 4, 5, 6 y áreas no municipalizadas; </w:t>
      </w:r>
    </w:p>
    <w:p w14:paraId="2B7C06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0719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Número de habitantes en zona rural nucleada; </w:t>
      </w:r>
    </w:p>
    <w:p w14:paraId="3B5A48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8F78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Índice de Pobreza Multidimensional en zona rural; </w:t>
      </w:r>
    </w:p>
    <w:p w14:paraId="47FC9F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858D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Número de hogares vinculados al Programa Red Unidos en zona rural; </w:t>
      </w:r>
    </w:p>
    <w:p w14:paraId="3B9FC9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F95D8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Municipios que se encuentren priorizados por Programas del Gobierno Nacional para promover el desarrollo en zonas rurales a través de inversiones en agua y saneamiento básico. </w:t>
      </w:r>
    </w:p>
    <w:p w14:paraId="288672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E4F8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resultado de la aplicación de los criterios antes enunciados no implica participación inmediata en el programa de todos los municipios. La intervención se dará conforme al orden arrojado y la disponibilidad de recursos para cada vigencia y los tamaños mínimos de intervención de acuerdo con el número de inmuebles potencialmente beneficiarios. </w:t>
      </w:r>
    </w:p>
    <w:p w14:paraId="131524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1D1D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2.2. Selección y priorización de zonas rurales nucleadas. De los municipios a atender de conformidad con lo establecido en el numeral 2.1 del presente artículo, el MVCT seleccionará las zonas rurales posibles beneficiarios del programa, teniendo en cuenta los criterios de focalización establecidos en el artículo 2.3.4.4.4. del presente capítulo, y priorizará su intervención aplicando los siguientes criterios, en este orden: </w:t>
      </w:r>
    </w:p>
    <w:p w14:paraId="50F5CE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FFB4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Que el estrato predominante corresponda al estrato; </w:t>
      </w:r>
    </w:p>
    <w:p w14:paraId="6CCEC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F506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Mayor número de familias que pertenezcan a Red Unidos o al programa local vinculado a este. </w:t>
      </w:r>
    </w:p>
    <w:p w14:paraId="7A08A6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resultado de la aplicación de los criterios antes enunciados no implica participación en el programa de todas las zonas nucleadas. La intervención se dará conforme al orden arrojado y la disponibilidad de recursos asignados al municipio. </w:t>
      </w:r>
    </w:p>
    <w:p w14:paraId="38FAFC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C888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Sin perjuicio de lo dispuesto en el presente artículo, además se podrán priorizar dentro del programa de conexiones intradomiciliarias, municipios en los que se desarrollaron o se estén adelantando programas de Mejoramiento Integral de Barrios con el apoyo del Gobierno Nacional, o proyectos de agua potable y saneamiento básico en áreas urbanas y rurales, como complemento de tales programas y/o proyectos. </w:t>
      </w:r>
    </w:p>
    <w:p w14:paraId="1B2568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2C9F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Para la definición de la población a ser atendida al interior de los barrios y de las zonas rurales nucleadas, se tendrá en cuenta las inversiones con mayor impacto en concordancia con los criterios que para el efecto determine el MVCT. </w:t>
      </w:r>
    </w:p>
    <w:p w14:paraId="56DC5F06" w14:textId="2421B44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6" w:name="ver_30076065"/>
      <w:bookmarkEnd w:id="2026"/>
    </w:p>
    <w:p w14:paraId="5F3646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2.3.4.4.6. Asignación de recursos del Gobierno Nacional. El MVCT, distribuirá los recursos disponibles para cada vigencia, de acuerdo con la parametrización y la participación ponderada en las necesidades en cada uno de los municipios priorizados de conformidad con los criterios previstos en el artículo 2.3.4.4.4. del presente capítulo, y la metodología que para el efecto determine el Ministerio. </w:t>
      </w:r>
    </w:p>
    <w:p w14:paraId="4045A2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658B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el número de municipios y de hogares beneficiarios dependerá de la disponibilidad de recursos para cada vigencia fiscal. </w:t>
      </w:r>
    </w:p>
    <w:p w14:paraId="349F1C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2219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los programas de conexiones intradomiciliarias que cuenten con apoyo financiero de la Nación, los recursos que se destinen para estos propósitos deberán estar sujetos a las disponibilidades fiscales y presupuestales que se prioricen dentro del Marco de Gasto de Mediano Plazo aprobado para el sector. </w:t>
      </w:r>
    </w:p>
    <w:p w14:paraId="4199047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27" w:name="ver_30076066"/>
      <w:bookmarkEnd w:id="2027"/>
      <w:r w:rsidRPr="009342F9">
        <w:rPr>
          <w:rFonts w:ascii="Arial" w:eastAsia="Times New Roman" w:hAnsi="Arial" w:cs="Arial"/>
          <w:color w:val="000000"/>
          <w:lang w:eastAsia="es-CO"/>
        </w:rPr>
        <w:t xml:space="preserve">Artículo 2.3.4.4.7. Valor máximo del subsidio por inmueble beneficiario del Programa de Conexiones Intradomiciliarias. El valor máximo del subsidio por inmueble beneficiario con el programa de conexiones intradomiciliarias de los servicios de acueducto y </w:t>
      </w:r>
      <w:proofErr w:type="gramStart"/>
      <w:r w:rsidRPr="009342F9">
        <w:rPr>
          <w:rFonts w:ascii="Arial" w:eastAsia="Times New Roman" w:hAnsi="Arial" w:cs="Arial"/>
          <w:color w:val="000000"/>
          <w:lang w:eastAsia="es-CO"/>
        </w:rPr>
        <w:t>alcantarillado,</w:t>
      </w:r>
      <w:proofErr w:type="gramEnd"/>
      <w:r w:rsidRPr="009342F9">
        <w:rPr>
          <w:rFonts w:ascii="Arial" w:eastAsia="Times New Roman" w:hAnsi="Arial" w:cs="Arial"/>
          <w:color w:val="000000"/>
          <w:lang w:eastAsia="es-CO"/>
        </w:rPr>
        <w:t xml:space="preserve"> será de hasta 8,23 SMMLV. </w:t>
      </w:r>
    </w:p>
    <w:p w14:paraId="264CF5E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81E9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Para los municipios que conforman los departamentos de Amazonas, Guainía, San Andrés, Providencia y Santa Catalina, Putumayo, Chocó, Vaupés, Vichada y Guaviare el valor máximo del subsidio por inmueble beneficiario del programa de conexiones intradomiciliarias será de hasta 10 </w:t>
      </w:r>
      <w:proofErr w:type="spellStart"/>
      <w:r w:rsidRPr="009342F9">
        <w:rPr>
          <w:rFonts w:ascii="Arial" w:eastAsia="Times New Roman" w:hAnsi="Arial" w:cs="Arial"/>
          <w:color w:val="000000"/>
          <w:lang w:eastAsia="es-CO"/>
        </w:rPr>
        <w:t>smmlv</w:t>
      </w:r>
      <w:proofErr w:type="spellEnd"/>
      <w:r w:rsidRPr="009342F9">
        <w:rPr>
          <w:rFonts w:ascii="Arial" w:eastAsia="Times New Roman" w:hAnsi="Arial" w:cs="Arial"/>
          <w:color w:val="000000"/>
          <w:lang w:eastAsia="es-CO"/>
        </w:rPr>
        <w:t>. </w:t>
      </w:r>
    </w:p>
    <w:p w14:paraId="1FDBF3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2A10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efectos de lo previsto en este parágrafo, antes de la apertura del proceso de contratación en cada municipio, el ejecutor del proyecto deberá hacer las verificaciones y estudios de mercado correspondientes que soporten los costos de las intervenciones. En ningún caso los costos podrán sobrepasar el valor máximo establecido para el subsidio. </w:t>
      </w:r>
    </w:p>
    <w:p w14:paraId="42EC1859" w14:textId="2923B8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8" w:name="ver_30076067"/>
      <w:bookmarkEnd w:id="2028"/>
    </w:p>
    <w:p w14:paraId="766ED9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2.3.4.4.8. Contrapartida de las Entidades Territoriales. Para acceder a los programas de conexiones intradomiciliarias de la Nación, las entidades territoriales, deberán contribuir a los mismos, en dinero o en especie, como mínimo con los costos de socialización del programa en los términos y condiciones que defina el MVCT. </w:t>
      </w:r>
    </w:p>
    <w:p w14:paraId="42112D9A" w14:textId="67289A1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29" w:name="ver_30076068"/>
      <w:bookmarkEnd w:id="2029"/>
    </w:p>
    <w:p w14:paraId="280F49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2.3.4.4.9. Alcance del subsidio de los programas de conexiones intradomiciliarias. El subsidio otorgado por la Nación y/o de las entidades territoriales para financiar los programas de conexiones intradomiciliarias, cubrirán los costos correspondientes a la formulación, ejecución, suministro de aparatos, equipos, y las adecuaciones necesarias para su funcionalidad. </w:t>
      </w:r>
    </w:p>
    <w:p w14:paraId="6D71B1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DBF66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No se podrá otorgar más de un subsidio de conexiones intradomiciliarias por inmueble, para lo cual se levantarán los registros correspondientes. Este subsidio no excluye la posibilidad de que los hogares que habitan los inmuebles beneficiados con </w:t>
      </w:r>
      <w:proofErr w:type="gramStart"/>
      <w:r w:rsidRPr="009342F9">
        <w:rPr>
          <w:rFonts w:ascii="Arial" w:eastAsia="Times New Roman" w:hAnsi="Arial" w:cs="Arial"/>
          <w:color w:val="000000"/>
          <w:lang w:eastAsia="es-CO"/>
        </w:rPr>
        <w:t>este,</w:t>
      </w:r>
      <w:proofErr w:type="gramEnd"/>
      <w:r w:rsidRPr="009342F9">
        <w:rPr>
          <w:rFonts w:ascii="Arial" w:eastAsia="Times New Roman" w:hAnsi="Arial" w:cs="Arial"/>
          <w:color w:val="000000"/>
          <w:lang w:eastAsia="es-CO"/>
        </w:rPr>
        <w:t xml:space="preserve"> puedan aplicar a otros subsidios como el Subsidio Familiar de Vivienda en las modalidades contempladas en la norma vigente. </w:t>
      </w:r>
    </w:p>
    <w:p w14:paraId="1C850A7F" w14:textId="1D8C9DC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30" w:name="ver_30076069"/>
      <w:bookmarkEnd w:id="2030"/>
    </w:p>
    <w:p w14:paraId="36F062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2.3.4.4.10.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El MVCT viabilizará los proyectos de conexiones intradomiciliarias que se financien con recursos provenientes del Presupuesto General de la Nación. </w:t>
      </w:r>
    </w:p>
    <w:p w14:paraId="3F1038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5554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MVCT podrá bridar apoyo técnico en la estructuración de programas de conexiones intradomiciliarias y en la </w:t>
      </w:r>
      <w:proofErr w:type="spellStart"/>
      <w:r w:rsidRPr="009342F9">
        <w:rPr>
          <w:rFonts w:ascii="Arial" w:eastAsia="Times New Roman" w:hAnsi="Arial" w:cs="Arial"/>
          <w:color w:val="000000"/>
          <w:lang w:eastAsia="es-CO"/>
        </w:rPr>
        <w:t>viabilización</w:t>
      </w:r>
      <w:proofErr w:type="spellEnd"/>
      <w:r w:rsidRPr="009342F9">
        <w:rPr>
          <w:rFonts w:ascii="Arial" w:eastAsia="Times New Roman" w:hAnsi="Arial" w:cs="Arial"/>
          <w:color w:val="000000"/>
          <w:lang w:eastAsia="es-CO"/>
        </w:rPr>
        <w:t xml:space="preserve"> de proyectos relacionados con los mismos, para lo cual suscribirá los convenios a los que haya lugar. </w:t>
      </w:r>
    </w:p>
    <w:p w14:paraId="50B75994" w14:textId="3907DB1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31" w:name="ver_30076070"/>
      <w:bookmarkEnd w:id="2031"/>
    </w:p>
    <w:p w14:paraId="24F471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2.3.4.4.11. Ejecución del Programa para la Construcción de Conexiones Intradomiciliarias. Para la ejecución de Programas de Conexiones Intradomiciliarias el MVCT suscribirá un convenio con el ente territorial, en el cual acordará entre otros el esquema de ejecución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xml:space="preserve"> y las condiciones de la contrapartida. </w:t>
      </w:r>
    </w:p>
    <w:p w14:paraId="62276A40" w14:textId="7C905176"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EC3B00"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2032" w:name="ver_30076071"/>
      <w:bookmarkEnd w:id="2032"/>
      <w:r w:rsidRPr="009342F9">
        <w:rPr>
          <w:rFonts w:ascii="Arial" w:eastAsia="Times New Roman" w:hAnsi="Arial" w:cs="Arial"/>
          <w:b/>
          <w:bCs/>
          <w:color w:val="000000"/>
          <w:lang w:eastAsia="es-CO"/>
        </w:rPr>
        <w:t>TÍTULO 5</w:t>
      </w:r>
    </w:p>
    <w:p w14:paraId="38A026D3"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SISTEMA GENERAL DE PARTICIPACIONES PARA AGUA POTABLE Y SANEAMIENTO BÁSICO - CERTIFICACIONES</w:t>
      </w:r>
    </w:p>
    <w:p w14:paraId="4434C0D4" w14:textId="77777777" w:rsidR="00EE4153" w:rsidRDefault="00EE4153" w:rsidP="004E2147">
      <w:pPr>
        <w:spacing w:after="0" w:line="240" w:lineRule="auto"/>
        <w:jc w:val="center"/>
        <w:rPr>
          <w:rFonts w:ascii="Arial" w:eastAsia="Times New Roman" w:hAnsi="Arial" w:cs="Arial"/>
          <w:b/>
          <w:bCs/>
          <w:color w:val="000000"/>
          <w:lang w:eastAsia="es-CO"/>
        </w:rPr>
      </w:pPr>
    </w:p>
    <w:p w14:paraId="72FE2C7D" w14:textId="3AB81CC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1BFDAE53" w14:textId="77777777" w:rsidR="00FC79C1"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RECURSOS DE LA PARTICIPACIÓN PARA AGUA POTABLE Y SANEAMIENTO BÁSICO DEL SISTEMA GENERAL DE PARTICIPACIONES Y LA LEY 1450 DE 2011 EN LO ATINENTE A LAS ACTIVIDADES DE MONITOREO, SEGUIMIENTO Y CONTROL INTEGRAL A ESTOS RECURSOS.</w:t>
      </w:r>
    </w:p>
    <w:p w14:paraId="68A0B2A7" w14:textId="77777777" w:rsidR="00DF7F30" w:rsidRPr="009342F9" w:rsidRDefault="00DF7F30" w:rsidP="004E2147">
      <w:pPr>
        <w:spacing w:after="0" w:line="240" w:lineRule="auto"/>
        <w:jc w:val="center"/>
        <w:rPr>
          <w:rFonts w:ascii="Arial" w:eastAsia="Times New Roman" w:hAnsi="Arial" w:cs="Arial"/>
          <w:b/>
          <w:bCs/>
          <w:color w:val="000000"/>
          <w:lang w:eastAsia="es-CO"/>
        </w:rPr>
      </w:pPr>
    </w:p>
    <w:p w14:paraId="6E1563D1"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SECCION 1</w:t>
      </w:r>
    </w:p>
    <w:p w14:paraId="45A33592" w14:textId="77777777" w:rsidR="00FC79C1"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 Y DEFINICIONES</w:t>
      </w:r>
    </w:p>
    <w:p w14:paraId="333EDAC8" w14:textId="77777777" w:rsidR="00DF7F30" w:rsidRPr="009342F9" w:rsidRDefault="00DF7F30" w:rsidP="004E2147">
      <w:pPr>
        <w:spacing w:after="0" w:line="240" w:lineRule="auto"/>
        <w:jc w:val="center"/>
        <w:rPr>
          <w:rFonts w:ascii="Arial" w:eastAsia="Times New Roman" w:hAnsi="Arial" w:cs="Arial"/>
          <w:b/>
          <w:bCs/>
          <w:color w:val="000000"/>
          <w:lang w:eastAsia="es-CO"/>
        </w:rPr>
      </w:pPr>
    </w:p>
    <w:p w14:paraId="214B0A91"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SUBSECCION 1</w:t>
      </w:r>
    </w:p>
    <w:p w14:paraId="56E11F10"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1571801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33" w:name="ver_30076072"/>
      <w:bookmarkEnd w:id="2033"/>
    </w:p>
    <w:p w14:paraId="3E4C56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2.3.5.1.1.1.1. Objeto. El presente capítulo tiene por objeto reglamentar las normas del Sistema General de Participaciones para Agua Potable y Saneamiento Básico para los departamentos, distritos y municipios relacionadas con el giro de los recursos, la certificación para los distritos y municipios para la administración de los mismos y el aseguramiento de la prestación de los servicios, los efectos del proceso de certificación, la cofinanciación del pago de pasivos laborales de los prestadores de servicios públicos de acueducto, alcantarillado y/o aseo, la destinación mínima para el otorgamiento de subsidios y el ejercicio de las actividades de monitoreo, seguimiento y control a la utilización de dichos recursos. </w:t>
      </w:r>
    </w:p>
    <w:p w14:paraId="3C948F7E" w14:textId="676538B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34" w:name="ver_30076073"/>
      <w:bookmarkEnd w:id="2034"/>
    </w:p>
    <w:p w14:paraId="2A51AA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2.3.5.1.1.1.2. Ámbito de Aplicación. El presente capítulo se aplica a las entidades públicas, privadas y mixtas del orden nacional y territorial, personas prestadoras de los Servicios Públicos Domiciliarios de acueducto, alcantarillado y/o aseo a que se refiere la Ley 142 de 1994, y demás responsables de la distribución, administración, giro, ejecución, compromiso, vigilancia, monitoreo, seguimiento y control de los recursos provenientes del Sistema General de Participaciones y destinados al sector de Agua Potable y Saneamiento Básico. </w:t>
      </w:r>
    </w:p>
    <w:p w14:paraId="57D44EC2" w14:textId="70845D7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35" w:name="ver_30076074"/>
      <w:bookmarkEnd w:id="2035"/>
    </w:p>
    <w:p w14:paraId="06DE4E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2.3.5.1.1.1.3. Información para evaluación. Las entidades territoriales y </w:t>
      </w:r>
      <w:proofErr w:type="gramStart"/>
      <w:r w:rsidRPr="009342F9">
        <w:rPr>
          <w:rFonts w:ascii="Arial" w:eastAsia="Times New Roman" w:hAnsi="Arial" w:cs="Arial"/>
          <w:color w:val="000000"/>
          <w:lang w:eastAsia="es-CO"/>
        </w:rPr>
        <w:t>nacionales,</w:t>
      </w:r>
      <w:proofErr w:type="gramEnd"/>
      <w:r w:rsidRPr="009342F9">
        <w:rPr>
          <w:rFonts w:ascii="Arial" w:eastAsia="Times New Roman" w:hAnsi="Arial" w:cs="Arial"/>
          <w:color w:val="000000"/>
          <w:lang w:eastAsia="es-CO"/>
        </w:rPr>
        <w:t xml:space="preserve"> deberán reportar al Sistema de Seguimiento y Evaluación, la información relacionada con políticas y proyectos de inversión que requiera el Departamento Nacional de Planeación o quien haga sus veces, de acuerdo con el manual de operaciones que dicha Entidad adopte para tal efecto, en cumplimiento del Artículo 343 de la Constitución Política. </w:t>
      </w:r>
    </w:p>
    <w:p w14:paraId="4CBD99FA" w14:textId="6F058A4D" w:rsidR="00FC79C1" w:rsidRPr="009342F9" w:rsidRDefault="00FC79C1" w:rsidP="00E476D9">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C8EFA1"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2036" w:name="ver_30076075"/>
      <w:bookmarkEnd w:id="2036"/>
      <w:r w:rsidRPr="009342F9">
        <w:rPr>
          <w:rFonts w:ascii="Arial" w:eastAsia="Times New Roman" w:hAnsi="Arial" w:cs="Arial"/>
          <w:b/>
          <w:bCs/>
          <w:color w:val="000000"/>
          <w:lang w:eastAsia="es-CO"/>
        </w:rPr>
        <w:t>SUBSECCIÓN 2</w:t>
      </w:r>
    </w:p>
    <w:p w14:paraId="579DA4DD"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DEFINICIONES</w:t>
      </w:r>
    </w:p>
    <w:p w14:paraId="55CAA70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37" w:name="ver_30076076"/>
      <w:bookmarkEnd w:id="2037"/>
    </w:p>
    <w:p w14:paraId="5A766A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2.3.5.1.1.2.4. Definiciones. Para efectos de la aplicación de lo dispuesto en el presente capítulo, se adoptan las siguientes definiciones: </w:t>
      </w:r>
    </w:p>
    <w:p w14:paraId="0BEEB0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FF71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Asunción Temporal de Competencias. Es una medida correctiva diseñada como uno de los mecanismos de control al manejo de recursos del SGP, por medio de la cual la competencia para asegurar la prestación del servicio la asume temporalmente el departamento, y en el caso de los departamentos o distritos, la Nación, de acuerdo con las disposiciones establecidas en la normatividad única para el sector de Planeación Nacional, Hacienda y Crédito </w:t>
      </w:r>
      <w:proofErr w:type="spellStart"/>
      <w:r w:rsidRPr="009342F9">
        <w:rPr>
          <w:rFonts w:ascii="Arial" w:eastAsia="Times New Roman" w:hAnsi="Arial" w:cs="Arial"/>
          <w:color w:val="000000"/>
          <w:lang w:eastAsia="es-CO"/>
        </w:rPr>
        <w:t>Públicoy</w:t>
      </w:r>
      <w:proofErr w:type="spellEnd"/>
      <w:r w:rsidRPr="009342F9">
        <w:rPr>
          <w:rFonts w:ascii="Arial" w:eastAsia="Times New Roman" w:hAnsi="Arial" w:cs="Arial"/>
          <w:color w:val="000000"/>
          <w:lang w:eastAsia="es-CO"/>
        </w:rPr>
        <w:t>/o las normas que los sustituyan, modifiquen o adicionen. </w:t>
      </w:r>
    </w:p>
    <w:p w14:paraId="089F9A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EF02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Capacidad fiscal. Es la capacidad de los municipios o distritos de generar ingresos corrientes de libre destinación, según los resultados de la evaluación de la gestión de todas las entidades territoriales publicado por el Departamento Nacional de Planeación en cumplimiento del artículo 79 de la Ley 617 de 2000 y/o las normas que lo modifiquen, adicionen o aclaren. </w:t>
      </w:r>
    </w:p>
    <w:p w14:paraId="052E2E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7C70B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Certificación. Es el proceso adelantado por la Superintendencia de Servicios Públicos Domiciliarios (SSPD), mediante el cual se verifica el cumplimiento, por parte de municipios y distritos, de los requisitos establecidos en los artículos 2.3.5.1.2.1.6. y 2.3.5.1.2.1.7. del presente capítulo en desarrollo de los aspectos establecidos en el artículo 4° de la Ley 1176 de 2007, y por el cual las entidades territoriales certificadas podrán continuar administrando los recursos del SGP – APSB y asegurando la prestación de los servicios de acueducto, alcantarillado y aseo. </w:t>
      </w:r>
    </w:p>
    <w:p w14:paraId="0A0E25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D37E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Cofinanciación para el pago de pasivos laborales. Es el apoyo financiero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los términos de este capítulo, prestará el departamento al municipio o distrito para contribuir por una sola vez al pago de pasivos laborales de las personas prestadoras de los servicios públicos de acueducto, alcantarillado y aseo de que tratan los numerales 1 y 3 del artículo 15 de la Ley 142 de 1994, con cargo a los recursos de la participación para Agua Potable y Saneamiento Básico del SGP del respectivo departamento. Los pasivos laborales que se cofinancien serán los causados con anterioridad al 1° de enero de 2008, fecha de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Ley 1176 de 2007. </w:t>
      </w:r>
    </w:p>
    <w:p w14:paraId="5BBAF5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5C3C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cofinanciación del departamento para el pago de pasivos laborales con los recursos del Sistema General de Participaciones como apoyo a un proceso de reestructuración de la prestación de los servicios públicos domiciliarios en el marco del Plan Departamental de Agua, dependerá de la distribución del Plan General Estratégico de Inversiones y el Plan Anual Estratégico y de Inversiones aprobado por el Comité Directivo del PDA o la estructura operativa que haga sus veces. </w:t>
      </w:r>
    </w:p>
    <w:p w14:paraId="239837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93AA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5. Contrapartida. Es el monto de los recursos que aportan los municipios o distritos de acuerdo con su capacidad fiscal, para el pago del pasivo laboral de las personas prestadoras de los servicios públicos de acueducto, alcantarillado y aseo de que tratan los numerales 1 y 3 del artículo 15 de la Ley 142 de 1994, causados con anterioridad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Ley 1176 de 2007. </w:t>
      </w:r>
    </w:p>
    <w:p w14:paraId="38F7BF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8338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Control. Comprende la adopción de medidas preventivas y la determinación efectiva de los correctivos necesarios respecto de las entidades territoriales, que se identifiquen en las actividades de monitoreo o seguimiento, orientadas a asegurar la adecuada ejecución de los recursos del Sistema General de Participaciones, el cumplimiento de las metas de continuidad, cobertura y calidad y la adecuada prestación de los servicios a su cargo. </w:t>
      </w:r>
    </w:p>
    <w:p w14:paraId="2C1309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1683F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Descertificación. Es la consecuencia de no obtener la certificación de que trata el numeral 3. Los distritos y municipios que sean descertificados no podrán administrar los recursos de SGP – APSB, asegurar la prestación de los servicios públicos domiciliarios de Acueducto, Alcantarillado y Aseo, ni realizar nuevos compromisos con cargo a los mismos, a partir de la fecha de la descertificación. </w:t>
      </w:r>
    </w:p>
    <w:p w14:paraId="475E5D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25B4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Evaluación Integral. Es el análisis que realiza la Superintendencia de Servicios Públicos Domiciliarios de la gestión financiera, técnica y administrativa de los prestadores de servicios públicos sujetos a su control, inspección y vigilancia, de acuerdo con indicadores definidos por las comisiones de regulación. </w:t>
      </w:r>
    </w:p>
    <w:p w14:paraId="639197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6A57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Fondo de Solidaridad y Redistribución de Ingresos (FSRI). Son cuentas especiales que de acuerdo con la Ley 142 de 1994, deben constituir los municipios, distritos y departamentos en su contabilidad y presupuesto, a través de las cuales se contabilizarán los recursos destinados a otorgar subsidios a los servicios públicos domiciliarios. Dentro de cada Fondo se llevará la contabilidad de cada servicio de manera separada, y al interior de ellos no podrán hacerse transferencias de recursos entre servicios. </w:t>
      </w:r>
    </w:p>
    <w:p w14:paraId="01BD30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F727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Formulario Único Territorial (FUT). Es el formulario mediante el cual se reporta la información presupuestal y financiera y aquella requerida para efectos de desarrollar las actividades de monitoreo, seguimiento, evaluación y control a la utilización de los recursos del Sistema General de Participaciones, de conformidad con las normas aplicables. </w:t>
      </w:r>
    </w:p>
    <w:p w14:paraId="11A9ACC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570A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Monitoreo. Comprende la recopilación sistemática de información, su consolidación, análisis y verificación, para el cálculo de indicadores específicos y estratégicos de cada sector, que permitan identificar acciones u omisiones por parte de las entidades territoriales que puedan poner en riesgo la adecuada utilización de los recursos del Sistema General de Participaciones. </w:t>
      </w:r>
    </w:p>
    <w:p w14:paraId="672ECB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4F19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12. Pasivos laborales. Son todas las obligaciones causadas con anterioridad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Ley 1176 de 2007, derivadas del contrato de trabajo o una relación legal y reglamentaria con las personas prestadoras de los servicios públicos de acueducto, alcantarillado y aseo de que tratan los numerales 1 y 3 del artículo 15 de la Ley 142 de 1994. En ningún caso se entenderá como pasivo laboral, el relacionado con contratos de prestación de servicios o cualquier otra relación que no genere vínculo laboral. </w:t>
      </w:r>
    </w:p>
    <w:p w14:paraId="3A99C8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9AE8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Plan de Desempeño. Es la medida preventiva diseñada como uno de los mecanismos de control al manejo de los recursos del SGP, por medio de la cual el ente territorial se obliga a desarrollar las actividades orientadas a mitigar o eliminar los eventos de riesgo identificados en las actividades de monitoreo o seguimiento. </w:t>
      </w:r>
    </w:p>
    <w:p w14:paraId="29DE95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0F25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Seguimiento. Comprende la evaluación y análisis de los procesos administrativos, institucionales, fiscales, presupuestales, contractuales y sectoriales de las entidades territoriales, las cuales permiten evidenciar y cualificar la existencia de eventos de riesgo que afectan o puedan llegar a afectar la ejecución de los recursos, el cumplimiento de las metas de continuidad, cobertura y calidad en la prestación de servicios. </w:t>
      </w:r>
    </w:p>
    <w:p w14:paraId="6F20E3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B8E5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Sistema General de Participaciones – Participación para Agua Potable y Saneamiento Básico, SGP – APSB. Son los recursos que la Nación transfiere por mandato de los artículos 356 y 357 de la Constitución Política a las entidades territoriales, para la financiación del sector de Agua Potable y Saneamiento Básico en los términos de la Ley 1176 de 2007 y demás normas que le complementen, modifiquen o sustituyan. </w:t>
      </w:r>
    </w:p>
    <w:p w14:paraId="5F56E3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65FA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16. Sistema Único de Información (SUI). Es el sistema único de información para los servicios públicos domiciliarios y actividades complementarias de que trata la Ley 142 de 1994, el cual se nutre de la información proveniente de los prestadores de los servicios de acueducto, alcantarillado y aseo, de las entidades territoriales y demás obligados a reportar información; cumple las funciones establecidas en el artículo 14 de la Ley 689 de 2001 y es administrado por la Superintendencia de Servicios Públicos Domiciliarios (SSPD), de conformidad con las normas aplicables. </w:t>
      </w:r>
    </w:p>
    <w:p w14:paraId="07BE64B2" w14:textId="2BA8A6E7" w:rsidR="004E2147"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FC0B65" w14:textId="77777777" w:rsidR="00FC79C1" w:rsidRPr="009342F9" w:rsidRDefault="00FC79C1" w:rsidP="004E2147">
      <w:pPr>
        <w:spacing w:after="0" w:line="240" w:lineRule="auto"/>
        <w:jc w:val="center"/>
        <w:rPr>
          <w:rFonts w:ascii="Arial" w:eastAsia="Times New Roman" w:hAnsi="Arial" w:cs="Arial"/>
          <w:b/>
          <w:bCs/>
          <w:color w:val="000000"/>
          <w:lang w:eastAsia="es-CO"/>
        </w:rPr>
      </w:pPr>
      <w:bookmarkStart w:id="2038" w:name="ver_30076077"/>
      <w:bookmarkEnd w:id="2038"/>
      <w:r w:rsidRPr="009342F9">
        <w:rPr>
          <w:rFonts w:ascii="Arial" w:eastAsia="Times New Roman" w:hAnsi="Arial" w:cs="Arial"/>
          <w:b/>
          <w:bCs/>
          <w:color w:val="000000"/>
          <w:lang w:eastAsia="es-CO"/>
        </w:rPr>
        <w:t>SECCIÓN 2</w:t>
      </w:r>
    </w:p>
    <w:p w14:paraId="444DFE74"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PROCESO DE CERTIFICACIÓN</w:t>
      </w:r>
    </w:p>
    <w:p w14:paraId="5AB6B592" w14:textId="77777777" w:rsidR="00EE4153" w:rsidRDefault="00EE4153" w:rsidP="004E2147">
      <w:pPr>
        <w:spacing w:after="0" w:line="240" w:lineRule="auto"/>
        <w:jc w:val="center"/>
        <w:rPr>
          <w:rFonts w:ascii="Arial" w:eastAsia="Times New Roman" w:hAnsi="Arial" w:cs="Arial"/>
          <w:b/>
          <w:bCs/>
          <w:color w:val="000000"/>
          <w:lang w:eastAsia="es-CO"/>
        </w:rPr>
      </w:pPr>
    </w:p>
    <w:p w14:paraId="7F277D08" w14:textId="36D66A3F"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28F49465" w14:textId="77777777" w:rsidR="00FC79C1" w:rsidRPr="009342F9" w:rsidRDefault="00FC79C1" w:rsidP="004E2147">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GENERALES</w:t>
      </w:r>
    </w:p>
    <w:p w14:paraId="49ED9D2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39" w:name="ver_30076078"/>
      <w:bookmarkEnd w:id="2039"/>
    </w:p>
    <w:p w14:paraId="3BB330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2.3.5.1.2.1.5. Proceso de certificación. La Superintendencia de Servicios Públicos Domiciliarios adelantará el proceso de certificación de acuerdo con lo establecido en el parágrafo del artículo 4° de la Ley 1176 de 2007. Para estos efectos, verificará lo señalado en los artículos siguientes. </w:t>
      </w:r>
    </w:p>
    <w:p w14:paraId="00581F91" w14:textId="2ED89FB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40" w:name="ver_30188856"/>
      <w:bookmarkStart w:id="2041" w:name="ver_30076079"/>
      <w:bookmarkEnd w:id="2040"/>
    </w:p>
    <w:p w14:paraId="4FBFB7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2.3.5.1.2.1.6. Requisitos generales para los municipios y distritos. Para los municipios y distritos de todas las categorías se verificará cada año, empezando con la vigencia 2013 la cual será evaluada en el año 2014 y así sucesivamente, el cumplimiento de los requisitos que se establecen a continuación: </w:t>
      </w:r>
    </w:p>
    <w:p w14:paraId="62E90428" w14:textId="0050D23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5160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w:t>
      </w:r>
      <w:proofErr w:type="spellStart"/>
      <w:proofErr w:type="gramStart"/>
      <w:r w:rsidRPr="009342F9">
        <w:rPr>
          <w:rFonts w:ascii="Arial" w:eastAsia="Times New Roman" w:hAnsi="Arial" w:cs="Arial"/>
          <w:color w:val="000000"/>
          <w:lang w:eastAsia="es-CO"/>
        </w:rPr>
        <w:t>transitorio.Los</w:t>
      </w:r>
      <w:proofErr w:type="spellEnd"/>
      <w:proofErr w:type="gramEnd"/>
      <w:r w:rsidRPr="009342F9">
        <w:rPr>
          <w:rFonts w:ascii="Arial" w:eastAsia="Times New Roman" w:hAnsi="Arial" w:cs="Arial"/>
          <w:color w:val="000000"/>
          <w:lang w:eastAsia="es-CO"/>
        </w:rPr>
        <w:t xml:space="preserve"> municipios o distritos que como resultado del proceso de certificación de la vigencia 2016, (a) se encuentren descertificados con decisión ejecutoriada, o, (b) aquellos que se encuentren en proceso de descertificación; podrán obtener la certificación para dicha vigencia, demostrando antes del 30 de marzo de 2018, ante la Superintendencia de Servicios Públicos Domiciliarios el cumplimiento de los requisitos que originaron su descertificación. </w:t>
      </w:r>
    </w:p>
    <w:p w14:paraId="0CD5795B"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6CF3C743" w14:textId="2F4F35F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tales efectos, los municipios y distritos deberán: </w:t>
      </w:r>
    </w:p>
    <w:p w14:paraId="17ED0B3A"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5F3054F1" w14:textId="379CDD9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Subsanar el requisito incumplido en relación con la vigencia objeto de la verificación que originó la descertificación; y/o </w:t>
      </w:r>
    </w:p>
    <w:p w14:paraId="1DC525FE"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5C378847" w14:textId="7BD4621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Demostrando en una vigencia posterior a la evaluada el cumplimiento del requisito que originó la descertificación. </w:t>
      </w:r>
    </w:p>
    <w:p w14:paraId="5973E6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686795" w14:textId="2E60953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Apartado 1.</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 xml:space="preserve">Los municipios o distritos que se encuentren descertificados con decisión </w:t>
      </w:r>
      <w:proofErr w:type="gramStart"/>
      <w:r w:rsidRPr="009342F9">
        <w:rPr>
          <w:rFonts w:ascii="Arial" w:eastAsia="Times New Roman" w:hAnsi="Arial" w:cs="Arial"/>
          <w:color w:val="000000"/>
          <w:lang w:eastAsia="es-CO"/>
        </w:rPr>
        <w:t>ejecutoriada,</w:t>
      </w:r>
      <w:proofErr w:type="gramEnd"/>
      <w:r w:rsidRPr="009342F9">
        <w:rPr>
          <w:rFonts w:ascii="Arial" w:eastAsia="Times New Roman" w:hAnsi="Arial" w:cs="Arial"/>
          <w:color w:val="000000"/>
          <w:lang w:eastAsia="es-CO"/>
        </w:rPr>
        <w:t xml:space="preserve"> podrán acogerse a lo dispuesto en el presente artículo, efectuando nueva solicitud ante la Superintendencia de Servicios Públicos Domiciliarios, allegando las pruebas que soporten el cumplimiento de los requisitos. En este caso, será necesario el inicio de una nueva actuación administrativa. </w:t>
      </w:r>
    </w:p>
    <w:p w14:paraId="52F44698"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165AA76F" w14:textId="749D55D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Aquellos municipios o distritos que estando en proceso de descertificación pero que aún no tengan la decisión en firme, podrán acogerse a lo dispuesto en el presente parágrafo, anexando los elementos de juicio que evidencien el cumplimiento del requisito. En este caso, sólo tendrán la calidad de descertificados hasta que la Superintendencia de Servicios Públicos Domiciliarios decida sobre esta situación, sin que sea necesario el inicio de una nueva actuación administrativa. </w:t>
      </w:r>
    </w:p>
    <w:p w14:paraId="2ED5FA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03947D" w14:textId="65E1BC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Apartado 2.</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Para el caso del requisito relacionado con el pago de subsidios del aspecto “aplicación de la metodología establecida por el Gobierno nacional para asegurar el equilibrio entre los subsidios y las contribuciones de los servicios públicos domiciliarios de acueducto, alcantarillado y aseo” al que se refiere el artículo 4°de la Ley 1176 de 2007, se tendrá como acreditado siempre y cuando los municipios o distritos demuestren el pago de los subsidios de los servicios públicos de acueducto, alcantarillado y aseo correspondientes a la vigencia evaluada que originó la descertificación. </w:t>
      </w:r>
    </w:p>
    <w:p w14:paraId="7550F941" w14:textId="77777777" w:rsidR="004E2147" w:rsidRPr="009342F9" w:rsidRDefault="004E2147" w:rsidP="00FC79C1">
      <w:pPr>
        <w:spacing w:after="0" w:line="240" w:lineRule="auto"/>
        <w:jc w:val="both"/>
        <w:rPr>
          <w:rFonts w:ascii="Arial" w:eastAsia="Times New Roman" w:hAnsi="Arial" w:cs="Arial"/>
          <w:color w:val="000000"/>
          <w:lang w:eastAsia="es-CO"/>
        </w:rPr>
      </w:pPr>
    </w:p>
    <w:p w14:paraId="2E195762" w14:textId="74F034D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 anterior, únicamente para efectos del objeto del presente capítulo, sin que ello signifique que se exime a las entidades territoriales de la obligación legal del pago de subsidios y sin perjuicio de las acciones que adelanten las entidades competentes, derivadas del incumplimiento en el pago oportuno de los subsidios. </w:t>
      </w:r>
    </w:p>
    <w:p w14:paraId="1D3A23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725646" w14:textId="4A48CCB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Apartado 3.</w:t>
      </w:r>
      <w:r w:rsidR="00EE4153">
        <w:rPr>
          <w:rFonts w:ascii="Arial" w:eastAsia="Times New Roman" w:hAnsi="Arial" w:cs="Arial"/>
          <w:color w:val="000000"/>
          <w:lang w:eastAsia="es-CO"/>
        </w:rPr>
        <w:t xml:space="preserve"> </w:t>
      </w:r>
      <w:r w:rsidRPr="009342F9">
        <w:rPr>
          <w:rFonts w:ascii="Arial" w:eastAsia="Times New Roman" w:hAnsi="Arial" w:cs="Arial"/>
          <w:color w:val="000000"/>
          <w:lang w:eastAsia="es-CO"/>
        </w:rPr>
        <w:t>En el caso del reporte al Formulario Único Territorial (FUT) y al Sistema Único de Información (SUI), los requisitos incumplidos se podrán acreditar igualmente mediante la presentación de la documentación pertinente que soporte su cumplimiento. Cuando los requisitos no se acrediten con el reporte al FUT, la Superintendencia de Servicios Públicos Domiciliarios enviará la información correspondiente al Ministerio de Vivienda, Ciudad y Territorio con el fin de que verifique e informe su cumplimiento” </w:t>
      </w:r>
    </w:p>
    <w:p w14:paraId="79D87C8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42" w:name="ver_30188858"/>
      <w:bookmarkStart w:id="2043" w:name="ver_30076080"/>
      <w:bookmarkEnd w:id="2041"/>
      <w:bookmarkEnd w:id="2042"/>
    </w:p>
    <w:p w14:paraId="012D46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2.3.5.1.2.1.7. Requisitos adicionales para municipios y distritos que presten directamente los servicios de acueducto, alcantarillado y/o aseo. Salvo lo dispuesto en el parágrafo primero del presente artículo, para los municipios y distritos que tengan la calidad de prestadores directos se verificará cada dos años, el cumplimiento de los requisitos que se establecen a continuación, adicionales a los establecidos en el artículo 2.3.5.1.2.1.6 del presente capítulo: </w:t>
      </w:r>
    </w:p>
    <w:p w14:paraId="3614DADB" w14:textId="5627C3F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1CCB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El municipio o distrito prestador directo que se encuentre descertificado por uno o varios de los aspectos del presente </w:t>
      </w:r>
      <w:proofErr w:type="gramStart"/>
      <w:r w:rsidRPr="009342F9">
        <w:rPr>
          <w:rFonts w:ascii="Arial" w:eastAsia="Times New Roman" w:hAnsi="Arial" w:cs="Arial"/>
          <w:color w:val="000000"/>
          <w:lang w:eastAsia="es-CO"/>
        </w:rPr>
        <w:t>artículo,</w:t>
      </w:r>
      <w:proofErr w:type="gramEnd"/>
      <w:r w:rsidRPr="009342F9">
        <w:rPr>
          <w:rFonts w:ascii="Arial" w:eastAsia="Times New Roman" w:hAnsi="Arial" w:cs="Arial"/>
          <w:color w:val="000000"/>
          <w:lang w:eastAsia="es-CO"/>
        </w:rPr>
        <w:t xml:space="preserve"> podrá obtener la certificación en la siguiente vigencia, acreditando, adicionalmente a los requisitos establecidos en el artículo 2.3.5.1.2.1.6 del presente capítulo, el cumplimiento del aspecto o aspectos incumplidos, de acuerdo con los requisitos exigidos en la vigencia a certificar. Lo anterior, sin perjuicio de la verificación que se realizará cada dos años de la totalidad de los requisitos para prestadores directos. </w:t>
      </w:r>
    </w:p>
    <w:p w14:paraId="40C002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2311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cumplimiento de los requisitos establecidos en el presente artículo se circunscriben al proceso de certificación de los recursos del Sistema General de Participaciones para Agua Potable y Saneamiento Básico y no es impedimento para que la Superintendencia de Servicios Públicos Domiciliarios en el ejercicio de sus funciones de inspección, control y vigilancia, pueda adoptar las medidas preventivas o correctivas que considere pertinentes, y/o para que el Ministerio de Vivienda, Ciudad y Territorio, adelante la actividad de monitoreo de los recursos del Sistema General de Participaciones para Agua Potable y Saneamiento Básico. </w:t>
      </w:r>
    </w:p>
    <w:p w14:paraId="51728DE3" w14:textId="39B3DE0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BA26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w:t>
      </w:r>
      <w:proofErr w:type="spellStart"/>
      <w:proofErr w:type="gramStart"/>
      <w:r w:rsidRPr="009342F9">
        <w:rPr>
          <w:rFonts w:ascii="Arial" w:eastAsia="Times New Roman" w:hAnsi="Arial" w:cs="Arial"/>
          <w:color w:val="000000"/>
          <w:lang w:eastAsia="es-CO"/>
        </w:rPr>
        <w:t>transitorio.Los</w:t>
      </w:r>
      <w:proofErr w:type="spellEnd"/>
      <w:proofErr w:type="gramEnd"/>
      <w:r w:rsidRPr="009342F9">
        <w:rPr>
          <w:rFonts w:ascii="Arial" w:eastAsia="Times New Roman" w:hAnsi="Arial" w:cs="Arial"/>
          <w:color w:val="000000"/>
          <w:lang w:eastAsia="es-CO"/>
        </w:rPr>
        <w:t xml:space="preserve"> municipios o distritos prestadores directos que como resultado del proceso de certificación de la vigencia 2016, (a) se encuentren descertificados con decisión ejecutoriada, o, (b) aquellos que se encuentren en proceso de descertificación; podrán obtener la certificación para dicha vigencia, demostrando antes del 30 de marzo de 2018, ante la Superintendencia de Servicios Públicos Domiciliarios el cumplimiento de los requisitos que originaron su descertificación. </w:t>
      </w:r>
    </w:p>
    <w:p w14:paraId="2A6462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D23949" w14:textId="445950F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los efectos del cumplimiento de los requisitos ante la Superintendencia de Servicios Públicos Domiciliarios, los municipios o distritos prestadores directos deberán tener en cuenta el apartado 1 del parágrafo transitorio del artículo 2.3.5.1.2.1.6. Para tales efectos, los municipios y distritos prestadores directos deberán: </w:t>
      </w:r>
    </w:p>
    <w:p w14:paraId="0BEC7F4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DBDE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Subsanar el requisito incumplido en relación con la vigencia objeto de la verificación que originó la descertificación; y/o </w:t>
      </w:r>
    </w:p>
    <w:p w14:paraId="2BC81C86"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2FE90E38" w14:textId="3183E3D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Demostrando en una vigencia posterior a la evaluada el cumplimiento del requisito que originó la descertificación. </w:t>
      </w:r>
    </w:p>
    <w:p w14:paraId="59F03517"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1AD34832" w14:textId="36FB18B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Además del reporte al Sistema Único de Información (SUI), los requisitos incumplidos se podrán acreditar igualmente mediante la presentación de la documentación pertinente que soporte su cumplimiento. </w:t>
      </w:r>
    </w:p>
    <w:p w14:paraId="42523811" w14:textId="5E44235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44" w:name="ver_30076081"/>
      <w:bookmarkEnd w:id="2043"/>
      <w:bookmarkEnd w:id="2044"/>
    </w:p>
    <w:p w14:paraId="673DCC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2.3.5.1.2.1.8. Condición del municipio o distrito. Para efectos del proceso de certificación que adelante la Superintendencia de Servicios Públicos Domiciliarios, se tendrá en cuenta la condición de prestador directo o no de los servicios de acueducto, alcantarillado y/o aseo que ostente el municipio o distrito al 31 de diciembre de la vigencia a certificar, según la clasificación del Registro Único de Prestadores de Servicios (RUPS), registrado en el Sistema Único de Información (SUI). </w:t>
      </w:r>
    </w:p>
    <w:p w14:paraId="48D4786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1CB3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Al municipio o distrito que durante la vigencia a certificar no hubiera tenido las competencias para administrar los recursos del Sistema General de Participaciones del sector y asegurar la prestación de los servicios de Agua Potable y Saneamiento Básico, por efecto de encontrarse descertificado, no se le tendrá en cuenta dentro del proceso de certificación el cumplimiento de los requisitos relacionados con los siguientes aspectos: </w:t>
      </w:r>
    </w:p>
    <w:p w14:paraId="5A10E8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B0BB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“Destinación y giro de los recursos de la participación para Agua Potable y Saneamiento Básico, con el propósito de financiar actividades elegibles conforme a lo establecido en el artículo 11 de la Ley 1176 de 2007”, “Creación y puesta en funcionamiento del Fondo de Solidaridad y Redistribución de Ingresos» y “Cumplimiento de lo establecido en el artículo 6° de la Ley 142 de 1994”.  </w:t>
      </w:r>
    </w:p>
    <w:p w14:paraId="0656040D" w14:textId="127CCA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45" w:name="ver_30076083"/>
      <w:bookmarkEnd w:id="2045"/>
    </w:p>
    <w:p w14:paraId="2CE6185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2.3.5.1.2.1.9. Plazos. Para efectos del proceso de certificación, la Superintendencia de Servicios Públicos Domiciliarios verificará que los municipios y distritos hayan dado cumplimiento a los requisitos que se establecen en los artículos 2.3.5.1.2.1.6 y 2.3.5.1.2.1.7 del presente capítulo, teniendo en cuenta los siguientes plazos: </w:t>
      </w:r>
    </w:p>
    <w:p w14:paraId="12400B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036E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Plazos para el cumplimiento de los requisitos del artículo 2.3.5.1.2.1.6. </w:t>
      </w:r>
    </w:p>
    <w:p w14:paraId="194D2190" w14:textId="490BABA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0D435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información que el Ministerio de Vivienda, Ciudad y Territorio deba remitir a la Superintendencia de Servicios Públicos Domiciliarios, de conformidad con lo dispuesto en el artículo 2.3.5.1.2.1.6. del presente capítulo, será enviada a más tardar el 30 de mayo de cada vigencia, siempre y cuando no se modifiquen los plazos establecidos por la Contaduría General de la Nación. </w:t>
      </w:r>
    </w:p>
    <w:p w14:paraId="7ADE2D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84D5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resultados del proceso de certificación serán expedidos por la Superintendencia de Servicios Públicos Domiciliarios a más tardar el 30 de septiembre de cada año, siempre y cuando no se modifiquen los plazos establecidos por la Contaduría General de la Nación. </w:t>
      </w:r>
    </w:p>
    <w:p w14:paraId="5B016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2C81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Los resultados del proceso de certificación de la vigencia 2013 serán expedidos por la Superintendencia de Servicios Públicos Domiciliarios a más tardar el 31 de diciembre de 2014. </w:t>
      </w:r>
    </w:p>
    <w:p w14:paraId="036AD8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033D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A partir de la vigencia a certificar 2014, el Ministerio de Vivienda, Ciudad y Territorio y el Departamento Nacional de Planeación, a través de resolución conjunta, determinarán los plazos para el cumplimiento de los requisitos del proceso de certificación. </w:t>
      </w:r>
    </w:p>
    <w:p w14:paraId="50CA87B6" w14:textId="77777777" w:rsidR="00E476D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46" w:name="ver_30076085"/>
      <w:bookmarkEnd w:id="2046"/>
    </w:p>
    <w:p w14:paraId="60F0251D" w14:textId="65ED044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2.3.5.1.2.1.10. Procedimiento para expedir la certificación. La Superintendencia de Servicios Públicos </w:t>
      </w:r>
      <w:proofErr w:type="gramStart"/>
      <w:r w:rsidRPr="009342F9">
        <w:rPr>
          <w:rFonts w:ascii="Arial" w:eastAsia="Times New Roman" w:hAnsi="Arial" w:cs="Arial"/>
          <w:color w:val="000000"/>
          <w:lang w:eastAsia="es-CO"/>
        </w:rPr>
        <w:t>Domiciliarios</w:t>
      </w:r>
      <w:proofErr w:type="gramEnd"/>
      <w:r w:rsidRPr="009342F9">
        <w:rPr>
          <w:rFonts w:ascii="Arial" w:eastAsia="Times New Roman" w:hAnsi="Arial" w:cs="Arial"/>
          <w:color w:val="000000"/>
          <w:lang w:eastAsia="es-CO"/>
        </w:rPr>
        <w:t xml:space="preserve"> así como el Ministerio de Vivienda, Ciudad y Territorio definirán sus protocolos para la revisión de la información y de los requisitos que a cada uno de ellos corresponde verificar. </w:t>
      </w:r>
    </w:p>
    <w:p w14:paraId="77CCA5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0907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de Servicios Públicos Domiciliarios aplicará las normas del Código de Procedimiento Administrativo y de lo Contencioso Administrativo en lo que se refiere a la actuación administrativa, notificaciones, pruebas y recursos. </w:t>
      </w:r>
    </w:p>
    <w:p w14:paraId="525F2D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614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acto administrativo en firme que resulte del proceso de certificación expedido por la Superintendencia de Servicios Públicos Domiciliarios, ordenará comunicar al Departamento Nacional de Planeación, al Ministerio de Vivienda, Ciudad y Territorio, al Ministerio de Hacienda y Crédito Público y al respectivo departamento, el contenido de la Resolución para efectos del cumplimiento de lo previsto en el artículo 5° de la Ley 1176 de 2007 y su posterior publicación en la página web institucional de la SSPD. </w:t>
      </w:r>
    </w:p>
    <w:p w14:paraId="684B0A8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47" w:name="ver_30076087"/>
      <w:bookmarkEnd w:id="2047"/>
      <w:r w:rsidRPr="009342F9">
        <w:rPr>
          <w:rFonts w:ascii="Arial" w:eastAsia="Times New Roman" w:hAnsi="Arial" w:cs="Arial"/>
          <w:color w:val="000000"/>
          <w:lang w:eastAsia="es-CO"/>
        </w:rPr>
        <w:t>Artículo 2.3.5.1.2.1.11. Reporte de información. Los municipios y distritos deberán reportar la información requerida para el proceso de certificación a través del Sistema Único de Información – SUI en los formularios y/o formatos que determine la Superintendencia de Servicios Públicos Domiciliarios, y la Contaduría General de la Nación en la categoría del Formulario Único Territorial – FUT, según corresponda. </w:t>
      </w:r>
    </w:p>
    <w:p w14:paraId="21DF66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65B8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respecto de los requisitos establecidos para el aspecto “Destinación y giro de los recursos de la participación para Agua Potable y Saneamiento Básico, con el propósito de financiar actividades elegibles conforme a lo establecido en el artículo 11 de la Ley 1176 de 2007” y la Superintendencia de Servicios Públicos Domiciliarios respecto de todos los requisitos establecidos para el proceso de certificación, podrán dentro del marco de sus competencias y por cualquier medio, entre otras cosas, solicitar soportes adicionales para confrontar la información reportada al SUI y al FUT, con otras fuentes y decretar pruebas adicionales para comprobar la consistencia de la información suministrada. </w:t>
      </w:r>
    </w:p>
    <w:p w14:paraId="6CEDB49C" w14:textId="77777777" w:rsidR="0015442F" w:rsidRPr="009342F9" w:rsidRDefault="0015442F" w:rsidP="0015442F">
      <w:pPr>
        <w:spacing w:after="0" w:line="240" w:lineRule="auto"/>
        <w:jc w:val="center"/>
        <w:rPr>
          <w:rFonts w:ascii="Arial" w:eastAsia="Times New Roman" w:hAnsi="Arial" w:cs="Arial"/>
          <w:b/>
          <w:bCs/>
          <w:color w:val="000000"/>
          <w:lang w:eastAsia="es-CO"/>
        </w:rPr>
      </w:pPr>
      <w:bookmarkStart w:id="2048" w:name="ver_30076088"/>
      <w:bookmarkEnd w:id="2048"/>
    </w:p>
    <w:p w14:paraId="72652988" w14:textId="476AF2B4"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2DF747CF"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EFECTOS DEL PROCESO DE CERTIFICACIÓN</w:t>
      </w:r>
    </w:p>
    <w:p w14:paraId="028A9E5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49" w:name="ver_30076090"/>
      <w:bookmarkEnd w:id="2049"/>
    </w:p>
    <w:p w14:paraId="1AE9A7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2.3.5.1.2.2.12. Efectos del proceso de certificación. Los municipios y distritos que como resultado del proceso a que se refiere esta sección sean certificados, seguirán siendo los responsables de administrar los recursos del Sistema General de Participaciones para Agua Potable y Saneamiento Básico y de asegurar la prestación de los servicios de acueducto, alcantarillado y aseo. </w:t>
      </w:r>
    </w:p>
    <w:p w14:paraId="10CAE9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7795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Los municipios y distritos que como resultado del proceso a que se refiere esta sección sean descertificados, no podrán administrar los recursos del Sistema General de Participaciones para Agua Potable y Saneamiento Básico ni realizar nuevos compromisos con cargo a los mismos, desde la fecha en que quede ejecutoriado el acto administrativo en que se decida la descertificación, expedido por la Superintendencia de Servicios Públicos Domiciliarios. En consecuencia, los recursos del Sistema General de Participaciones para Agua Potable y Saneamiento Básico asignados al municipio o distrito </w:t>
      </w:r>
      <w:proofErr w:type="gramStart"/>
      <w:r w:rsidRPr="009342F9">
        <w:rPr>
          <w:rFonts w:ascii="Arial" w:eastAsia="Times New Roman" w:hAnsi="Arial" w:cs="Arial"/>
          <w:color w:val="000000"/>
          <w:lang w:eastAsia="es-CO"/>
        </w:rPr>
        <w:t>descertificado,</w:t>
      </w:r>
      <w:proofErr w:type="gramEnd"/>
      <w:r w:rsidRPr="009342F9">
        <w:rPr>
          <w:rFonts w:ascii="Arial" w:eastAsia="Times New Roman" w:hAnsi="Arial" w:cs="Arial"/>
          <w:color w:val="000000"/>
          <w:lang w:eastAsia="es-CO"/>
        </w:rPr>
        <w:t xml:space="preserve"> serán administrados por el departamento que asuma las competencias previstas en el artículo 5° de la Ley 1176 de 2007 o la norma que la modifique, complemente o sustituya. </w:t>
      </w:r>
    </w:p>
    <w:p w14:paraId="2DA261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86EF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competencias asignadas al departamento en las disposiciones legales mencionadas podrán ser delegadas en los términos legales. </w:t>
      </w:r>
    </w:p>
    <w:p w14:paraId="54385887" w14:textId="41B17F0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0" w:name="ver_30076091"/>
      <w:bookmarkEnd w:id="2050"/>
    </w:p>
    <w:p w14:paraId="10A920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2.3.5.1.2.2.13. Recursos del Sistema General de Participaciones de los Municipios y Distritos Descertificados. Los recursos del Sistema General de Participaciones para Agua Potable y Saneamiento Básico de los municipios y distritos descertificados deberán destinarse exclusivamente a financiar las actividades previstas en el artículo 11 de la Ley 1176 de 2007 en el respectivo municipio o distrito. </w:t>
      </w:r>
    </w:p>
    <w:p w14:paraId="5F1C61F3" w14:textId="38E49B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1" w:name="ver_30076092"/>
      <w:bookmarkEnd w:id="2051"/>
    </w:p>
    <w:p w14:paraId="5EE689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2.3.5.1.2.2.14. Administración de los recursos del Sistema General de Participaciones para Agua Potable y Saneamiento Básico. El departamento, en ejercicio de la competencia asignada por el artículo 5° de la Ley 1176 de 2007, administrará los recursos del Sistema General de Participaciones para Agua Potable y Saneamiento Básico asignados al municipio o distrito descertificado, a partir de la fecha en que quede ejecutoriado el acto administrativo expedido por la Superintendencia de Servicios Públicos Domiciliarios, y en tal virtud le corresponde: </w:t>
      </w:r>
    </w:p>
    <w:p w14:paraId="4D305F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C693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Realizar reunión de empalme con el fin de oficializar la recepción del cierre operativo del municipio o distrito descertificado donde el departamento reciba el balance detallado de la ejecución de ingresos: apropiación y recaudo efectivo; y de la ejecución de los gastos: apropiación, compromisos, obligaciones y pagos, de los recursos correspondientes al Sistema General de Participaciones – APSB ejecutados por el municipio o distrito. El Gobernador realizará dicha reunión, dentro de los 15 días siguientes a la fecha de ejecutoria del acto de descertificación del municipio o distrito de su jurisdicción. Si por razones de fuerza mayor el gobernador no puede asistir, solo podrá delegar esta función en el Secretario de Hacienda del departamento o quien haga sus veces. </w:t>
      </w:r>
    </w:p>
    <w:p w14:paraId="0411A77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5354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cifras del cierre operativo tendrán como fecha de corte la ejecutoria del acto administrativo de la descertificación y como soporte la ejecución presupuestal de ingresos y gastos a esa fecha y las certificaciones bancarias de los saldos correspondientes. Los saldos sin ejecutar, las cuentas por pagar y las reservas presupuestales serán incorporados como rentas administradas en el presupuesto del departamento en la cuenta del municipio correspondiente. </w:t>
      </w:r>
    </w:p>
    <w:p w14:paraId="7BE845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BE95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Administrar, apropiar, incorporar, comprometer, ordenar el gasto y ejecutar los recursos asignados, los recursos de créditos y los recursos del balance del Sistema General de Participaciones para agua potable y saneamiento de los municipios y distritos descertificados, en el presupuesto del departamento y llevar contabilidad en forma independiente disponiendo de una cuenta bancaria para cada municipio o distrito, de conformidad con el plan de desarrollo del municipio o distrito descertificado. </w:t>
      </w:r>
    </w:p>
    <w:p w14:paraId="626D54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4EE5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Presupuestar y contabilizar sin situación de fondos los recursos girados directamente a los prestadores de los servicios de acueducto, alcantarillado y aseo, a los patrimonios autónomos o a los esquemas fiduciarios constituidos para el manejo de los recursos del Sistema General de Participaciones para Agua Potable y Saneamiento Básico. </w:t>
      </w:r>
    </w:p>
    <w:p w14:paraId="48D776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EA49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Suscribir los contratos que sean requeridos para asegurar la adecuada destinación de los recursos del Sistema General de Participaciones para Agua Potable y Saneamiento Básico. </w:t>
      </w:r>
    </w:p>
    <w:p w14:paraId="13001EF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B064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Suscribir con las personas prestadoras de los servicios públicos los contratos o convenios de que trata el artículo 2.3.4.1.2.11 del capítulo I del título IV del presente Libro o la norma que lo modifique, complemente o sustituya, para el otorgamiento de subsidios con cargo al SGP. Los contratos o convenios para la financiación de subsidios con cargo a otras fuentes diferentes al Sistema General de Participaciones serán suscritos y ejecutados por el municipio o distrito descertificado. </w:t>
      </w:r>
    </w:p>
    <w:p w14:paraId="38004E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CA55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Cumplir con los compromisos adquiridos por el municipio o distrito descertificado con anterioridad a la fecha de ejecutoria del acto administrativo expedido por la Superintendencia de Servicios Públicos Domiciliarios que impone la descertificación, que hayan sido financiados con los recursos del Sistema General de Participaciones para Agua Potable y Saneamiento Básico y cuyo objeto sea cualquiera de las actividades establecidas en el artículo 11 de la Ley 1176 de 2007. </w:t>
      </w:r>
    </w:p>
    <w:p w14:paraId="33464B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C4C2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Dar continuidad a los procesos de selección contractual iniciados formalmente por el municipio o distrito descertificado con anterioridad a la fecha de ejecutoria del acto administrativo expedido por la Superintendencia de Servicios Públicos Domiciliarios que impone la descertificación, que sean financiados total o parcialmente con los recursos del Sistema General de Participaciones para Agua Potable y Saneamiento Básico y cuyo objeto sea cualquiera de las actividades establecidas en el artículo 11 de la Ley 1176 de 2007. </w:t>
      </w:r>
    </w:p>
    <w:p w14:paraId="595C67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EDA6C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Registrar y revelar en la contabilidad los recursos recibidos en administración, de acuerdo con las instrucciones que imparta la Contaduría General de la Nación, desagregando lo correspondiente a cada municipio o distrito. </w:t>
      </w:r>
    </w:p>
    <w:p w14:paraId="6023B3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A915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El gobernador podrá autorizar el giro directo de los recursos de acuerdo con lo establecido en la sección V del presente capítulo, y el artículo 13 de la Ley 1176 de 2007 o la norma que lo modifique, complemente o sustituya. </w:t>
      </w:r>
    </w:p>
    <w:p w14:paraId="75BCFC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363F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Realizar los reportes de información al Formulario Único Territorial (FUT) del respectivo departamento discriminado por municipio, de los compromisos y la ejecución presupuestal de los recursos del Sistema General de Participaciones para Agua Potable y Saneamiento Básico. </w:t>
      </w:r>
    </w:p>
    <w:p w14:paraId="321DDD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C9E9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Las apropiaciones dentro de los presupuestos de las entidades territoriales descertificadas, financiadas con los recursos del Sistema General de Participaciones del sector de Agua Potable y Saneamiento Básico se reducirán en una cuantía equivalente al monto incorporado en el presupuesto del departamento hasta el momento en que la respectiva entidad territorial sea certificada, para lo cual se realizarán los ajustes presupuestales a que haya lugar. </w:t>
      </w:r>
    </w:p>
    <w:p w14:paraId="63158D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E8EF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Gobernador incorporará mediante decreto en el presupuesto departamental, como capítulo separado bajo el nombre de Rentas Administradas y clasificados por municipio y/o distrito descertificado, los recursos correspondientes del Sistema General de Participaciones para Agua Potable y Saneamiento Básico. En el gasto incorporará las cuentas por pagar, las reservas presupuestales y los saldos sin ejecutar. </w:t>
      </w:r>
    </w:p>
    <w:p w14:paraId="1F4470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8A8D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las competencias del departamento hayan sido delegadas, los recursos se incorporarán en el presupuesto de este último siguiendo, en lo pertinente, el mismo procedimiento indicado en el inciso anterior. </w:t>
      </w:r>
    </w:p>
    <w:p w14:paraId="21594F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3A83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 El capítulo de rentas administradas por el departamento no formará parte de sus ingresos corrientes, ni computan para el cálculo de los indicadores de la Ley 358 de 1998, la Ley 617 de 2000 y la Ley 819 de 2003. El departamento dispondrá de su manejo de forma separada e independiente. </w:t>
      </w:r>
    </w:p>
    <w:p w14:paraId="6EFF02E2" w14:textId="14A88BE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2" w:name="ver_30076093"/>
      <w:bookmarkEnd w:id="2052"/>
    </w:p>
    <w:p w14:paraId="481E98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2.3.5.1.2.2.15. Competencia para asegurar la prestación de los servicios de acueducto, alcantarillado y aseo a los habitantes del municipio o distrito descertificado. Los departamentos deberán asegurar la prestación eficiente de los servicios de acueducto, alcantarillado y aseo en la jurisdicción de los municipios o distritos descertificados, para lo cual ejercerán las atribuciones específicas que a continuación se describen: </w:t>
      </w:r>
    </w:p>
    <w:p w14:paraId="58D6F9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2713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Apoyar técnica y administrativamente al municipio o distrito descertificado y a los prestadores del servicio, para lograr el cumplimiento de los requisitos establecidos en el presente capítulo o las normas que lo modifiquen, complementen o sustituyan para que los municipios y distritos sean certificados nuevamente. </w:t>
      </w:r>
    </w:p>
    <w:p w14:paraId="581D70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6764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Trasladar y pagar los recursos necesarios para cubrir el requerimiento de subsidios, siempre y cuando se haya adelantado el procedimiento previsto en el artículo 2.3.4.2.2. del capítulo 2 del título 4 del presente Libro para tal efecto. </w:t>
      </w:r>
    </w:p>
    <w:p w14:paraId="2592A6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F80B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Respecto de los prestadores de servicios públicos diferentes al municipio o distrito que presten los servicios de acueducto, alcantarillado o aseo en el municipio o distrito descertificado: </w:t>
      </w:r>
    </w:p>
    <w:p w14:paraId="17E86B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6BD7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3.1 Representar al municipio o distrito descertificado frente a los prestadores, sin perjuicio de que el municipio participe con voz, pero sin voto. </w:t>
      </w:r>
    </w:p>
    <w:p w14:paraId="262703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C286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3.2 Suscribir con los prestadores correspondientes, el convenio o contrato para el otorgamiento de subsidios de que trata el artículo 2.3.4.1.2.11 del capítulo 1 del título 4 del presente Libro, o la norma que lo modifique, complemente o sustituya con cargo al SGP-ASPB del municipio o distrito descertificado. </w:t>
      </w:r>
    </w:p>
    <w:p w14:paraId="5EB6C4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9AF2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3.3 Suscribir con los prestadores los contratos, prórrogas, adiciones y modificaciones necesarias para asegurar la prestación eficiente de los servicios de acueducto, alcantarillado y aseo. </w:t>
      </w:r>
    </w:p>
    <w:p w14:paraId="67469B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B9DF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3.4. Otorgar al prestador el derecho a utilizar la infraestructura pública existente en el municipio o distrito, previa realización del proceso de selección a que se refiere la Ley 142 de 1994. </w:t>
      </w:r>
    </w:p>
    <w:p w14:paraId="67C52ED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A35B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Respecto del municipio prestador directo de alguno de los servicios de acueducto, alcantarillado o aseo: </w:t>
      </w:r>
    </w:p>
    <w:p w14:paraId="2001E1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36E4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4.1. Adelantar lo previsto en el artículo 6° de la Ley 142 de 1994 en caso de que no se haya agotado. </w:t>
      </w:r>
    </w:p>
    <w:p w14:paraId="6BE003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E6EC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4.2. Efectuar seguimiento a la prestación de los mencionados servicios, e impartir instrucciones con el fin de mejorar la prestación de los servicios en el marco de las disposiciones legales vigentes, que deberán ser atendidas por los funcionarios o contratistas del municipio o distrito descertificado. </w:t>
      </w:r>
    </w:p>
    <w:p w14:paraId="351C428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31D7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Para garantizar la continuidad de los servicios prestados directamente por el municipio o distrito descertificado, estos seguirán prestándolos bajo la instrucción del departamento, en el marco de las disposiciones legales vigentes, hasta tanto se vincule a un nuevo prestador. El departamento efectuará el seguimiento a la prestación de los servicios prestados directamente por el municipio o distrito, e impartirá instrucciones, las cuales deberán ser atendidas por estos. </w:t>
      </w:r>
    </w:p>
    <w:p w14:paraId="4B2F4B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5F0B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El departamento podrá vincular al municipio o distrito descertificado al Programa Agua para la Prosperidad – Plan Departamental de Agua. </w:t>
      </w:r>
    </w:p>
    <w:p w14:paraId="00464446" w14:textId="24430B4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3" w:name="ver_30076094"/>
      <w:bookmarkEnd w:id="2053"/>
    </w:p>
    <w:p w14:paraId="22B5E44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2.3.5.1.2.2.16. Medidas administrativas. A partir de la fecha en que quede ejecutoriado el acto administrativo expedido por la Superintendencia de Servicios Públicos Domiciliarios, mediante el cual se descertifica un municipio o distrito y en cumplimiento de lo previsto en el artículo 5° de la Ley 1176 de 2007, se adoptarán las siguientes medidas administrativas: </w:t>
      </w:r>
    </w:p>
    <w:p w14:paraId="37046A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894E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Ministerio de Vivienda, Ciudad y Territorio suspenderá el giro de los recursos del Sistema General de Participaciones para Agua Potable y Saneamiento Básico al municipio o distrito descertificado. </w:t>
      </w:r>
    </w:p>
    <w:p w14:paraId="118D59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B638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Ministerio de Vivienda, Ciudad y Territorio continuará efectuando los giros directos a los prestadores de los servicios de acueducto, alcantarillado y aseo, a los patrimonios autónomos o a los esquemas fiduciarios constituidos para el manejo de los recursos del Sistema General de Participaciones para Agua Potable y Saneamiento Básico que hayan sido autorizados por el municipio o distrito descertificado, en aplicación de lo previsto en la sección 5 del presente capítulo o la norma que lo modifique, complemente o sustituya. </w:t>
      </w:r>
    </w:p>
    <w:p w14:paraId="47954F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1668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Dentro de los quince (15) días hábiles siguientes a la ejecutoria del acto administrativo a que se refiere este artículo, el representante legal del departamento deberá remitir al Ministerio de Vivienda, Ciudad y Territorio y al alcalde del municipio o distrito descertificado, una comunicación escrita con la identificación exacta del número de cuenta bancaria y nombre de la entidad financiera en la cual se administrarán los recursos del Sistema General de Participaciones para Agua Potable y Saneamiento Básico de cada municipio o distrito descertificado, de acuerdo con los requisitos establecidos por el Sistema Integrado de Información Financiera. Recibida la comunicación con toda la información anterior, el Ministerio de Vivienda, Ciudad y Territorio ordenará el giro de los recursos a la cuenta designada por el departamento y registrada ante el mismo, sin perjuicio de lo dispuesto en el numeral anterior. </w:t>
      </w:r>
    </w:p>
    <w:p w14:paraId="64BA12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713D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El municipio o distrito descertificado transferirá a la cuenta designada por el departamento dentro de los cinco (5) días hábiles siguientes a la fecha de celebración de la reunión de empalme, los recursos del Sistema General de Participaciones para Agua Potable y Saneamiento Básico que se encuentren en las cuentas bancarias del municipio o distrito. </w:t>
      </w:r>
    </w:p>
    <w:p w14:paraId="004CC7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99A5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Dentro de los quince (15) días hábiles siguientes a la ejecutoria del acto administrativo que impone la descertificación, el municipio o distrito descertificado deberá enviar al departamento: </w:t>
      </w:r>
    </w:p>
    <w:p w14:paraId="4D7CF7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2D57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5.1 Copia del acto administrativo mediante el cual se aprueba el presupuesto de la vigencia y sus respectivas modificaciones o ajustes. </w:t>
      </w:r>
    </w:p>
    <w:p w14:paraId="3C951F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DE0A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5.2 Demás información pertinente para el cabal cumplimiento de las funciones asignadas. </w:t>
      </w:r>
    </w:p>
    <w:p w14:paraId="4457583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E0B9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5.3. Copia de los contratos, convenios, y demás actos mediante los cuales se han comprometido los mencionados recursos. </w:t>
      </w:r>
    </w:p>
    <w:p w14:paraId="793D57E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624F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Dentro de los quince (15) días hábiles siguientes a la ejecutoria del acto administrativo que impone la descertificación, el representante legal del municipio o distrito descertificado, enviará una comunicación escrita a cada uno de los prestadores de los servicios de acueducto, alcantarillado y aseo de su jurisdicción, a sus contratistas y demás entidades o personas administradoras de los recursos del Sistema General de Participaciones para Agua Potable y Saneamiento Básico, con el fin de informar que dichos recursos serán manejados por el departamento. En caso de que el representante legal del municipio o distrito </w:t>
      </w:r>
      <w:proofErr w:type="gramStart"/>
      <w:r w:rsidRPr="009342F9">
        <w:rPr>
          <w:rFonts w:ascii="Arial" w:eastAsia="Times New Roman" w:hAnsi="Arial" w:cs="Arial"/>
          <w:color w:val="000000"/>
          <w:lang w:eastAsia="es-CO"/>
        </w:rPr>
        <w:t>descertificado,</w:t>
      </w:r>
      <w:proofErr w:type="gramEnd"/>
      <w:r w:rsidRPr="009342F9">
        <w:rPr>
          <w:rFonts w:ascii="Arial" w:eastAsia="Times New Roman" w:hAnsi="Arial" w:cs="Arial"/>
          <w:color w:val="000000"/>
          <w:lang w:eastAsia="es-CO"/>
        </w:rPr>
        <w:t xml:space="preserve"> no envíe la comunicación dentro del término mencionado corresponderá al gobernador remitirla. </w:t>
      </w:r>
    </w:p>
    <w:p w14:paraId="13977675" w14:textId="33D2CB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4" w:name="ver_30076095"/>
      <w:bookmarkEnd w:id="2054"/>
    </w:p>
    <w:p w14:paraId="34A821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2.3.5.1.2.2.17. Obligaciones de los municipios o distritos descertificados. A partir de la fecha en que quede ejecutoriado el acto administrativo que impone la descertificación del municipio o distrito, expedido por la Superintendencia de Servicios Públicos Domiciliarios, este quedará obligado a: </w:t>
      </w:r>
    </w:p>
    <w:p w14:paraId="3121968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98DC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Realizar el cierre operativo. Dentro de los tres (3) días siguientes a la fecha de ejecutoria del acto de descertificación, el municipio realizará el cierre operativo de las cuentas del Sistema General de Participaciones de Agua Potable y Saneamiento Básico con fecha de corte a la notificación del acto administrativo. El cierre tendrá como soporte la ejecución presupuestal de ingresos y gastos a la misma fecha y detallará el estado de las partidas presupuestales de ingreso y de gasto, precisando en el caso de los ingresos, la proyección inicial, los ingresos percibidos y si las hubiere las modificaciones respectivas: en el caso del gasto, la apropiación inicial, las modificaciones presupuestales y los compromisos adquiridos, en todo caso siempre con sus respectivos soportes. Los saldos sin ejecutar, las cuentas por pagar y las reservas presupuestales, serán incorporadas como rentas administradas al presupuesto del departamento en la cuenta del municipio correspondiente. </w:t>
      </w:r>
    </w:p>
    <w:p w14:paraId="33571A6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9C28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Solicitar reunión de empalme. Concluido el cierre operativo, el alcalde presentará a al gobernador o quien haga sus veces, en reunión de empalme, los resultados de su ejercicio, entregando oficialmente el cierre operativo discriminado compromisos, giros y pagos, cuentas por pagar y reservas presupuestales, con sus respectivos soportes y la información adicional que considere pertinente. En caso de fuerza mayor el alcalde podrá delegar esta función en el secretario de hacienda municipal o quien haga sus veces. </w:t>
      </w:r>
    </w:p>
    <w:p w14:paraId="14D22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603B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Reducir las apropiaciones financiadas con los recursos del Sistema General de Participaciones del sector de Agua Potable y Saneamiento Básico dentro de los tres (3) días siguientes a la notificación del acto administrativo de descertificación expedido por la Superintendencia de Servicios Públicos Domiciliarios. </w:t>
      </w:r>
    </w:p>
    <w:p w14:paraId="72D9A7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F32F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Transferir a la cuenta designada por el departamento dentro de los cinco (5) días hábiles siguientes a la reunión de empalme la totalidad de los recursos del Sistema General de Participaciones para Agua Potable y Saneamiento Básico que se encuentren en las cuentas bancarias del municipio o distrito. </w:t>
      </w:r>
    </w:p>
    <w:p w14:paraId="667E94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07A37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Aplicar el procedimiento previsto en el capítulo 2 del título IV del presente Libro o las normas que lo modifiquen, complementen o sustituyan e informar al departamento el monto a apropiar de los recursos del Sistema General de Participaciones para Agua Potable y Saneamiento Básico para financiar subsidios a los estratos subsidiables de acuerdo con lo dispuesto en la normatividad vigente. </w:t>
      </w:r>
    </w:p>
    <w:p w14:paraId="3D16141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0EBC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En los casos de prestación directa de alguno de los servicios de acueducto, alcantarillado y/o aseo, atender las instrucciones que le imparta el departamento. </w:t>
      </w:r>
    </w:p>
    <w:p w14:paraId="376579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EDF1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Permitir al departamento el uso de la infraestructura pública existente con el fin de asegurar la prestación de los servicios públicos en la correspondiente jurisdicción. </w:t>
      </w:r>
    </w:p>
    <w:p w14:paraId="256219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77DB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8. Colaborar con el departamento en todo lo que sea necesario para asegurar la prestación de los servicios públicos de acueducto, alcantarillado y aseo y para cumplir con los requisitos para obtener la certificación. </w:t>
      </w:r>
    </w:p>
    <w:p w14:paraId="7438EF3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3DE85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los municipios y distritos descertificados conservan el deber de cumplir con las obligaciones de orden legal, tales como las previstas en los numerales 5.2 y siguientes del artículo 5° de la Ley 142 de 1994. </w:t>
      </w:r>
    </w:p>
    <w:p w14:paraId="2D0770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6F0F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9. Entregar la información a que se refiere el artículo 2.3.5.1.2.2.16. del presente capítulo. </w:t>
      </w:r>
    </w:p>
    <w:p w14:paraId="6CA35E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2785F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 Registrar y revelar en su contabilidad los hechos financieros, económicos, sociales y ambientales correspondientes a la ejecución de los recursos de que trata este capítulo, conforme a las instrucciones que imparta la Contaduría General de la Nación. </w:t>
      </w:r>
    </w:p>
    <w:p w14:paraId="6EEFA0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E357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Realizar los reportes de información al Sistema Único de Información – SUI, para lo cual el departamento remitirá la información necesaria al municipio o distrito. </w:t>
      </w:r>
    </w:p>
    <w:p w14:paraId="219F74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4A1C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Realizar los reportes de información al Formulario Único Territorial –FUT, en los casos en que haya recibido y comprometido recursos del Sistema General de Participaciones para Agua Potable y Saneamiento Básico. </w:t>
      </w:r>
    </w:p>
    <w:p w14:paraId="5D9CEEED" w14:textId="7FDFFC8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5" w:name="ver_30076096"/>
      <w:bookmarkEnd w:id="2055"/>
    </w:p>
    <w:p w14:paraId="6886DD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2.3.5.1.2.2.18. Procedimiento para la determinación de los subsidios en municipios o distritos descertificados. Los subsidios en los municipios o distritos descertificados serán definidos mediante la aplicación del siguiente procedimiento: </w:t>
      </w:r>
    </w:p>
    <w:p w14:paraId="18F31F0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1FAEA1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El municipio o distrito descertificado, dará aplicación en lo de su competencia al procedimiento previsto en los numerales 1 a 4 del artículo 2.3.4.2.2 del capítulo 2 del título 4 de este Libro. </w:t>
      </w:r>
    </w:p>
    <w:p w14:paraId="51F399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5A43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Con base en el resultado de la aplicación del procedimiento de que trata el numeral anterior, el alcalde municipal o distrital informará a la administración departamental el monto a apropiar de los recursos del Sistema General de Participaciones para Agua Potable y Saneamiento Básico, destinados a financiar los subsidios que se otorgarán a los estratos subsidiables, teniendo en cuenta lo establecido en el parágrafo 2°del artículo 11 de la Ley 1176 de 2007. </w:t>
      </w:r>
    </w:p>
    <w:p w14:paraId="66E064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6A4E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La administración departamental incluirá en el proyecto de presupuesto departamental el monto informado por el alcalde municipal o distrital. Si el monto informado no se ajusta a la normatividad vigente o el municipio o distrito no lo informa, el departamento apropiará los recursos necesarios del Sistema General de Participaciones para Agua Potable y Saneamiento Básico del municipio o distrito descertificado, con el fin de garantizar el equilibrio entre subsidios y contribuciones, los cuales no podrán ser inferiores al quince por ciento (15%) de la participación para Agua Potable y Saneamiento Básico, e informará al municipio el monto apropiado. </w:t>
      </w:r>
    </w:p>
    <w:p w14:paraId="0E5C70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4540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Concejo municipal o distrital definirá los factores de aportes solidarios y de subsidios a aplicar en el respectivo municipio o distrito teniendo en cuenta la metodología para determinación del equilibrio entre subsidios y contribuciones prevista en este capítulo y apropiará en su presupuesto los recursos provenientes de fuentes distintas al Sistema General de Participaciones para Agua Potable y Saneamiento Básico que se requieran para financiar los subsidios de los estratos subsidiables. </w:t>
      </w:r>
    </w:p>
    <w:p w14:paraId="7AB826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B03B1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conformidad con lo previsto en el capítulo I del título IV del presente Libro antes, Decreto 565 de 1996 o la norma que lo modifique, complemente o sustituya, los recursos del Sistema General de Participaciones destinados a financiar subsidios deberán contabilizarse en el Fondo de Solidaridad y Redistribución de Ingresos del respectivo municipio o distrito. Para tal fin el departamento informará mensualmente al municipio o distrito los movimientos realizados. </w:t>
      </w:r>
    </w:p>
    <w:p w14:paraId="39995A6C" w14:textId="77044AF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6" w:name="ver_30076097"/>
      <w:bookmarkEnd w:id="2056"/>
    </w:p>
    <w:p w14:paraId="4B2EA5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2.3.5.1.2.2.19. Procedimiento de los municipios o distritos descertificados para reasumir la administración de los recursos SGP-APSB. A partir de la fecha de ejecutoría del acto administrativo expedido por la Superintendencia de Servicios Públicos Domiciliarios por el cual se certifica a un municipio o distrito descertificado, este reasumirá la administración de los recursos del Sistema General de Participaciones para Agua Potable y Saneamiento Básico y la competencia para asegurar la prestación de estos servicios. En dicho evento, el distrito o municipio dará continuidad a los compromisos asumidos con el prestador de los servicios que haya sido vinculado por el departamento en virtud de lo dispuesto en la Ley 1176 de 2007, para lo cual se adoptarán las siguientes medidas administrativas: </w:t>
      </w:r>
    </w:p>
    <w:p w14:paraId="57871F3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C517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Dentro de los cinco (5) días hábiles siguientes a la notificación del acto administrativo a que se refiere este artículo, el municipio o distrito certificado deberá remitir al Ministerio de Vivienda, Ciudad y Territorio una comunicación escrita firmada por el alcalde con la identificación exacta del número de la cuenta bancaria y nombre de la entidad financiera en la cual se administrarán los recursos del Sistema General de Participaciones para Agua Potable y Saneamiento Básico del municipio o distrito. Recibida la comunicación con la información anterior, el Ministerio de Vivienda, Ciudad y Territorio ordenará el giro de los recursos del Sistema General de Participaciones para Agua Potable y Saneamiento Básico a la cuenta designada por el municipio o distrito certificado. </w:t>
      </w:r>
    </w:p>
    <w:p w14:paraId="25278FF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CADD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El saldo de los recursos de Sistema General de Participaciones para Agua Potable y Saneamiento Básico asignado al municipio o distrito que no fueron ejecutados por el departamento durante el período en que asumió la administración de estos, deberá ser consignado en la cuenta designada por el municipio o distrito dentro de los cinco (5) días hábiles siguientes al recibo de la comunicación de firmeza del acto administrativo expedido por la Superintendencia de Servicios Públicos Domiciliarios. </w:t>
      </w:r>
    </w:p>
    <w:p w14:paraId="76AFEB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F1BA0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El Ministerio de Vivienda, Ciudad y Territorio continuará efectuando los giros directos a los prestadores de los servicios de acueducto, alcantarillado y aseo, a los patrimonios autónomos o a los esquemas fiduciarios constituidos para el manejo de los recursos del Sistema General de Participaciones para Agua Potable y Saneamiento Básico que hayan sido autorizados por el departamento en su calidad de administrador. </w:t>
      </w:r>
    </w:p>
    <w:p w14:paraId="29E73368" w14:textId="6C12F33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7" w:name="ver_30076098"/>
      <w:bookmarkEnd w:id="2057"/>
    </w:p>
    <w:p w14:paraId="25ABF2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2.3.5.1.2.2.20. Monitoreo, seguimiento y control. Los departamentos que ejecutan los recursos del Sistema General de Participaciones para Agua Potable y Saneamiento Básico de los municipios y distritos </w:t>
      </w:r>
      <w:proofErr w:type="gramStart"/>
      <w:r w:rsidRPr="009342F9">
        <w:rPr>
          <w:rFonts w:ascii="Arial" w:eastAsia="Times New Roman" w:hAnsi="Arial" w:cs="Arial"/>
          <w:color w:val="000000"/>
          <w:lang w:eastAsia="es-CO"/>
        </w:rPr>
        <w:t>descertificados,</w:t>
      </w:r>
      <w:proofErr w:type="gramEnd"/>
      <w:r w:rsidRPr="009342F9">
        <w:rPr>
          <w:rFonts w:ascii="Arial" w:eastAsia="Times New Roman" w:hAnsi="Arial" w:cs="Arial"/>
          <w:color w:val="000000"/>
          <w:lang w:eastAsia="es-CO"/>
        </w:rPr>
        <w:t xml:space="preserve"> estarán sometidos al monitoreo, seguimiento y control integral definidos por las normas vigentes. </w:t>
      </w:r>
    </w:p>
    <w:p w14:paraId="61ABC8BE" w14:textId="3D53619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8" w:name="ver_30076099"/>
      <w:bookmarkEnd w:id="2058"/>
    </w:p>
    <w:p w14:paraId="1640FC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2.3.5.1.2.2.21. Régimen especial para el departamento de San Andrés, Providencia y Santa Catalina. En virtud de lo dispuesto en el artículo 8° de la Ley 47 de 1993, a la Administración Departamental del Archipiélago de San Andrés, Providencia y Santa Catalina respecto a la certificación de que trata el artículo 4º de la Ley 1176 de 2007, se le aplicará las actividades de monitoreo, seguimiento y control de los recursos del Sistema General de Participaciones para Agua Potable y Saneamiento Básico. </w:t>
      </w:r>
    </w:p>
    <w:p w14:paraId="2D961DD9" w14:textId="1ACE6268"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59" w:name="ver_30076100"/>
      <w:bookmarkEnd w:id="2059"/>
    </w:p>
    <w:p w14:paraId="7C099EFB" w14:textId="7636C0FA"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1825105A"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EQUILIBRIO ENTRE SUBSIDIOS Y CONTRIBUCIONES DE QUE TRATA EL PARÁGRAFO 2° DEL ARTÍCULO 11 DE LA LEY 1176 DE 2007</w:t>
      </w:r>
    </w:p>
    <w:p w14:paraId="60F10843"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60" w:name="ver_30076101"/>
      <w:bookmarkEnd w:id="2060"/>
    </w:p>
    <w:p w14:paraId="19D6DB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2.3.5.1.3.22. Condición de Equilibrio. Para efectos de lo previsto en este capítulo se entenderá que existe equilibrio, cuando de la información reportada al Sistema Único de Información (SUI) en el formato denominado “Balance de subsidios y contribuciones”, con corte a 30 de marzo de cada vigencia se evidencie que en el año anterior, los subsidios otorgados a los estratos subsidiables para cada uno de los servicios de acueducto, alcantarillado y aseo fueron cubiertos con los recursos del Fondo de Solidaridad y Redistribución del Ingreso Municipal y los aportes solidarios recaudados por los prestadores de servicios públicos para cada uno de los servicios de acueducto, alcantarillado y aseo de la entidad territorial en la respectiva vigencia. </w:t>
      </w:r>
    </w:p>
    <w:p w14:paraId="62B6D7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7A72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recursos provenientes de la bolsa común para el otorgamiento de subsidios tarifarios a que se refiere el Capítulo 3 del Título 4 del presente Libro, antes decreto 4924 de 2011, o la norma que lo modifique, adicione o sustituya y aquellos correspondientes a las contribuciones por aportes solidarios que sean distribuidos entre los municipios del ámbito de operación a que se refiere el artículo 2.3.4.3.2. del mencionado capítulo, no serán tenidos en cuenta para la determinación de la condición de equilibrio a que se refiere el presente artículo. </w:t>
      </w:r>
    </w:p>
    <w:p w14:paraId="795FB8C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61" w:name="ver_30076103"/>
      <w:bookmarkEnd w:id="2061"/>
      <w:r w:rsidRPr="009342F9">
        <w:rPr>
          <w:rFonts w:ascii="Arial" w:eastAsia="Times New Roman" w:hAnsi="Arial" w:cs="Arial"/>
          <w:color w:val="000000"/>
          <w:lang w:eastAsia="es-CO"/>
        </w:rPr>
        <w:t>Artículo 2.3.5.1.3.23. Apropiación de los recursos de la participación para Agua Potable y Saneamiento Básico en los municipios calificados en categorías 2ª, 3ª, 4ª, 5ª 6a. Los municipios clasificados en categorías 2ª, 3ª 4ª, 5ª y 6ª deberán destinar en cada vigencia mínimo el quince por ciento (15%) de los recursos del Sistema General de Participaciones para Agua Potable y Saneamiento Básico a financiar los subsidios que se otorguen a los estratos subsidiables, a menos que hayan logrado la condición de equilibrio a la que se refiere el artículo 2.3.5.1.3.22. del presente capítulo, demostrando el cumplimiento de las siguientes condiciones: </w:t>
      </w:r>
    </w:p>
    <w:p w14:paraId="6840D2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CA37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Haber obtenido la certificación para la administración del SGP por la Superintendencia de Servicios Públicos Domiciliarios a 31 de diciembre de la vigencia anterior a la cual pretende aplicar el parágrafo 2° del artículo 11 de la Ley 1176 de 2007. </w:t>
      </w:r>
    </w:p>
    <w:p w14:paraId="7DBBFDB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0283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Tener creado el Fondo de Solidaridad y Redistribución de Ingresos para cada uno de los servicios de Acueducto, Alcantarillado y Aseo. </w:t>
      </w:r>
    </w:p>
    <w:p w14:paraId="6B75A3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1431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Contar con los contratos y/o convenios vigentes para la transferencia de los recursos de subsidios con cada uno de los prestadores de los servicios de acueducto, alcantarillado y, aseo en la zona urbana y rural del municipio o distrito, que figuren en el Registro Único de Prestadores de Servicios (RUPS). </w:t>
      </w:r>
    </w:p>
    <w:p w14:paraId="70CD5A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BFF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cuando el municipio sea prestador directo de alguno de los servicios públicos de acueducto, alcantarillado y aseo, deberá contar con: </w:t>
      </w:r>
    </w:p>
    <w:p w14:paraId="144FD8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3F86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El acto administrativo mediante el cual se fijan las condiciones para el manejo y transferencia de los recursos destinados a otorgar subsidios, a las cuentas separadas donde se lleva la contabilidad de los servicios públicos domiciliarios que preste el municipio de manera directa. </w:t>
      </w:r>
    </w:p>
    <w:p w14:paraId="5E2446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0A28A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ii. Las certificaciones expedidas por la Tesorería Municipal, donde consten los traslados contables de recursos destinados a otorgar subsidios, cuenta del Fondo de Solidaridad y Redistribución de Ingresos y de esta a las cuentas separadas donde se lleva la contabilidad de los servicios públicos domiciliarios que preste el municipio de manera directa y para cada uno de los mismos. </w:t>
      </w:r>
    </w:p>
    <w:p w14:paraId="66B659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9AA1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Reportar en el Presupuesto de Gastos de Inversión del Formulario Único Territorial (FUT), los pagos realizados por la entidad territorial por concepto de subsidios en la vigencia inmediatamente anterior a la que se pretende aplicar el presente capítulo. </w:t>
      </w:r>
    </w:p>
    <w:p w14:paraId="533773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4E6A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 Contar con </w:t>
      </w:r>
      <w:proofErr w:type="gramStart"/>
      <w:r w:rsidRPr="009342F9">
        <w:rPr>
          <w:rFonts w:ascii="Arial" w:eastAsia="Times New Roman" w:hAnsi="Arial" w:cs="Arial"/>
          <w:color w:val="000000"/>
          <w:lang w:eastAsia="es-CO"/>
        </w:rPr>
        <w:t>el paz</w:t>
      </w:r>
      <w:proofErr w:type="gramEnd"/>
      <w:r w:rsidRPr="009342F9">
        <w:rPr>
          <w:rFonts w:ascii="Arial" w:eastAsia="Times New Roman" w:hAnsi="Arial" w:cs="Arial"/>
          <w:color w:val="000000"/>
          <w:lang w:eastAsia="es-CO"/>
        </w:rPr>
        <w:t xml:space="preserve"> y salvo del pago de subsidios a cada uno de los prestadores de los servicios públicos de acueducto, alcantarillado y aseo en la zona urbana y rural del municipio o distrito, que figuren en el Registro Único de Prestadores de Servicios (RUPS) y que efectivamente hayan prestado el respectivo servicio. </w:t>
      </w:r>
    </w:p>
    <w:p w14:paraId="084ECB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E5AF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Contar con el acuerdo por medio del cual el Concejo Municipal realiza la apropiación y aprobación de la destinación de los recursos para el otorgamiento de los subsidios, en la vigencia en la cual se aplicará el presente capítulo, y que cubra los porcentajes de subsidios máximos establecidos en la Ley 1450 de 2011 o la que la modifique, complemente o sustituya. </w:t>
      </w:r>
    </w:p>
    <w:p w14:paraId="737E68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7DD8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Contar con el acuerdo municipal para la vigencia en la cual se aplicará el presente capítulo, por medio del cual se fijan los factores de aporte solidario de los estratos 5 y 6, y de los usuarios industriales y comerciales, los cuales deberán ajustarse a lo establecido en la Ley 1450 de 2011 o la que la modifique, complemente o sustituya total o parcialmente. </w:t>
      </w:r>
    </w:p>
    <w:p w14:paraId="1DDBAA1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1909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h) Contar con los Decretos de adopción de las estratificaciones urbana, de los centros poblados, fincas y viviendas dispersas y haber cargado al Sistema Único de Información (SUI) el estrato asignado y aplicado a cada inmueble residencial, conforme a los actos administrativos distritales o municipales de adopción de la estratificación. </w:t>
      </w:r>
    </w:p>
    <w:p w14:paraId="4E8D4DF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F58D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Haber aplicado la metodología a que hace referencia el capítulo II del título IV del presente Libro, o la norma que lo modifique, complemente o sustituya, y que la aplicación de la misma demuestre que los recursos requeridos para el otorgamiento de subsidios con cargo a los recursos del Sistema General de Participaciones para Agua Potable y Saneamiento Básico, en la vigencia para la cual se aplicará el presente capítulo, son inferiores al quince por ciento (15%) de la respectiva asignación. </w:t>
      </w:r>
    </w:p>
    <w:p w14:paraId="702FD5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2A03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Los municipios prestadores directos de alguno de los servicios de acueducto, alcantarillado y aseo, deberán tener reportado en el Sistema Único de Información (SUI), la aplicación de la metodología tarifaria prevista por la Comisión de Regulación de Agua Potable y Saneamiento Básico para el efecto. </w:t>
      </w:r>
    </w:p>
    <w:p w14:paraId="74871738" w14:textId="3DD6C9E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62" w:name="ver_30076111"/>
      <w:bookmarkEnd w:id="2062"/>
    </w:p>
    <w:p w14:paraId="7D92BE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2.3.5.1.3.24. Procedimiento. Cumplidos los requisitos del artículo anterior, el representante legal del municipio que desee destinar menos del 15% de la participación del SGP-APSB al otorgamiento de subsidios, de conformidad con el parágrafo 2° del artículo 11 de la Ley 1176 de 2007, deberá expedir una certificación en la cual indique el monto a apropiar de los recursos del Sistema General de Participaciones para Agua Potable y Saneamiento Básico destinado al otorgamiento de subsidios, manifestando que cumple con los requisitos exigidos en este capítulo. </w:t>
      </w:r>
    </w:p>
    <w:p w14:paraId="01A8B1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A137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Dicha certificación deberá ser cargada a través del Sistema Único de Información (SUI) de acuerdo con lo establecido por la Superintendencia de Servicios Públicos Domiciliarios. </w:t>
      </w:r>
    </w:p>
    <w:p w14:paraId="46E3EA86" w14:textId="301C646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63" w:name="ver_30076114"/>
      <w:bookmarkEnd w:id="2063"/>
    </w:p>
    <w:p w14:paraId="30A8DE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2.3.5.1.3.25. Monitoreo, seguimiento y control. Lo previsto en la presente sección estará sometido al monitoreo, seguimiento y control de conformidad con las normas vigentes. </w:t>
      </w:r>
    </w:p>
    <w:p w14:paraId="5C89BA6E" w14:textId="7299257F" w:rsidR="00FC79C1" w:rsidRPr="009342F9" w:rsidRDefault="00FC79C1" w:rsidP="00672CC5">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C1F5BD"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064" w:name="ver_30076115"/>
      <w:bookmarkEnd w:id="2064"/>
      <w:r w:rsidRPr="009342F9">
        <w:rPr>
          <w:rFonts w:ascii="Arial" w:eastAsia="Times New Roman" w:hAnsi="Arial" w:cs="Arial"/>
          <w:b/>
          <w:bCs/>
          <w:color w:val="000000"/>
          <w:lang w:eastAsia="es-CO"/>
        </w:rPr>
        <w:t>SECCIÓN 4</w:t>
      </w:r>
    </w:p>
    <w:p w14:paraId="6DFD1D16"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PASIVOS LABORALES</w:t>
      </w:r>
    </w:p>
    <w:p w14:paraId="2251D57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65" w:name="ver_30076117"/>
      <w:bookmarkEnd w:id="2065"/>
    </w:p>
    <w:p w14:paraId="387830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2.3.5.1.4.26. Ámbito de aplicación. La presente sección aplica al pago de pasivos laborales de las personas prestadoras de los servicios públicos mencionadas en los numerales 1 y 3 del artículo 15 de la Ley 142 de 1994, que vayan a ser cofinanciados con los recursos del Sistema General de Participaciones (SGP) para Agua Potable y Saneamiento Básico asignados a los departamentos y que se encuentren en el marco de un proceso de reestructuración para la prestación de los servicios públicos domiciliarios de acueducto, alcantarillado y aseo, como resultado del cual se vinculen operadores especializados dentro del PAP-PDA. </w:t>
      </w:r>
    </w:p>
    <w:p w14:paraId="75E562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0320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Solamente podrán cofinanciarse los pasivos laborales causados con anterioridad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Ley 1176 de 2007 y por una sola vez para cada prestador de servicios públicos domiciliaros de acueducto, alcantarillado o aseo existente en el municipio o distrito que tenga pasivos laborales y frente al cual exista obligación por parte de estos en el pago de dichos pasivos. </w:t>
      </w:r>
    </w:p>
    <w:p w14:paraId="4106076A" w14:textId="52093A1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66" w:name="ver_30076118"/>
      <w:bookmarkEnd w:id="2066"/>
    </w:p>
    <w:p w14:paraId="1F57467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2.3.5.1.4.27. Pago de pasivos laborales. Previa autorización expedida por el Ministerio de Vivienda, Ciudad y Territorio, por una sola vez, será posible cofinanciar con cargo a los recursos de la participación para Agua Potable y Saneamiento Básico del SGP de los departamentos, el pago de los pasivos laborales causados con anterioridad al 1° de enero de 2008, de las personas prestadoras de los servicios públicos de acueducto, alcantarillado y aseo de que tratan los numerales 1 y 3 del artículo 15 de la Ley 142 de 1994. </w:t>
      </w:r>
    </w:p>
    <w:p w14:paraId="723674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22501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pago de los pasivos laborales con recursos del Sistema General de Participaciones del </w:t>
      </w:r>
      <w:proofErr w:type="gramStart"/>
      <w:r w:rsidRPr="009342F9">
        <w:rPr>
          <w:rFonts w:ascii="Arial" w:eastAsia="Times New Roman" w:hAnsi="Arial" w:cs="Arial"/>
          <w:color w:val="000000"/>
          <w:lang w:eastAsia="es-CO"/>
        </w:rPr>
        <w:t>departamento,</w:t>
      </w:r>
      <w:proofErr w:type="gramEnd"/>
      <w:r w:rsidRPr="009342F9">
        <w:rPr>
          <w:rFonts w:ascii="Arial" w:eastAsia="Times New Roman" w:hAnsi="Arial" w:cs="Arial"/>
          <w:color w:val="000000"/>
          <w:lang w:eastAsia="es-CO"/>
        </w:rPr>
        <w:t xml:space="preserve"> no implicará en ningún caso la asunción o reconocimiento de las obligaciones laborales por el departamento. El municipio o la empresa, en su condición de empleadores, seguirán siendo los responsables del pago de estas obligaciones frente a los trabajadores y extrabajadores. </w:t>
      </w:r>
    </w:p>
    <w:p w14:paraId="1A87A56A" w14:textId="1CA77A7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67" w:name="ver_30076123"/>
      <w:bookmarkEnd w:id="2067"/>
    </w:p>
    <w:p w14:paraId="60E19E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2.3.5.1.4.28. Criterio para determinar la contrapartida de los municipios o distritos. El monto de la contrapartida mínima se determinará de acuerdo con la capacidad fiscal de cada municipio o distrito, de forma tal que aquellos con una mayor capacidad para generar recursos propios realicen un mayor esfuerzo en la atención de sus obligaciones laborales, de acuerdo con la siguiente tabla: </w:t>
      </w:r>
    </w:p>
    <w:p w14:paraId="4A851A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64A29E" w14:textId="63C34BA7"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6CA5276A" wp14:editId="259FCC04">
            <wp:extent cx="5529578" cy="2061845"/>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pic:cNvPicPr/>
                  </pic:nvPicPr>
                  <pic:blipFill>
                    <a:blip r:embed="rId43">
                      <a:extLst>
                        <a:ext uri="{28A0092B-C50C-407E-A947-70E740481C1C}">
                          <a14:useLocalDpi xmlns:a14="http://schemas.microsoft.com/office/drawing/2010/main" val="0"/>
                        </a:ext>
                      </a:extLst>
                    </a:blip>
                    <a:stretch>
                      <a:fillRect/>
                    </a:stretch>
                  </pic:blipFill>
                  <pic:spPr>
                    <a:xfrm>
                      <a:off x="0" y="0"/>
                      <a:ext cx="5529578" cy="206184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02BF7DC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68" w:name="ver_30076126"/>
      <w:bookmarkEnd w:id="2068"/>
    </w:p>
    <w:p w14:paraId="074961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2.3.5.1.4.29. Condiciones para el pago del pasivo laboral con recursos del Sistema General de Participaciones de los departamentos. Para efectos de lo previsto en el parágrafo 1° del artículo 10 de la Ley 1176 de 2007, se requerirá que el departamento verifique el cumplimiento de las siguientes condiciones: </w:t>
      </w:r>
    </w:p>
    <w:p w14:paraId="2530871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BC3E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Que existe la certificación del Secretario de Hacienda Departamental o quien haga sus veces, del monto de recursos del Sistema General de Participaciones del departamento disponible para el pago de pasivos laborales de conformidad con el Plan General Estratégico de Inversiones y el Plan Anual Estratégico y de Inversiones aprobado por el Comité Directivo del respectivo PAP-PDA o la estructura operativa que haga sus veces. </w:t>
      </w:r>
    </w:p>
    <w:p w14:paraId="3DA4E0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41E4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Que el municipio o distrito que pretende ser beneficiario de la cofinanciación esté vinculado al PAP-PDA. </w:t>
      </w:r>
    </w:p>
    <w:p w14:paraId="6FFA13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CDD6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Que el municipio o distrito se haya comprometido expresamente a adoptar los esquemas de transformación y/o fortalecimiento institucional aprobados por el Comité Directivo del PDA o la estructura operativa que haga sus veces y que este incluya las actividades para implementar el esquema de reestructuración, de acuerdo con el Plan General Estratégico de Inversiones y el Plan Anual Estratégico de Inversiones a que se refiere el capítulo I del título III del presente Libro, o la norma que lo modifique, complemente o sustituya, debidamente aprobado por el Comité Directivo del PAP-PDA o la estructura operativa que haga sus veces. </w:t>
      </w:r>
    </w:p>
    <w:p w14:paraId="5EAFAB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450D6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como consecuencia del proceso de reestructuración en la prestación de los servicios, en el municipio o distrito se vincule un operador especializado. </w:t>
      </w:r>
    </w:p>
    <w:p w14:paraId="7C3F25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D9392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Que el monto del pasivo laboral causado con anterioridad al 1° de enero de 2008, esté certificado por el representante legal y el contador o el revisor fiscal de la persona prestadora de los servicios públicos de acueducto, alcantarillado y aseo, o por el funcionario competente en el evento en que los municipios o distritos sean prestadores directos. </w:t>
      </w:r>
    </w:p>
    <w:p w14:paraId="4162E3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CA56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6. Que se haya definido </w:t>
      </w:r>
      <w:proofErr w:type="gramStart"/>
      <w:r w:rsidRPr="009342F9">
        <w:rPr>
          <w:rFonts w:ascii="Arial" w:eastAsia="Times New Roman" w:hAnsi="Arial" w:cs="Arial"/>
          <w:color w:val="000000"/>
          <w:lang w:eastAsia="es-CO"/>
        </w:rPr>
        <w:t>conjuntamente con</w:t>
      </w:r>
      <w:proofErr w:type="gramEnd"/>
      <w:r w:rsidRPr="009342F9">
        <w:rPr>
          <w:rFonts w:ascii="Arial" w:eastAsia="Times New Roman" w:hAnsi="Arial" w:cs="Arial"/>
          <w:color w:val="000000"/>
          <w:lang w:eastAsia="es-CO"/>
        </w:rPr>
        <w:t xml:space="preserve"> el municipio o distrito beneficiario el esquema financiero para el manejo de los recursos destinados al pago de los pasivos laborales y que exista el compromiso de ejecutar dichos recursos de conformidad con el esquema acordado. </w:t>
      </w:r>
    </w:p>
    <w:p w14:paraId="32732D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B409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Que el respectivo Comité Directivo del PAP-PDA o la estructura operativa que haga sus veces, haya aprobado mediante acta el esquema de priorización de municipios o distritos que recibirán cofinanciación del departamento para el pago de sus pasivos laborales, el cual deberá tener como fundamento criterios e indicadores objetivos que reflejen el cumplimiento de los compromisos de la entidad territorial beneficiara con el PAP-PDA en sus diferentes componentes. </w:t>
      </w:r>
    </w:p>
    <w:p w14:paraId="20DE2C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4BD3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departamento deberá indicar al gestor del PAP-PDA la asignación de recursos destinados para el pago de pasivos laborales, para que sea incluido en la distribución de recursos que se efectúe en el marco del PAP-PDA. </w:t>
      </w:r>
    </w:p>
    <w:p w14:paraId="260DD43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93D0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2°. El departamento podrá comprometer los recursos con anterioridad a la vinculación del operador especializado, siempre y cuando la entrega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xml:space="preserve"> esté supeditada a la suscripción del contrato de prestación de los servicios públicos domiciliarios de acueducto, alcantarillado y/o aseo con el operador especializado. </w:t>
      </w:r>
    </w:p>
    <w:p w14:paraId="70C2C06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5B30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3°. Para efectos de lo previsto en el presente artículo, cada departamento realizará un inventario anual de pasivos laborales causados con anterioridad a la </w:t>
      </w:r>
      <w:proofErr w:type="gramStart"/>
      <w:r w:rsidRPr="009342F9">
        <w:rPr>
          <w:rFonts w:ascii="Arial" w:eastAsia="Times New Roman" w:hAnsi="Arial" w:cs="Arial"/>
          <w:color w:val="000000"/>
          <w:lang w:eastAsia="es-CO"/>
        </w:rPr>
        <w:t>entrada en vigencia</w:t>
      </w:r>
      <w:proofErr w:type="gramEnd"/>
      <w:r w:rsidRPr="009342F9">
        <w:rPr>
          <w:rFonts w:ascii="Arial" w:eastAsia="Times New Roman" w:hAnsi="Arial" w:cs="Arial"/>
          <w:color w:val="000000"/>
          <w:lang w:eastAsia="es-CO"/>
        </w:rPr>
        <w:t xml:space="preserve"> de la Ley 1176 de 2007, en el cual se incluyan los municipios o distritos que manifiesten su interés en ser beneficiarios de la cofinanciación del departamento y el monto de los pasivos laborales según la certificación de que trata el numeral 5 del presente artículo. </w:t>
      </w:r>
    </w:p>
    <w:p w14:paraId="1762F0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BA2F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Dicho inventario deberá actualizarse anualmente teniendo en cuenta los municipios o distritos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habiendo manifestado su interés de acceder a la cofinanciación, cumplan con los requisitos establecidos en el presente capítulo. </w:t>
      </w:r>
    </w:p>
    <w:p w14:paraId="6EEA5140" w14:textId="36BC205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69" w:name="ver_30076129"/>
      <w:bookmarkEnd w:id="2069"/>
    </w:p>
    <w:p w14:paraId="2E3BEB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2.3.5.1.4.30. Procedimiento para solicitar autorización al Ministerio de Vivienda, Ciudad y Territorio. El departamento mediante comunicación escrita suscrita por el gobernador </w:t>
      </w:r>
      <w:proofErr w:type="gramStart"/>
      <w:r w:rsidRPr="009342F9">
        <w:rPr>
          <w:rFonts w:ascii="Arial" w:eastAsia="Times New Roman" w:hAnsi="Arial" w:cs="Arial"/>
          <w:color w:val="000000"/>
          <w:lang w:eastAsia="es-CO"/>
        </w:rPr>
        <w:t>respectivo,</w:t>
      </w:r>
      <w:proofErr w:type="gramEnd"/>
      <w:r w:rsidRPr="009342F9">
        <w:rPr>
          <w:rFonts w:ascii="Arial" w:eastAsia="Times New Roman" w:hAnsi="Arial" w:cs="Arial"/>
          <w:color w:val="000000"/>
          <w:lang w:eastAsia="es-CO"/>
        </w:rPr>
        <w:t xml:space="preserve"> presentará ante el Ministerio de Vivienda, Ciudad y Territorio la solicitud de autorización para cofinanciar los pasivos laborales de los municipios o distritos beneficiarios de acuerdo con lo previsto en el artículo anterior. </w:t>
      </w:r>
    </w:p>
    <w:p w14:paraId="4BBDD3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6194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 la solicitud se deberán presentar los siguientes documentos: </w:t>
      </w:r>
    </w:p>
    <w:p w14:paraId="568D17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D041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Certificación del Secretario de Hacienda Departamental o quien haga sus veces, del monto de los recursos del Sistema General de Participaciones del departamento que se destinará al pago del pasivo laboral. </w:t>
      </w:r>
    </w:p>
    <w:p w14:paraId="39724B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BBC6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del acto mediante el cual el departamento y el municipio o distrito beneficiario definen el esquema financiero para el manejo de los recursos. </w:t>
      </w:r>
    </w:p>
    <w:p w14:paraId="6EC100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47EC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Certificación suscrita por el representante legal y el contador o el revisor fiscal de la persona prestadora de los servicios públicos de acueducto, alcantarillado y aseo, o por el funcionario competente en el evento en que los municipios o distritos sean prestadores directos, del monto del pasivo laboral causado con anterioridad al 1° de enero de 2008. </w:t>
      </w:r>
    </w:p>
    <w:p w14:paraId="4B3FF7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02BFE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4. Copia del contrato, convenio o acto mediante el cual el municipio beneficiario del pago de pasivos </w:t>
      </w:r>
      <w:proofErr w:type="gramStart"/>
      <w:r w:rsidRPr="009342F9">
        <w:rPr>
          <w:rFonts w:ascii="Arial" w:eastAsia="Times New Roman" w:hAnsi="Arial" w:cs="Arial"/>
          <w:color w:val="000000"/>
          <w:lang w:eastAsia="es-CO"/>
        </w:rPr>
        <w:t>laborales,</w:t>
      </w:r>
      <w:proofErr w:type="gramEnd"/>
      <w:r w:rsidRPr="009342F9">
        <w:rPr>
          <w:rFonts w:ascii="Arial" w:eastAsia="Times New Roman" w:hAnsi="Arial" w:cs="Arial"/>
          <w:color w:val="000000"/>
          <w:lang w:eastAsia="es-CO"/>
        </w:rPr>
        <w:t xml:space="preserve"> vinculó al operador especializado para la prestación de los servicios públicos domiciliarios de acueducto, alcantarillado y/o aseo. </w:t>
      </w:r>
    </w:p>
    <w:p w14:paraId="34899F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BC62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Acta del Comité Directivo del respectivo PDA o la estructura operativa que haga sus veces, en la cual se certifique que se cumplen los requisitos establecidos en el artículo 2.4.5.1.29 del presente capítulo para la cofinanciación del pago de pasivos laborales. </w:t>
      </w:r>
    </w:p>
    <w:p w14:paraId="3C1DE7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4EE9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a partir de la solicitud presentada por el departamento, procederá a revisar acorde con el contenido del Plan General Estratégico de Inversiones y del Plan Anual Estratégico de Inversiones a que se refiere el capítulo I del Título II del presente Libro, la norma que lo modifique o sustituya, debidamente aprobados por el Comité Directivo del PDA o la estructura operativa que haga sus veces, el cumplimiento de las condiciones establecidas en el artículo 2.4.5.1.29 del presente capítulo. Una vez verificado el cumplimiento de lo anterior, expedirá la mencionada autorización. </w:t>
      </w:r>
    </w:p>
    <w:p w14:paraId="547460C3" w14:textId="7858E2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0" w:name="ver_30076130"/>
      <w:bookmarkEnd w:id="2070"/>
    </w:p>
    <w:p w14:paraId="0FB0FAC6"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2.3.5.1.4.31. Reportes de información. El Ministerio de Vivienda, Ciudad y Territorio no responderá por concepto de la información reportada por las entidades territoriales, con base en la cual hayan otorgado las autorizaciones correspondientes. El Ministerio de Vivienda, Ciudad y Territorio, podrá solicitar al departamento, municipio o distrito los soportes para verificar la información reportada, cuando lo considere pertinente. </w:t>
      </w:r>
    </w:p>
    <w:p w14:paraId="139140EB"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7439AF"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En consecuencia, la responsabilidad sobre la totalidad de la información reportada recae en el respectivo representante legal de la entidad territorial, a quien le corresponde resolver los requerimientos y reclamos que se presenten sobre la materia. </w:t>
      </w:r>
    </w:p>
    <w:p w14:paraId="76771331" w14:textId="2AE00556" w:rsidR="0015442F" w:rsidRPr="009342F9" w:rsidRDefault="00FC79C1" w:rsidP="00672CC5">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1" w:name="ver_30076132"/>
      <w:bookmarkEnd w:id="2071"/>
    </w:p>
    <w:p w14:paraId="01CCA211" w14:textId="7303DE61"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22720BCB"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GIRO DE LOS RECURSOS DEL SISTEMA GENERAL DE PARTICIPACIONES PARA AGUA POTABLE Y SANEAMIENTO BÁSICO</w:t>
      </w:r>
    </w:p>
    <w:p w14:paraId="0C3B254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72" w:name="ver_30076134"/>
      <w:bookmarkEnd w:id="2072"/>
    </w:p>
    <w:p w14:paraId="54118D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2.3.5.1.5.32. Giro de los recursos del Sistema General de Participaciones (SGP) para Agua Potable y Saneamiento Básico. Corresponde al Ministerio de Vivienda, Ciudad y Territorio, girar los recursos de la participación para Agua Potable y Saneamiento Básico del Sistema General de Participaciones a los departamentos, distritos y municipios. </w:t>
      </w:r>
    </w:p>
    <w:p w14:paraId="04F42D2C" w14:textId="63694F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3" w:name="ver_30076135"/>
      <w:bookmarkEnd w:id="2073"/>
    </w:p>
    <w:p w14:paraId="2675A3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2.3.5.1.5.33. Destinatarios del giro directo. Cuando los departamentos, municipios y distritos lo soliciten, y previa presentación de los documentos correspondientes, el Ministerio de Vivienda, Ciudad y Territorio girará directamente los montos autorizados de los recursos que le corresponden del Sistema General de Participaciones para Agua Potable y Saneamiento Básico, a los prestadores de los servicios de acueducto, alcantarillado y/o aseo, a los patrimonios autónomos o a los esquemas fiduciarios que se constituyan para el manejo de los recursos del Sistema General de Participaciones para Agua Potable y Saneamiento Básico, destinados a proyectos de inversión o a subsidios, en el marco de lo establecido en la Ley 1176 de 2007, previo cumplimiento del procedimiento previsto en este decreto. </w:t>
      </w:r>
    </w:p>
    <w:p w14:paraId="0A0516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412D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giro de los recursos de que trata el presente artículo a los prestadores de los servicios de acueducto, alcantarillado y aseo, se llevará a cabo cuando el municipio o distrito haya vinculado uno o varios prestadores para prestar uno o varios de estos servicios y/o en los casos en que exista un convenio firmado entre el municipio o distrito y el prestador del servicio para la asignación de subsidios. </w:t>
      </w:r>
    </w:p>
    <w:p w14:paraId="5F729E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3D97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giro de los recursos de que trata el presente artículo a los patrimonios autónomos o a los esquemas fiduciarios que se constituyan para la financiación de los PAP-PDA, destinados a proyectos de inversión y que obedezcan al compromiso de monto y periodo establecido, se llevará a cabo cuando el departamento, municipio o distrito, individual o conjuntamente, se haya vinculado al patrimonio autónomo o esquema fiduciario y se den las autorizaciones e instrucciones de giro a estos mecanismos, en los términos establecidos en el artículo 2.3.5.1.5.34 del presente capítulo. </w:t>
      </w:r>
    </w:p>
    <w:p w14:paraId="742BB152" w14:textId="2EC6F02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4" w:name="ver_30076137"/>
      <w:bookmarkEnd w:id="2074"/>
    </w:p>
    <w:p w14:paraId="4B3E8C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2.3.5.1.5.34. Condiciones para el giro directo. El giro de los recursos del Sistema General de Participaciones para Agua Potable y Saneamiento Básico por parte del Ministerio de Vivienda, Ciudad y Territorio, a los prestadores de los servicios de acueducto, alcantarillado y aseo y/o a los patrimonios autónomos o a los esquemas fiduciarios que se constituyan para el manejo de los recursos del SGP-APSB destinados a proyectos de inversión o aquellos destinados a subsidios en el marco de lo establecido en la Ley 1176 de 2007 y 1450 de 2011, está sujeto al cumplimiento de las siguientes condiciones: </w:t>
      </w:r>
    </w:p>
    <w:p w14:paraId="39AC71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8F3F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Para el giro directo de recursos a los prestadores por concepto de subsidios: </w:t>
      </w:r>
    </w:p>
    <w:p w14:paraId="3D726C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C7AC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 Autorización de giro directo de los recursos suscrita por el representante legal de la entidad territorial, estableciéndose claramente el destinatario de </w:t>
      </w:r>
      <w:proofErr w:type="gramStart"/>
      <w:r w:rsidRPr="009342F9">
        <w:rPr>
          <w:rFonts w:ascii="Arial" w:eastAsia="Times New Roman" w:hAnsi="Arial" w:cs="Arial"/>
          <w:color w:val="000000"/>
          <w:lang w:eastAsia="es-CO"/>
        </w:rPr>
        <w:t>los mismos</w:t>
      </w:r>
      <w:proofErr w:type="gramEnd"/>
      <w:r w:rsidRPr="009342F9">
        <w:rPr>
          <w:rFonts w:ascii="Arial" w:eastAsia="Times New Roman" w:hAnsi="Arial" w:cs="Arial"/>
          <w:color w:val="000000"/>
          <w:lang w:eastAsia="es-CO"/>
        </w:rPr>
        <w:t>, su denominación o razón social, NIT, número de cuenta bancaria y nombre de la entidad financiera receptora del giro, así como el monto mensual de giros en documento original, en el formato que para el efecto establezca el Ministerio de Vivienda, Ciudad y Territorio. </w:t>
      </w:r>
    </w:p>
    <w:p w14:paraId="2C2192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F454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 la cédula de ciudadanía y del acta de posesión del alcalde. </w:t>
      </w:r>
    </w:p>
    <w:p w14:paraId="1E6BD4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D1A2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Copia del contrato o convenio que asegura la transferencia de recursos por concepto de subsidios a los prestadores de servicios públicos del municipio, donde se identifique el valor a girar en la vigencia. </w:t>
      </w:r>
    </w:p>
    <w:p w14:paraId="6A5723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06D6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Certificación bancaria en la que conste el cuentahabiente, su identificación, el número y tipo de cuenta, y si a la fecha está activa. </w:t>
      </w:r>
    </w:p>
    <w:p w14:paraId="1D65C5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466AE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Certificado de compromisos vigentes, en el formato que para el efecto establezca el Ministerio de Vivienda, Ciudad y Territorio. </w:t>
      </w:r>
    </w:p>
    <w:p w14:paraId="524F8D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F1AE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Inscripción del prestador ante el Registro Único de Prestadores Públicos establecido por la Superintendencia de Servicios Públicos Domiciliarios, el cual será verificado por el Ministerio de Vivienda, Ciudad y Territorio a través del Sistema Único de Información. </w:t>
      </w:r>
    </w:p>
    <w:p w14:paraId="62CB88E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50A4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Para el giro directo de recursos por concepto de inversión a patrimonios autónomos o esquemas fiduciarios en el marco del PAP-PDA: </w:t>
      </w:r>
    </w:p>
    <w:p w14:paraId="71B5F4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6599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Autorización de giro directo de los recursos suscrita por el representante legal de la entidad territorial, estableciéndose claramente el destinatario de los mismos, su denominación o razón social, NIT, número de cuenta bancaria y nombre de la entidad financiera receptora del giro; el monto mensual de giro para cada destinatario con base en los compromisos asumidos por la entidad territorial, con los patrimonios autónomos o los esquemas fiduciarios que se constituyan para el manejo de los recursos del Sistema General de Participaciones para Agua Potable y Saneamiento Básico destinados a proyectos de inversión, incluyendo los compromisos de vigencias futuras u operaciones de crédito público asumidos con cargo a estos recursos cuando aplique de conformidad con la normatividad vigente, y el tiempo durante el cual se aplicará esta autorización, en el formato que para el efecto establezca el Ministerio de Vivienda, Ciudad y Territorio. </w:t>
      </w:r>
    </w:p>
    <w:p w14:paraId="10C34DF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93CC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del contrato o convenio suscrito con los patrimonios autónomos o esquemas fiduciarios que se constituyan para el manejo de los recursos del SGP-APSB destinados a proyectos de inversión. </w:t>
      </w:r>
    </w:p>
    <w:p w14:paraId="540749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89E1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Copia del convenio suscrito por el municipio y/o distrito con el Gestor y el Departamento, mediante el cual se hace partícipe del PAP-PDA, o copia del acta en la que el Comité Directivo aprueba la vinculación del municipio al PAP-PDA, en los términos del artículo 2.3.3.1.3.8. del capítulo 1 del título 3 del presente Libro, antes Decreto 2246 de 2012 o el que lo modifique, adicione o sustituya. </w:t>
      </w:r>
    </w:p>
    <w:p w14:paraId="6295D4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0E46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Copia de la cédula de ciudadanía y del acta de posesión del alcalde. </w:t>
      </w:r>
    </w:p>
    <w:p w14:paraId="23BC03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E596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Certificado de compromisos vigentes, en el formato que para el efecto establezca el Ministerio de Vivienda, Ciudad y Territorio. </w:t>
      </w:r>
    </w:p>
    <w:p w14:paraId="48CBB5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FD97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Para el giro directo de recursos a esquemas fiduciarios o patrimonios autónomos diferentes a los constituidos en el marco del PAP-PDA: </w:t>
      </w:r>
    </w:p>
    <w:p w14:paraId="20BA6F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50E2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Autorización de giro directo de los recursos suscrita por el representante legal de la entidad territorial, estableciéndose claramente el destinatario de los mismos, su denominación o razón social, NIT, número de cuenta bancaria y nombre de la entidad financiera receptora del giro; el monto mensual de giro para cada destinatario con base en los compromisos asumidos por la entidad territorial, con los patrimonios autónomos o los esquemas fiduciarios que se constituyan para el manejo de los recursos del Sistema General de Participaciones para Agua Potable y Saneamiento Básico destinados a proyectos de inversión, incluyendo los compromisos de vigencias futuras u operaciones de crédito público asumidos con cargo a estos recursos, y el tiempo durante el cual se aplicará esta autorización, en el formato que para el efecto establezca el Ministerio de Vivienda, Ciudad y Territorio. </w:t>
      </w:r>
    </w:p>
    <w:p w14:paraId="591B27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D39B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Copia del contrato o convenio suscrito con los patrimonios autónomos o esquemas fiduciarios que se constituyan para el manejo de los recursos del SGP-APSB destinados a proyectos de inversión. </w:t>
      </w:r>
    </w:p>
    <w:p w14:paraId="2E08F7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1AEC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Copia de la cédula de ciudadanía y del acta de posesión del alcalde o gobernador. </w:t>
      </w:r>
    </w:p>
    <w:p w14:paraId="08E35E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BF74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Plan de obras e inversiones donde especifique los proyectos de inversión a ejecutarse, suscrito por el representante legal de la entidad territorial, en los términos de los artículos 10 y 11 de la Ley 1176 de 2007. Para el efecto se deberá diligenciar ficha resumen de los proyectos en el formato que establezca el Ministerio de Vivienda, Ciudad y Territorio. </w:t>
      </w:r>
    </w:p>
    <w:p w14:paraId="6CE4A6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E07DB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Certificación suscrita por el secretario o jefe de planeación de la entidad territorial, donde se establezca que los proyectos específicos hacen parte de Plan de Desarrollo de la entidad territorial y están incorporados en el banco de proyectos respectivo. </w:t>
      </w:r>
    </w:p>
    <w:p w14:paraId="31447F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C9C7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Certificación de paz y salvo o acuerdo de pago del municipio por concepto de subsidios expedida por los prestadores de servicios públicos de acueducto, alcantarillado y aseo del área urbana del municipio. </w:t>
      </w:r>
    </w:p>
    <w:p w14:paraId="770957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622A4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7. Certificado de compromisos vigentes, en el formato que para el efecto establezca el Ministerio de Vivienda, Ciudad y Territorio. </w:t>
      </w:r>
    </w:p>
    <w:p w14:paraId="1CFC79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DF4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Recibida la solicitud de acuerdo con lo establecido en este artículo, el Ministerio de Vivienda, Ciudad y Territorio revisará que la misma contenga la totalidad de la información requerida, pudiendo verificar cuando lo estime necesario, su veracidad. Una vez corroborado lo anterior y recibidos los ajustes que sean necesarios, el Ministerio de Vivienda, Ciudad y Territorio realizará los giros respectivos de acuerdo con las instrucciones recibidas y su Programa Anual de Caja (PAC). </w:t>
      </w:r>
    </w:p>
    <w:p w14:paraId="242C73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544B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los casos en que aplique la actualización del monto de giros para subsidios correspondiente a cada vigencia deberá enviarse por el departamento, distrito o municipio al Ministerio de Vivienda, Ciudad y Territorio, a más tardar el 15 de diciembre de cada año. En caso de que el Ministerio de Vivienda, Ciudad y Territorio no reciba el monto actualizado de giros para subsidios del respectivo año se aplicará el que figure en la instrucción de giro directo suscrita por la entidad territorial o en su defecto el correspondiente a la vigencia anterior. </w:t>
      </w:r>
    </w:p>
    <w:p w14:paraId="34F37E9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4BB58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De ser necesario revocar o modificar las autorizaciones e instrucciones para el giro directo a los patrimonios autónomos o a los esquemas fiduciarios que se constituyan para el manejo de los recursos del SGP-APSB destinados a proyectos de inversión, de que trata el presente capítulo, las mismas deberán solicitarse por escrito junto con la aprobación y consentimiento del representante legal del patrimonio autónomo o del esquema fiduciario respectivo, ante el Ministerio de Vivienda, Ciudad y Territorio, previo el cumplimiento de todas las obligaciones que se encuentren respaldadas con los recursos objeto del giro o la constitución de otras garantías que tengan iguales o mejores condiciones para respaldar el cumplimiento de las obligaciones adquiridas. </w:t>
      </w:r>
    </w:p>
    <w:p w14:paraId="145CA67D" w14:textId="2C6E2FC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5" w:name="ver_30076139"/>
      <w:bookmarkEnd w:id="2075"/>
    </w:p>
    <w:p w14:paraId="416BC3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2.3.5.1.5.35. Reportes de información. Las entidades territoriales serán responsables de la consistencia y veracidad de la información que sirva de soporte al giro directo de los recursos del SGP-APSB. El Ministerio de Vivienda, Ciudad y Territorio podrá solicitar al departamento, municipio o distrito los soportes para verificar la información contenida en la autorización de giro, cuando lo considere pertinente. </w:t>
      </w:r>
    </w:p>
    <w:p w14:paraId="5E39F6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B742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consecuencia, la responsabilidad sobre la totalidad de la información reportada en relación con los giros autorizados por los departamentos, distritos o municipios recae en el respectivo representante legal de la entidad territorial, a quien le corresponde resolver los requerimientos y reclamos que se presenten sobre la materia. </w:t>
      </w:r>
    </w:p>
    <w:p w14:paraId="0C1208A3" w14:textId="4CE9CBED" w:rsidR="0015442F" w:rsidRPr="009342F9" w:rsidRDefault="00FC79C1" w:rsidP="00672CC5">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2076" w:name="ver_30076140"/>
      <w:bookmarkEnd w:id="2076"/>
    </w:p>
    <w:p w14:paraId="13ED531D" w14:textId="77777777" w:rsidR="00EE4153" w:rsidRDefault="00EE4153" w:rsidP="0015442F">
      <w:pPr>
        <w:spacing w:after="0" w:line="240" w:lineRule="auto"/>
        <w:jc w:val="center"/>
        <w:rPr>
          <w:rFonts w:ascii="Arial" w:eastAsia="Times New Roman" w:hAnsi="Arial" w:cs="Arial"/>
          <w:b/>
          <w:bCs/>
          <w:color w:val="000000"/>
          <w:lang w:eastAsia="es-CO"/>
        </w:rPr>
      </w:pPr>
    </w:p>
    <w:p w14:paraId="4130A56D" w14:textId="77777777" w:rsidR="00EE4153" w:rsidRDefault="00EE4153" w:rsidP="0015442F">
      <w:pPr>
        <w:spacing w:after="0" w:line="240" w:lineRule="auto"/>
        <w:jc w:val="center"/>
        <w:rPr>
          <w:rFonts w:ascii="Arial" w:eastAsia="Times New Roman" w:hAnsi="Arial" w:cs="Arial"/>
          <w:b/>
          <w:bCs/>
          <w:color w:val="000000"/>
          <w:lang w:eastAsia="es-CO"/>
        </w:rPr>
      </w:pPr>
    </w:p>
    <w:p w14:paraId="3DAAA9B4" w14:textId="129A36AF"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6</w:t>
      </w:r>
    </w:p>
    <w:p w14:paraId="573D220D"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MONITOREO, SEGUIMIENTO Y CONTROL DE LOS RECURSOS DEL SISTEMA GENERAL DE PARTICIPACIONES</w:t>
      </w:r>
    </w:p>
    <w:p w14:paraId="7C1EEC97" w14:textId="77777777" w:rsidR="00EE4153" w:rsidRDefault="00EE4153" w:rsidP="0015442F">
      <w:pPr>
        <w:spacing w:after="0" w:line="240" w:lineRule="auto"/>
        <w:jc w:val="center"/>
        <w:rPr>
          <w:rFonts w:ascii="Arial" w:eastAsia="Times New Roman" w:hAnsi="Arial" w:cs="Arial"/>
          <w:b/>
          <w:bCs/>
          <w:color w:val="000000"/>
          <w:lang w:eastAsia="es-CO"/>
        </w:rPr>
      </w:pPr>
    </w:p>
    <w:p w14:paraId="5F502762" w14:textId="024715E0"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2103D290"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ACTIVIDADES Y RESPONSABLES</w:t>
      </w:r>
    </w:p>
    <w:p w14:paraId="2AB1B0B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77" w:name="ver_30076144"/>
      <w:bookmarkEnd w:id="2077"/>
    </w:p>
    <w:p w14:paraId="7DD5EE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2.3.5.1.6.1.36. Actividades y responsables de monitoreo de los recursos del Sistema General de Participaciones en el sector de Agua Potable y Saneamiento Básico. Las actividades de monitoreo de que trata la normatividad única para el sector de Planeación Nacional, comprenden la recopilación sistemática de información, su consolidación, análisis y verificación para el cálculo de indicadores específicos y estratégicos del sector de Agua Potable y Saneamiento Básico, que permitan identificar acciones u omisiones por parte de las entidades territoriales que puedan poner en riesgo la adecuada utilización de los recursos de la participación para Agua Potable y Saneamiento Básico (APSB) del Sistema General de Participaciones (SGP) y el cumplimiento de las metas de calidad, cobertura y continuidad en la prestación de los servicios financiados con cargo a estos recursos. </w:t>
      </w:r>
    </w:p>
    <w:p w14:paraId="1330FB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2648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De conformidad con lo previsto en la normatividad única para el sector de Planeación Nacional y el artículo 20 de la Ley 1450 de 2011, la actividad de monitoreo estará a cargo del Ministerio de Vivienda, Ciudad y Territorio (MVCT) el cual articulará su ejercicio con la Superintendencia de Servicios Públicos Domiciliarios, en coordinación con las funciones de seguimiento y control del Ministerio de Hacienda y Crédito Público (MHCP), de la siguiente manera: </w:t>
      </w:r>
    </w:p>
    <w:p w14:paraId="2CB5CD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5A309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Estará a cargo del Ministerio de Vivienda, Ciudad y Territorio: </w:t>
      </w:r>
    </w:p>
    <w:p w14:paraId="6AA3052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0A20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 Expedir los lineamientos y directrices de la política sectorial, la cual incluye los indicadores específicos y estratégicos y la definición de las metas de continuidad, cobertura y calidad para la prestación de los servicios de acueducto, alcantarillado y aseo, que deberán incluir las entidades territoriales en sus respectivos planes sectoriales. </w:t>
      </w:r>
    </w:p>
    <w:p w14:paraId="1E9F24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52D4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 Aplicar los indicadores específicos y estratégicos para el monitoreo de los recursos del Sistema General de Participaciones para Agua Potable y Saneamiento Básico. </w:t>
      </w:r>
    </w:p>
    <w:p w14:paraId="36C0C6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7B7F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1.1.3. Consolidar y evaluar de manera integral los resultados de la actividad de monitoreo y remitirlos al Ministerio de Hacienda y Crédito Público, para que se adelanten, si a ello hay lugar, las actividades de seguimiento y control integral. </w:t>
      </w:r>
    </w:p>
    <w:p w14:paraId="48CAA4A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1AB9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monitoreo del cumplimiento de las metas de continuidad, cobertura y calidad en la prestación de los servicios de acueducto, alcantarillado y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se efectuará con base en las metas definidas en los planes sectoriales que deberán elaborar las entidades territoriales. </w:t>
      </w:r>
    </w:p>
    <w:p w14:paraId="193974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36168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1.1.4. Elaborar los reportes de la información suministrada por las entidades territoriales que administren o ejecuten recursos del Sistema General de Participaciones para Agua Potable y Saneamiento Básico; así como reportar la información adicional que en virtud de sus labores de monitoreo considere relevante para tal efecto. </w:t>
      </w:r>
    </w:p>
    <w:p w14:paraId="520A36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CE5D5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1.1.5. Priorizar de acuerdo con la metodología que establezca el Ministerio de Vivienda, Ciudad y Territorio, las entidades territoriales que serán objeto de las actividades de seguimiento. Sin perjuicio de la mencionada priorización, el Ministerio de Hacienda y Crédito Público podrá realizar las actividades de seguimiento de oficio o a petición de parte. </w:t>
      </w:r>
    </w:p>
    <w:p w14:paraId="484061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E706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Estará a cargo de la Superintendencia de Servicios Públicos Domiciliarios: </w:t>
      </w:r>
    </w:p>
    <w:p w14:paraId="01F0CC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E0D0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1.2.1. Recopilar y consolidar la información que deben reportar las entidades territoriales y las empresas de servicios públicos que ejecuten recursos de la participación para Agua Potable y Saneamiento Básico del Sistema General de Participaciones a través del Sistema Único de Información (SUI). </w:t>
      </w:r>
    </w:p>
    <w:p w14:paraId="0498FA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D5AB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1.2.2. Verificar que la información haya sido remitida en los plazos, condiciones y formatos establecidos por la Superintendencia de Servicios Públicos Domiciliarios para el efecto, y reportar al Ministerio de Vivienda, Ciudad y Territorio cualquier incumplimiento de las entidades territoriales relacionado con la remisión de la información. </w:t>
      </w:r>
    </w:p>
    <w:p w14:paraId="4F2C68A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B6D9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1.2.3. Previa concertación con el Ministerio de Vivienda, Ciudad y Territorio, elaborar los reportes de la información suministrada al SUI por las entidades territoriales y las empresas de servicios públicos que ejecuten recursos del Sistema General de Participaciones; así como de la información adicional que, en virtud de sus labores de vigilancia y control sea relevante para las labores de monitoreo, seguimiento y control. </w:t>
      </w:r>
    </w:p>
    <w:p w14:paraId="02B97A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A1B7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1.2.4. Participar en la aplicación de la medida de plan de desempeño en los términos establecidos en el presente capítulo. </w:t>
      </w:r>
    </w:p>
    <w:p w14:paraId="770485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7A47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Estará a cargo del Ministerio de Hacienda y Crédito Público: </w:t>
      </w:r>
    </w:p>
    <w:p w14:paraId="0509FE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72EE2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1.3.1. Coordinar con el Ministerio de Vivienda, Ciudad y Territorio las labores de implementación y ejecución de la estrategia de monitoreo. </w:t>
      </w:r>
    </w:p>
    <w:p w14:paraId="3326EB0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12CF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1.3.2. Consolidar los resultados de la actividad de monitoreo realizada por el Ministerio de Vivienda, Ciudad y Territorio con los resultados de los demás sectores. </w:t>
      </w:r>
    </w:p>
    <w:p w14:paraId="4584482C" w14:textId="26CAF94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8" w:name="ver_30076146"/>
      <w:bookmarkEnd w:id="2078"/>
    </w:p>
    <w:p w14:paraId="7ED190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2.3.5.1.6.1.37. Actividades de seguimiento y control integral. Conforme con lo dispuesto por la normatividad única para el sector de Planeación Nacional y el Artículo 20 de la Ley 1450 de 2011, las actividades de seguimiento y control integral al gasto que ejecutan las entidades territoriales con los recursos del Sistema General de Participaciones para Agua Potable y Saneamiento Básico, o a los mecanismos o instrumentos financieros encargados de ejecutar y/o administrar, a cualquier título jurídico estos recursos, estarán a cargo del Ministerio de Hacienda y Crédito Público para lo cual ejercerá además de las medidas previstas en las disposiciones vigentes, las siguientes: </w:t>
      </w:r>
    </w:p>
    <w:p w14:paraId="48A295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48D0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Realizar las actividades a que se refiere el numeral 3.2 del artículo 3° del Decreto 028 de 2008. </w:t>
      </w:r>
    </w:p>
    <w:p w14:paraId="2469FB5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0DB4A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Realizar las auditorías de que tratan la normatividad única para el sector de Planeación Nacional, con el propósito de verificar de la adecua utilización de los recursos y del cumplimiento de las metas de continuidad, cobertura y calidad en la prestación de los servicios. </w:t>
      </w:r>
    </w:p>
    <w:p w14:paraId="47D8895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1A19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Adoptar las medidas preventivas y/o correctivas, de que trata la normatividad única para el sector de Planeación Nacional. </w:t>
      </w:r>
    </w:p>
    <w:p w14:paraId="3AC50799" w14:textId="75BB134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79" w:name="ver_30076148"/>
      <w:bookmarkEnd w:id="2079"/>
    </w:p>
    <w:p w14:paraId="33C15A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2.3.5.1.6.1.38. Planes de desempeño en el sector de agua potable y saneamiento básico. De conformidad con lo previsto en la normatividad única para el sector de Planeación Nacional, la formulación, aprobación y evaluación del Plan de Desempeño de que trata el presente artículo, se armonizará con los Acuerdos de Mejoramiento y/o programas de gestión suscritos con la Superintendencia de Servicios Públicos Domiciliarios cuando se trate de prestadores directos, de la siguiente forma: </w:t>
      </w:r>
    </w:p>
    <w:p w14:paraId="1BAEBD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A7044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aprobación y evaluación del Plan de Desempeño de las entidades territoriales que se refiera a eventos de riesgo relacionados con el uso y destinación de los recursos del Sistema General de Participaciones del </w:t>
      </w:r>
      <w:proofErr w:type="gramStart"/>
      <w:r w:rsidRPr="009342F9">
        <w:rPr>
          <w:rFonts w:ascii="Arial" w:eastAsia="Times New Roman" w:hAnsi="Arial" w:cs="Arial"/>
          <w:color w:val="000000"/>
          <w:lang w:eastAsia="es-CO"/>
        </w:rPr>
        <w:t>sector,</w:t>
      </w:r>
      <w:proofErr w:type="gramEnd"/>
      <w:r w:rsidRPr="009342F9">
        <w:rPr>
          <w:rFonts w:ascii="Arial" w:eastAsia="Times New Roman" w:hAnsi="Arial" w:cs="Arial"/>
          <w:color w:val="000000"/>
          <w:lang w:eastAsia="es-CO"/>
        </w:rPr>
        <w:t xml:space="preserve"> estará a cargo del Ministerio de Hacienda y Crédito Público. </w:t>
      </w:r>
    </w:p>
    <w:p w14:paraId="375CCC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298B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La aprobación y evaluación del Plan de Desempeño de las entidades territoriales que se refiera a eventos de riesgo relacionados con el uso y destinación de los recursos del Sistema General de Participaciones del </w:t>
      </w:r>
      <w:proofErr w:type="gramStart"/>
      <w:r w:rsidRPr="009342F9">
        <w:rPr>
          <w:rFonts w:ascii="Arial" w:eastAsia="Times New Roman" w:hAnsi="Arial" w:cs="Arial"/>
          <w:color w:val="000000"/>
          <w:lang w:eastAsia="es-CO"/>
        </w:rPr>
        <w:t>sector,</w:t>
      </w:r>
      <w:proofErr w:type="gramEnd"/>
      <w:r w:rsidRPr="009342F9">
        <w:rPr>
          <w:rFonts w:ascii="Arial" w:eastAsia="Times New Roman" w:hAnsi="Arial" w:cs="Arial"/>
          <w:color w:val="000000"/>
          <w:lang w:eastAsia="es-CO"/>
        </w:rPr>
        <w:t xml:space="preserve"> estará a cargo del Ministerio de Hacienda y Crédito Público en coordinación con la Superintendencia de Servicios Públicos Domiciliarios, según los temas de su competencia. </w:t>
      </w:r>
    </w:p>
    <w:p w14:paraId="1ACFC1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35E5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municipios o distritos que al 6 de agosto de 2014 les sea aplicada la medida preventiva, plan de desempeño o aquellos a los que les sea aplicada la medida correctiva de asunción temporal de competencia por parte del departamento o la Nación, establecidas en la normatividad única para el sector de Planeación Nacional, no serán objeto del proceso de certificación reglamentado en el presente capítulo, hasta que se supere el evento de riesgo. </w:t>
      </w:r>
    </w:p>
    <w:p w14:paraId="3C5A6123" w14:textId="7B16F39B"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80" w:name="ver_30076150"/>
      <w:bookmarkEnd w:id="2080"/>
    </w:p>
    <w:p w14:paraId="3BFB6542" w14:textId="2AE20805"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2</w:t>
      </w:r>
    </w:p>
    <w:p w14:paraId="36687483"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PRESENTACIÓN DE METAS Y RECOPILACIÓN DE INFORMACIÓN SOBRE EL GASTO DE LOS RECURSOS DEL SISTEMA GENERAL DE PARTICIPACIONES EN EL SECTOR DE AGUA POTABLE Y</w:t>
      </w:r>
    </w:p>
    <w:p w14:paraId="604A8FC4"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SANEAMIENTO BÁSICO</w:t>
      </w:r>
    </w:p>
    <w:p w14:paraId="277A4BA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81" w:name="ver_30076152"/>
      <w:bookmarkEnd w:id="2081"/>
    </w:p>
    <w:p w14:paraId="19B57D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2.3.5.1.6.2.39. Presentación de metas. La administración municipal y/o departamental presentará ante el Consejo Municipal o Departamental de Política Social y el Consejo Territorial de Planeación, las metas de continuidad, cobertura y calidad en la prestación de los servicios definidas en los respectivos planes sectoriales, a alcanzar anualmente y durante el respectivo período de gobierno, conforme con la política que defina el Ministerio de Vivienda, Ciudad y Territorio. </w:t>
      </w:r>
    </w:p>
    <w:p w14:paraId="7ECDB664" w14:textId="3ACD417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82" w:name="ver_30076154"/>
      <w:bookmarkEnd w:id="2082"/>
    </w:p>
    <w:p w14:paraId="34DB19B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2.3.5.1.6.2.40. Recopilación de información. Los prestadores de los servicios públicos domiciliarios de acueducto, alcantarillado y aseo, los Gestores de los Planes Departamentales de Agua y las empresas de servicios públicos que administren y/o ejecuten recursos del Sistema General de Participaciones para Agua Potable y Saneamiento Básico, deberán reportar la información requerida para el ejercicio de las actividades de monitoreo a través del Sistema Único de Información (SUI) y aquella de carácter presupuestal de las entidades territoriales que administren y/o ejecuten los recursos para del Sistema General de Participaciones para Agua Potable y Saneamiento Básico a través del Formulario Único Territorial (FUT). </w:t>
      </w:r>
    </w:p>
    <w:p w14:paraId="547606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EE43C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Sin perjuicio de lo anterior, el Ministerio de Vivienda, Ciudad y Territorio podrá solicitar en cualquier momento a los responsables del reporte de información señalados en el inciso anterior, la información que estime necesaria para adelantar las actividades monitoreo. </w:t>
      </w:r>
    </w:p>
    <w:p w14:paraId="7AF86EAB" w14:textId="598A4524" w:rsidR="00FC79C1" w:rsidRPr="009342F9" w:rsidRDefault="00FC79C1" w:rsidP="00672CC5">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95DD3C"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27BA84F1"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083" w:name="ver_30076156"/>
      <w:bookmarkEnd w:id="2083"/>
      <w:r w:rsidRPr="009342F9">
        <w:rPr>
          <w:rFonts w:ascii="Arial" w:eastAsia="Times New Roman" w:hAnsi="Arial" w:cs="Arial"/>
          <w:b/>
          <w:bCs/>
          <w:color w:val="000000"/>
          <w:lang w:eastAsia="es-CO"/>
        </w:rPr>
        <w:t>SUBSECCIÓN 3</w:t>
      </w:r>
    </w:p>
    <w:p w14:paraId="398ADDE7"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CRITERIOS, INDICADORES Y CALIFICACIÓN PARA EL ANÁLISIS DE LOS EVENTOS DE RIESGO</w:t>
      </w:r>
    </w:p>
    <w:p w14:paraId="1F6FC44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84" w:name="ver_30076158"/>
      <w:bookmarkEnd w:id="2084"/>
    </w:p>
    <w:p w14:paraId="1DC9B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2.3.5.1.6.3.41. Criterios, indicadores y calificación para el análisis de los eventos de riesgo. Para la adopción de acciones preventivas y/o la aplicación de medidas preventivas y/o correctivas, las actividades de seguimiento y control al gasto que se desarrollen sobre los recursos del Sistema General de Participaciones para el sector de Agua Potable y Saneamiento </w:t>
      </w:r>
      <w:proofErr w:type="gramStart"/>
      <w:r w:rsidRPr="009342F9">
        <w:rPr>
          <w:rFonts w:ascii="Arial" w:eastAsia="Times New Roman" w:hAnsi="Arial" w:cs="Arial"/>
          <w:color w:val="000000"/>
          <w:lang w:eastAsia="es-CO"/>
        </w:rPr>
        <w:t>Básico,</w:t>
      </w:r>
      <w:proofErr w:type="gramEnd"/>
      <w:r w:rsidRPr="009342F9">
        <w:rPr>
          <w:rFonts w:ascii="Arial" w:eastAsia="Times New Roman" w:hAnsi="Arial" w:cs="Arial"/>
          <w:color w:val="000000"/>
          <w:lang w:eastAsia="es-CO"/>
        </w:rPr>
        <w:t xml:space="preserve"> se desarrollarán teniendo en cuenta los siguientes criterios, indicadores y calificación: </w:t>
      </w:r>
    </w:p>
    <w:p w14:paraId="5F8D90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DC48EB" w14:textId="41570CD6"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16E5F13D" wp14:editId="7616656F">
            <wp:extent cx="5546723" cy="497713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pic:nvPicPr>
                  <pic:blipFill>
                    <a:blip r:embed="rId44">
                      <a:extLst>
                        <a:ext uri="{28A0092B-C50C-407E-A947-70E740481C1C}">
                          <a14:useLocalDpi xmlns:a14="http://schemas.microsoft.com/office/drawing/2010/main" val="0"/>
                        </a:ext>
                      </a:extLst>
                    </a:blip>
                    <a:stretch>
                      <a:fillRect/>
                    </a:stretch>
                  </pic:blipFill>
                  <pic:spPr>
                    <a:xfrm>
                      <a:off x="0" y="0"/>
                      <a:ext cx="5546723" cy="4977130"/>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21E6456D" w14:textId="0AF10F62"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0E648203" wp14:editId="2E6F229A">
            <wp:extent cx="5581013" cy="3631565"/>
            <wp:effectExtent l="0" t="0" r="635" b="6985"/>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45">
                      <a:extLst>
                        <a:ext uri="{28A0092B-C50C-407E-A947-70E740481C1C}">
                          <a14:useLocalDpi xmlns:a14="http://schemas.microsoft.com/office/drawing/2010/main" val="0"/>
                        </a:ext>
                      </a:extLst>
                    </a:blip>
                    <a:stretch>
                      <a:fillRect/>
                    </a:stretch>
                  </pic:blipFill>
                  <pic:spPr>
                    <a:xfrm>
                      <a:off x="0" y="0"/>
                      <a:ext cx="5581013" cy="363156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1A022936" w14:textId="69D9B5FE"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40DC6031" wp14:editId="43E33E24">
            <wp:extent cx="5581013" cy="4209415"/>
            <wp:effectExtent l="0" t="0" r="635" b="63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pic:nvPicPr>
                  <pic:blipFill>
                    <a:blip r:embed="rId46">
                      <a:extLst>
                        <a:ext uri="{28A0092B-C50C-407E-A947-70E740481C1C}">
                          <a14:useLocalDpi xmlns:a14="http://schemas.microsoft.com/office/drawing/2010/main" val="0"/>
                        </a:ext>
                      </a:extLst>
                    </a:blip>
                    <a:stretch>
                      <a:fillRect/>
                    </a:stretch>
                  </pic:blipFill>
                  <pic:spPr>
                    <a:xfrm>
                      <a:off x="0" y="0"/>
                      <a:ext cx="5581013" cy="420941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5FF3C273" w14:textId="3D9BBDFA"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61630CFE" wp14:editId="20E1F919">
            <wp:extent cx="5598794" cy="6383655"/>
            <wp:effectExtent l="0" t="0" r="190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pic:nvPicPr>
                  <pic:blipFill>
                    <a:blip r:embed="rId47">
                      <a:extLst>
                        <a:ext uri="{28A0092B-C50C-407E-A947-70E740481C1C}">
                          <a14:useLocalDpi xmlns:a14="http://schemas.microsoft.com/office/drawing/2010/main" val="0"/>
                        </a:ext>
                      </a:extLst>
                    </a:blip>
                    <a:stretch>
                      <a:fillRect/>
                    </a:stretch>
                  </pic:blipFill>
                  <pic:spPr>
                    <a:xfrm>
                      <a:off x="0" y="0"/>
                      <a:ext cx="5598794" cy="6383655"/>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25779AB5" w14:textId="1146FDC6" w:rsidR="00FC79C1" w:rsidRPr="009342F9" w:rsidRDefault="48ABE02E" w:rsidP="00FC79C1">
      <w:pPr>
        <w:spacing w:after="0" w:line="240" w:lineRule="auto"/>
        <w:jc w:val="both"/>
        <w:rPr>
          <w:rFonts w:ascii="Arial" w:eastAsia="Times New Roman" w:hAnsi="Arial" w:cs="Arial"/>
          <w:color w:val="000000"/>
          <w:lang w:eastAsia="es-CO"/>
        </w:rPr>
      </w:pPr>
      <w:r>
        <w:rPr>
          <w:noProof/>
        </w:rPr>
        <w:drawing>
          <wp:inline distT="0" distB="0" distL="0" distR="0" wp14:anchorId="2FF65A45" wp14:editId="0644AAE8">
            <wp:extent cx="5598794" cy="6530338"/>
            <wp:effectExtent l="0" t="0" r="1905"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pic:nvPicPr>
                  <pic:blipFill>
                    <a:blip r:embed="rId48">
                      <a:extLst>
                        <a:ext uri="{28A0092B-C50C-407E-A947-70E740481C1C}">
                          <a14:useLocalDpi xmlns:a14="http://schemas.microsoft.com/office/drawing/2010/main" val="0"/>
                        </a:ext>
                      </a:extLst>
                    </a:blip>
                    <a:stretch>
                      <a:fillRect/>
                    </a:stretch>
                  </pic:blipFill>
                  <pic:spPr>
                    <a:xfrm>
                      <a:off x="0" y="0"/>
                      <a:ext cx="5598794" cy="6530338"/>
                    </a:xfrm>
                    <a:prstGeom prst="rect">
                      <a:avLst/>
                    </a:prstGeom>
                  </pic:spPr>
                </pic:pic>
              </a:graphicData>
            </a:graphic>
          </wp:inline>
        </w:drawing>
      </w:r>
      <w:r w:rsidR="00FC79C1" w:rsidRPr="3DD719FF">
        <w:rPr>
          <w:rFonts w:ascii="Arial" w:eastAsia="Times New Roman" w:hAnsi="Arial" w:cs="Arial"/>
          <w:color w:val="000000" w:themeColor="text1"/>
          <w:lang w:eastAsia="es-CO"/>
        </w:rPr>
        <w:t> </w:t>
      </w:r>
    </w:p>
    <w:p w14:paraId="290ED7C6" w14:textId="5603391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85" w:name="ver_30076166"/>
      <w:bookmarkEnd w:id="2085"/>
    </w:p>
    <w:p w14:paraId="397883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2.3.5.1.6.3.42. Asistencia técnica. Previo a la aplicación de las medidas de que trata la presente sección y para mitigar los eventos de riesgo encontrados en las entidades territoriales, el Ministerio de Vivienda, Ciudad y Territorio, dentro del ámbito de sus competencias, brindará asistencia técnica a los ejecutores del SGP cuando lo considere pertinente. </w:t>
      </w:r>
    </w:p>
    <w:p w14:paraId="2D044E09" w14:textId="07C169CD" w:rsidR="00FC79C1" w:rsidRPr="009342F9" w:rsidRDefault="00FC79C1" w:rsidP="00672CC5">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CB88294"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193283CB"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086" w:name="ver_30076167"/>
      <w:bookmarkEnd w:id="2086"/>
      <w:r w:rsidRPr="009342F9">
        <w:rPr>
          <w:rFonts w:ascii="Arial" w:eastAsia="Times New Roman" w:hAnsi="Arial" w:cs="Arial"/>
          <w:b/>
          <w:bCs/>
          <w:color w:val="000000"/>
          <w:lang w:eastAsia="es-CO"/>
        </w:rPr>
        <w:t>SUBSECCIÓN 4</w:t>
      </w:r>
    </w:p>
    <w:p w14:paraId="41F6B207"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COMUNES</w:t>
      </w:r>
    </w:p>
    <w:p w14:paraId="3018819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087" w:name="ver_30076168"/>
      <w:bookmarkEnd w:id="2087"/>
    </w:p>
    <w:p w14:paraId="37318A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2.3.5.1.6.4.43. Otras disposiciones aplicables. Para el ejercicio de las actividades de monitoreo, seguimiento y control de que trata la normatividad única para el sector de Planeación Nacional sobre los recursos del Sistema General de Participaciones, correspondientes al sector de Agua Potable y Saneamiento Básico, se aplicará en lo pertinente, lo dispuesto en la normatividad única para el sector de Planeación Nacional y de Hacienda y Crédito Público y en las normas que los adicionen, modifiquen o sustituyan. </w:t>
      </w:r>
    </w:p>
    <w:p w14:paraId="19F3E105" w14:textId="3754BF7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88" w:name="ver_30076169"/>
      <w:bookmarkEnd w:id="2088"/>
    </w:p>
    <w:p w14:paraId="3C0C32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2.3.5.1.6.4.44. Coordinación con otras autoridades. Para el ejercicio de las actividades de monitoreo a su cargo, el Ministerio de Vivienda, Ciudad y Territorio se apoyará en la información suministrada por la Superintendencia de Servicios Públicos Domiciliarios, la Comisión de Regulación de Agua Potable y Saneamiento Básico, el Departamento Nacional de Planeación, el Departamento Nacional de Estadística, el Ministerio de Hacienda y Crédito Público, el Ministerio de Salud, el Instituto Geográfico Agustín Codazzi, la Contraloría General de la República, la Procuraduría General de la Nación, la Contaduría General de la Nación, así como los reportes efectuados por los Vocales de Control de Comités de Desarrollo y Control Social de que trata la Ley 142 de 1994, los Comités Permanentes de Estratificación de que trata el artículo 6° de la Ley 732 de 2002, o la ciudadanía. </w:t>
      </w:r>
    </w:p>
    <w:p w14:paraId="69C76D68" w14:textId="34B3E9C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89" w:name="ver_30076171"/>
      <w:bookmarkEnd w:id="2089"/>
    </w:p>
    <w:p w14:paraId="22BD2B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2.3.5.1.6.4.45. Actividades de los departamentos. En desarrollo de sus competencias los departamentos brindarán apoyo al Ministerio de Vivienda, Ciudad y Territorio y al Ministerio de Hacienda y Crédito Público, para la implementación de la estrategia de monitoreo, seguimiento y control, respecto de los municipios y distritos ubicados en su jurisdicción, mediante la recopilación, procesamiento, análisis, consolidación y remisión de la información relacionada con la ejecución de los recursos del Sistema General de Participaciones para agua potable y saneamiento. Para el ejercicio de esta actividad el departamento contará con el soporte del Gestor del Plan Departamental de Agua. </w:t>
      </w:r>
    </w:p>
    <w:p w14:paraId="4E3371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698381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Ministerio de Vivienda, Ciudad y Territorio podrá determinar las actividades en las cuales los departamentos brindarán apoyo en el desarrollo de las medidas preventivas y correctivas. </w:t>
      </w:r>
    </w:p>
    <w:p w14:paraId="04B6B5E4" w14:textId="36A72F1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0" w:name="ver_30076172"/>
      <w:bookmarkEnd w:id="2090"/>
    </w:p>
    <w:p w14:paraId="706C974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2.3.5.1.6.4.46. Verificación. El Ministerio de Vivienda, Ciudad y Territorio, podrá realizar visitas de campo con el fin de confrontar la información suministrada sobre la ejecución de los recursos del Sistema General de Participaciones y brindar asistencia técnica para mejorar la consistencia y calidad de la información reportada. </w:t>
      </w:r>
    </w:p>
    <w:p w14:paraId="7928A24C" w14:textId="7FA5DC9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1" w:name="ver_30076173"/>
      <w:bookmarkEnd w:id="2091"/>
    </w:p>
    <w:p w14:paraId="26E724C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2.3.5.1.6.4.47. Ejercicio de competencias. El ejercicio de las actividades de monitoreo, seguimiento y control por parte del Ministerio de Vivienda, Ciudad y Territorio y del Ministerio de Hacienda y Crédito Público, se ejercerá sin perjuicio de las competencias asignadas a la Superintendencia de Servicios Públicos Domiciliarios en relación con las empresas de servicios públicos y demás prestadores, así como en materia del proceso certificación a que se refiere la Ley 1176 de 2007. Para este efecto los responsables de las actividades de monitoreo, seguimiento y </w:t>
      </w:r>
      <w:proofErr w:type="gramStart"/>
      <w:r w:rsidRPr="009342F9">
        <w:rPr>
          <w:rFonts w:ascii="Arial" w:eastAsia="Times New Roman" w:hAnsi="Arial" w:cs="Arial"/>
          <w:color w:val="000000"/>
          <w:lang w:eastAsia="es-CO"/>
        </w:rPr>
        <w:t>control</w:t>
      </w:r>
      <w:proofErr w:type="gramEnd"/>
      <w:r w:rsidRPr="009342F9">
        <w:rPr>
          <w:rFonts w:ascii="Arial" w:eastAsia="Times New Roman" w:hAnsi="Arial" w:cs="Arial"/>
          <w:color w:val="000000"/>
          <w:lang w:eastAsia="es-CO"/>
        </w:rPr>
        <w:t xml:space="preserve"> así como la Superintendencia de Servicios Públicos Domiciliarios coordinarán dentro del marco de sus competencias la ejecución de las actividades a su cargo. </w:t>
      </w:r>
    </w:p>
    <w:p w14:paraId="0C7B11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5B5D9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actividades de monitoreo, seguimiento y control se ejercerán sobre las entidades territoriales, así como sobre los mecanismos o instrumentos financieros encargados de ejecutar y/o administrar a cualquier título jurídico los recursos del Sistema General de Participaciones destinados al sector de Agua Potable y Saneamiento Básico. </w:t>
      </w:r>
    </w:p>
    <w:p w14:paraId="176A7B30" w14:textId="33FC795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2" w:name="ver_30076174"/>
      <w:bookmarkEnd w:id="2092"/>
    </w:p>
    <w:p w14:paraId="6B04A0F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2.3.5.1.6.4.48. Periodicidad. La periodicidad en el ejercicio de las actividades de monitoreo en el sector de Agua Potable y Saneamiento Básico, así como su reporte al Ministerio de Hacienda y Crédito Público, se realizarán conforme lo dispone la normatividad única para el sector de Planeación Nacional o las normas que lo modifiquen, complementen o sustituyan. Sin perjuicio de lo anterior, cuando el Ministerio de Vivienda, Ciudad y Territorio lo considere necesario para adelantar labores de seguimiento o control, remitirá al Ministerio de Hacienda y Crédito Público el reporte de las actividades de monitoreo, el cual deberá comprender como mínimo, el resultado de las mismas, respecto de aquellas entidades territoriales en las que se evidencien acciones u omisiones que puedan poner en riesgo la adecuada utilización de los recursos del Sistema General de Participaciones, de acuerdo con los criterios de evaluación definidos por el Ministerio de Vivienda, Ciudad y Territorio y atendiendo a lo dispuesto en el presente capítulo. </w:t>
      </w:r>
    </w:p>
    <w:p w14:paraId="208F7274" w14:textId="2BA7618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3" w:name="ver_30076175"/>
      <w:bookmarkEnd w:id="2093"/>
    </w:p>
    <w:p w14:paraId="3A2698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2.3.5.1.6.4.49. Término para consulta. La adopción de medidas preventivas o correctivas por parte del Ministerio de Hacienda y Crédito Público, se realizará previa consulta al Ministerio de Vivienda, Ciudad y Territorio. Una vez efectuada la consulta previa, el Ministerio de Vivienda, Ciudad y Territorio dispondrá de un término máximo de diez (10) días hábiles contados a partir del día siguiente a su radicación, para pronunciarse sobre la medida a adoptar. Si transcurrido este término el Ministerio de Vivienda, Ciudad y Territorio no se ha pronunciado, el Ministerio de Hacienda y Crédito Público adoptará la medida preventiva o correctiva a que haya lugar. </w:t>
      </w:r>
    </w:p>
    <w:p w14:paraId="75C6365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2034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ningún caso, el contenido de la respuesta dada por el Ministerio de Vivienda, Ciudad y Territorio resulta obligatorio para el Ministerio de Hacienda y Crédito Público, quien en caso de no estar de acuerdo deberá expresar las razones por la cuales acepta o rechaza la respuesta dada por el Ministerio de Vivienda, Ciudad y Territorio. </w:t>
      </w:r>
    </w:p>
    <w:p w14:paraId="5966E2B2" w14:textId="558B378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4" w:name="ver_30076176"/>
      <w:bookmarkEnd w:id="2094"/>
    </w:p>
    <w:p w14:paraId="5B13A2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2.3.5.1.6.4.50. Continuidad de medidas. Las medidas de control previstas en el Decreto 028 de 2008, adoptadas por el Ministerio de Hacienda y Crédito Público con anterioridad a la entrada en vigencia del Decreto 1484 de 2014, así como los Acuerdos de Mejoramiento o las medidas de inspección, control y/o vigilancia adoptadas por la Superintendencia de Servicios Públicos Domiciliarios, continuarán aplicándose hasta tanto se verifique el cumplimiento de los compromisos adquiridos por las entidades territoriales para superar los eventos de riesgo, de acuerdo con los informes del Ministerio de Vivienda, Ciudad y Territorio, Ministerio de Hacienda y Crédito Público, así como el reporte que para el efecto expida la Superintendencia de Servicios Públicos Domiciliarios. </w:t>
      </w:r>
    </w:p>
    <w:p w14:paraId="2F84DC68" w14:textId="3CFEB84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5" w:name="ver_30076177"/>
      <w:bookmarkEnd w:id="2095"/>
    </w:p>
    <w:p w14:paraId="170853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2.3.5.1.6.4.51. Medidas complementarias. En aquellos aspectos no previstos en el presente capítulo se aplicarán, respecto del ejercicio de las actividades de monitoreo, seguimiento y control en el sector de Agua Potable y Saneamiento Básico, en lo pertinente, las disposiciones contenidas en la normatividad única para el sector de Planeación Nacional y de Hacienda y Crédito Público, o las demás normas que los modifiquen, complementen o sustituyan. </w:t>
      </w:r>
    </w:p>
    <w:p w14:paraId="3068BED2" w14:textId="69A48323"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6" w:name="ver_30076178"/>
      <w:bookmarkEnd w:id="2096"/>
    </w:p>
    <w:p w14:paraId="64C667CE" w14:textId="2D765A08"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7</w:t>
      </w:r>
    </w:p>
    <w:p w14:paraId="2A8938A8" w14:textId="77777777" w:rsidR="00FC79C1"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1C6AA1BA" w14:textId="77777777" w:rsidR="00DF7F30" w:rsidRPr="009342F9" w:rsidRDefault="00DF7F30" w:rsidP="0015442F">
      <w:pPr>
        <w:spacing w:after="0" w:line="240" w:lineRule="auto"/>
        <w:jc w:val="center"/>
        <w:rPr>
          <w:rFonts w:ascii="Arial" w:eastAsia="Times New Roman" w:hAnsi="Arial" w:cs="Arial"/>
          <w:b/>
          <w:bCs/>
          <w:color w:val="000000"/>
          <w:lang w:eastAsia="es-CO"/>
        </w:rPr>
      </w:pPr>
    </w:p>
    <w:p w14:paraId="6D4F514E"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SUBSECCIÓN 1</w:t>
      </w:r>
    </w:p>
    <w:p w14:paraId="16EF1A18"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RÉGIMEN DE TRANSICIÓN DE QUE TRATA EL PARÁGRAFO DEL ARTÍCULO 9° DE LA LEY 1176 DE 2007</w:t>
      </w:r>
    </w:p>
    <w:p w14:paraId="6DC8CED3"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097" w:name="ver_30076179"/>
      <w:bookmarkEnd w:id="2097"/>
    </w:p>
    <w:p w14:paraId="4BB379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2.3.5.1.7.1.52. Ámbito de aplicación de la transición de que trata el parágrafo del artículo 9° de la Ley 1176 de 2007. La presente subsección aplica a los municipios o distritos que en cumplimiento de lo establecido en el parágrafo del artículo 9° de la Ley 1176 de 2007, al 6 de marzo de 2015, informaron al Ministerio de Ambiente, Vivienda y Desarrollo Territorial, hoy Ministerio de Vivienda, Ciudad y Territorio, la existencia de montos comprometidos antes de la expedición de la Ley 1176 de 2007 con cargo a los recursos de la participación para Agua Potable y Saneamiento Básico del Sistema General de Participaciones, destinados a pagar créditos o compromisos derivados de la estructuración financiera de un contrato con un tercero, que tengan como propósito garantizar la prestación de estos servicios. </w:t>
      </w:r>
    </w:p>
    <w:p w14:paraId="5478776F" w14:textId="2FBB2F1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8" w:name="ver_30076180"/>
      <w:bookmarkEnd w:id="2098"/>
    </w:p>
    <w:p w14:paraId="2C8AC68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2.3.5.1.7.1.53. Garantía para pago de compromisos. En la distribución de los recursos para la participación de Agua Potable y Saneamiento Básico del Sistema General de Participaciones correspondiente a municipios y distritos, se garantizará a las entidades territoriales, el monto correspondiente a los compromisos informados de que trata el artículo anterior. </w:t>
      </w:r>
    </w:p>
    <w:p w14:paraId="62EEDD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B12A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todo caso, a los municipios clasificados en categorías 2, 3, 4, 5 y 6, de acuerdo con lo establecido en el parágrafo 2° del artículo 11 de la Ley 1176 de 2007, se les respetará el 15% de la asignación destinada al otorgamiento de subsidios; el 85% restante de la asignación en tales municipios, corresponderá como mínimo, al monto reportado de recursos requeridos para el pago de estos compromisos. </w:t>
      </w:r>
    </w:p>
    <w:p w14:paraId="27B5D8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65234A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el evento en que el 85% de la asignación sea insuficiente para atender los compromisos reportados, se realizará el correspondiente ajuste en la participación para Agua Potable y Saneamiento Básico. </w:t>
      </w:r>
    </w:p>
    <w:p w14:paraId="599D214E" w14:textId="45DBDAE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099" w:name="ver_30076181"/>
      <w:bookmarkEnd w:id="2099"/>
    </w:p>
    <w:p w14:paraId="7C1381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2.3.5.1.7.1.54. Término de la transición. El régimen de transición de que trata el parágrafo del artículo 9° de la Ley 1176 de 2007 se aplicará hasta el 31 de diciembre del año 2016 de acuerdo con la relación de los municipios y distritos consolidada por el Ministerio de Vivienda, Ciudad y Territorio, y el monto requerido para atender créditos o compromisos derivados de la estructuración financiera de un contrato con un tercero, que tengan como propósito asegurar la prestación de los servicios públicos domiciliarios de acueducto, alcantarillado y aseo, previsto en dicha relación en las condiciones previstas en la normatividad única para el sector de Planeación Nacional o en la norma que lo modifique, adicione o sustituya. </w:t>
      </w:r>
    </w:p>
    <w:p w14:paraId="26ACBDBB" w14:textId="708A1E7F"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0" w:name="ver_30210158"/>
      <w:bookmarkEnd w:id="2100"/>
    </w:p>
    <w:p w14:paraId="1631D87A" w14:textId="3D6D56EE"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114A8422" w14:textId="0F2A24FC" w:rsidR="00FC79C1" w:rsidRPr="009342F9" w:rsidRDefault="00DF7F30"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USO DE LOS RECURSOS DEL SISTEMA GENERAL DE PARTICIPACIONES PARA AGUA POTABLE Y SANEAMIENTO BÁSICO DESTINADOS AL PAGO DEL SERVICIO DE ENERGÍA EN MUNICIPIOS PRESTADORES DIRECTOS</w:t>
      </w:r>
    </w:p>
    <w:p w14:paraId="29F14036" w14:textId="77777777" w:rsidR="00FC79C1" w:rsidRPr="009342F9" w:rsidRDefault="00FC79C1" w:rsidP="00DF7F30">
      <w:pPr>
        <w:spacing w:after="0" w:line="240" w:lineRule="auto"/>
        <w:jc w:val="center"/>
        <w:rPr>
          <w:rFonts w:ascii="Arial" w:eastAsia="Times New Roman" w:hAnsi="Arial" w:cs="Arial"/>
          <w:color w:val="000000"/>
          <w:lang w:eastAsia="es-CO"/>
        </w:rPr>
      </w:pPr>
      <w:bookmarkStart w:id="2101" w:name="ver_30210159"/>
      <w:bookmarkEnd w:id="2101"/>
    </w:p>
    <w:p w14:paraId="27392AD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2.3.5.2.1. Condiciones para el pago del costo de energía con recursos del Sistema General de Participaciones para Agua Potable y Saneamiento Básico. Los municipios de categoría 5 o 6 que presten directamente los servicios públicos domiciliarios de acueducto y alcantarillado y que vayan a destinar recursos del Sistema General de Participaciones para Agua Potable y Saneamiento Básico (SGP-APSB) para el pago del costo del servicio de energía por concepto de operación de los sistemas de acueducto y alcantarillado, deberán cumplir con las siguientes condiciones:  </w:t>
      </w:r>
    </w:p>
    <w:p w14:paraId="7097B8FF"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572E328E" w14:textId="4BF77D8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Haber calculado las tarifas conforme a la metodología vigente establecida por la Comisión de Regulación de Agua Potable y Saneamiento Básico (CRA) para los servicios públicos de acueducto y alcantarillado y que estas se encuentren aprobadas por la Entidad Tarifaria Local.  </w:t>
      </w:r>
    </w:p>
    <w:p w14:paraId="49589921"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22565C5C" w14:textId="07A112B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No incluir en la tarifa final cobrada al usuario, el costo del servicio de energía por concepto de operación de los sistemas de acueducto y alcantarillado, de acuerdo con las condiciones que defina la Comisión de Regulación de Agua Potable y Saneamiento Básico (CRA).  </w:t>
      </w:r>
    </w:p>
    <w:p w14:paraId="38E6323C"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6622090A" w14:textId="66F750D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Apropiar recursos en el presupuesto de la entidad territorial para el pago de sub</w:t>
      </w:r>
      <w:r w:rsidRPr="009342F9">
        <w:rPr>
          <w:rFonts w:ascii="Arial" w:eastAsia="Times New Roman" w:hAnsi="Arial" w:cs="Arial"/>
          <w:color w:val="000000"/>
          <w:lang w:eastAsia="es-CO"/>
        </w:rPr>
        <w:softHyphen/>
        <w:t>sidios de los servicios de acueducto, alcantarillado y aseo, acorde con la metodo</w:t>
      </w:r>
      <w:r w:rsidRPr="009342F9">
        <w:rPr>
          <w:rFonts w:ascii="Arial" w:eastAsia="Times New Roman" w:hAnsi="Arial" w:cs="Arial"/>
          <w:color w:val="000000"/>
          <w:lang w:eastAsia="es-CO"/>
        </w:rPr>
        <w:softHyphen/>
        <w:t>logía para determinar el balance entre subsidios y contribuciones.  </w:t>
      </w:r>
    </w:p>
    <w:p w14:paraId="1CE5048E"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42C1B9BF" w14:textId="7DC0F275"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Determinar el costo de energía por concepto de la operación de los sistemas de acueducto y alcantarillado objeto de financiación con los recursos de Siste</w:t>
      </w:r>
      <w:r w:rsidRPr="009342F9">
        <w:rPr>
          <w:rFonts w:ascii="Arial" w:eastAsia="Times New Roman" w:hAnsi="Arial" w:cs="Arial"/>
          <w:color w:val="000000"/>
          <w:lang w:eastAsia="es-CO"/>
        </w:rPr>
        <w:softHyphen/>
        <w:t>ma General de Participaciones para Agua Potable y Saneamiento Básico (SGP APSB) de acuerdo con las metodologías tarifarias vigentes establecidas por la Comisión de Regulación de Agua Potable y Saneamiento Básico (CRA).  </w:t>
      </w:r>
    </w:p>
    <w:p w14:paraId="6E226A50" w14:textId="77777777" w:rsidR="00672CC5" w:rsidRPr="009342F9" w:rsidRDefault="00672CC5" w:rsidP="00FC79C1">
      <w:pPr>
        <w:spacing w:after="0" w:line="240" w:lineRule="auto"/>
        <w:jc w:val="both"/>
        <w:rPr>
          <w:rFonts w:ascii="Arial" w:eastAsia="Times New Roman" w:hAnsi="Arial" w:cs="Arial"/>
          <w:color w:val="000000"/>
          <w:lang w:eastAsia="es-CO"/>
        </w:rPr>
      </w:pPr>
    </w:p>
    <w:p w14:paraId="1CFFAA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En ningún caso podrán emplearse los recursos del Sistema General de Participaciones para Agua Potable y Saneamiento Básico (SG-APSB), para financiar el costo del servicio de energía del municipio prestador, diferente al relacionado directamente con la operación de los sistemas de acueducto y alcantarillado.  </w:t>
      </w:r>
    </w:p>
    <w:p w14:paraId="42817E12"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173EDF15" w14:textId="18EC764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municipios de categoría 5 y 6 que presten directamente los servicios públicos domiciliarios de acueducto y alcantarillado no podrán financiar de manera retroactiva el costo del servicio de energía por concepto de operación de los sistemas de acueducto y alcantarillado con los recursos del Sistema General de Participaciones para Agua Potable y Saneamiento Básico (SGP-APSB).  </w:t>
      </w:r>
    </w:p>
    <w:p w14:paraId="43DC0A49" w14:textId="105DFA6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2" w:name="ver_30210160"/>
      <w:bookmarkEnd w:id="2102"/>
    </w:p>
    <w:p w14:paraId="6B8364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2.3.5.2.2. Monitoreo a los recursos del Sistema General de Participaciones para Agua Potable y Saneamiento Básico. El cumplimiento de lo establecido en el presente capítulo será objeto de la actividad de monitoreo por parte del Ministerio de Vivienda, Ciudad y Territorio, sin perjuicio de las funciones de vigilancia y control que adelante la Superintendencia de Servicios Públicos Domiciliarios”. </w:t>
      </w:r>
    </w:p>
    <w:p w14:paraId="45079DD6" w14:textId="77777777" w:rsidR="0015442F" w:rsidRPr="009342F9" w:rsidRDefault="0015442F" w:rsidP="00FC79C1">
      <w:pPr>
        <w:spacing w:after="0" w:line="240" w:lineRule="auto"/>
        <w:jc w:val="both"/>
        <w:rPr>
          <w:rFonts w:ascii="Arial" w:eastAsia="Times New Roman" w:hAnsi="Arial" w:cs="Arial"/>
          <w:color w:val="000000"/>
          <w:lang w:eastAsia="es-CO"/>
        </w:rPr>
      </w:pPr>
      <w:bookmarkStart w:id="2103" w:name="ver_30076182"/>
      <w:bookmarkEnd w:id="2103"/>
    </w:p>
    <w:p w14:paraId="5B579392" w14:textId="005B2E30"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6</w:t>
      </w:r>
    </w:p>
    <w:p w14:paraId="49C52F37" w14:textId="77777777" w:rsidR="00FC79C1"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APLICABLES A TODOS LOS SERVICIOS</w:t>
      </w:r>
    </w:p>
    <w:p w14:paraId="0375246F" w14:textId="77777777" w:rsidR="004E79A7" w:rsidRPr="009342F9" w:rsidRDefault="004E79A7" w:rsidP="0015442F">
      <w:pPr>
        <w:spacing w:after="0" w:line="240" w:lineRule="auto"/>
        <w:jc w:val="center"/>
        <w:rPr>
          <w:rFonts w:ascii="Arial" w:eastAsia="Times New Roman" w:hAnsi="Arial" w:cs="Arial"/>
          <w:b/>
          <w:bCs/>
          <w:color w:val="000000"/>
          <w:lang w:eastAsia="es-CO"/>
        </w:rPr>
      </w:pPr>
    </w:p>
    <w:p w14:paraId="2CB12F64"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1</w:t>
      </w:r>
    </w:p>
    <w:p w14:paraId="2473E413"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CONTROL SOCIAL</w:t>
      </w:r>
    </w:p>
    <w:p w14:paraId="0D01711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04" w:name="ver_30076183"/>
      <w:bookmarkEnd w:id="2104"/>
    </w:p>
    <w:p w14:paraId="0B5C3E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 Deber de Conformación de los Comités de Desarrollo y Control Social. Con el objeto de organizar la participación comunitaria en la vigilancia de la gestión y en la fiscalización de las entidades de carácter privado, oficial, o mixto, que presten los servicios públicos domiciliarios de acueducto, alcantarillado, aseo, energía eléctrica, distribución de gas combustible por red, telefonía fija pública básica conmutada y telefonía local móvil en el sector rural, y de acuerdo con lo establecido por el artículo 62 de la Ley 142 de 1994, se conformarán a iniciativa de un número plural de usuarios, suscriptores o suscriptores potenciales de uno o varios de los citados servicios públicos domiciliarios, en todos los municipios, uno o varios « Comités de Desarrollo y Control Social de los Servicios Públicos Domiciliarios”. </w:t>
      </w:r>
    </w:p>
    <w:p w14:paraId="6CC613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ECC2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Para efectos del presente capítulo se define “usuarios”, “suscriptor” y “suscriptor potencial”, en los siguientes términos: </w:t>
      </w:r>
    </w:p>
    <w:p w14:paraId="66F6A0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6E92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Usuario: Persona natural o jurídica que se beneficia con la prestación de un servicio público, bien como propietario del inmueble donde éste se presta, o como receptor directo del servicio. A este último usuario se denomina también consumidor. </w:t>
      </w:r>
    </w:p>
    <w:p w14:paraId="13030E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3EF66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Suscriptor: Persona natural o jurídica con la cual se ha celebrado un contrato de condiciones uniformes de servicios públicos. </w:t>
      </w:r>
    </w:p>
    <w:p w14:paraId="45803DB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CC5D0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Suscriptor potencial: Persona que ha iniciado consultas para convertirse en usuario de los servicios públicos. </w:t>
      </w:r>
    </w:p>
    <w:p w14:paraId="321A0E0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C9890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participación del usuario, suscriptor o suscriptor potencial, en la asamblea constitutiva, en el correspondiente Comité de Desarrollo y Control Social y en la asamblea de usuarios, es personal e indelegable. </w:t>
      </w:r>
    </w:p>
    <w:p w14:paraId="5DA376D2" w14:textId="6DA0BF5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5" w:name="ver_30076184"/>
      <w:bookmarkEnd w:id="2105"/>
    </w:p>
    <w:p w14:paraId="631241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2.3.6.1.2. Convocatoria de las Asambleas Constitutivas. Por iniciativa de los usuarios, suscriptores o suscriptores potenciales, manifestada públicamente a través de los medios de comunicación de carácter local, que permitan y aseguren una adecuada y amplia difusión entre la población o a través de los organismos de participación comunitaria u Organizaciones No Gubernamentales - ONG - existentes en el municipio, se convocará a una asamblea de usuarios con el fin de constituir cada Comité de Desarrollo y Control Social, cuya integración y funcionamiento se regirá por las siguientes normas: </w:t>
      </w:r>
    </w:p>
    <w:p w14:paraId="4E6535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CD40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 asamblea constitutiva del comité se reunirá en la fecha, hora y lugar que determinen quienes tomen la iniciativa de convocación. La convocatoria deberá realizarse con una antelación no menor a diez (10) días hábiles; </w:t>
      </w:r>
    </w:p>
    <w:p w14:paraId="2C3153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4D36E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El registro de los usuarios, suscriptores o suscriptores potenciales, que deseen participar en la Asamblea Constitutiva deberá contener como mínimo la siguiente información: </w:t>
      </w:r>
    </w:p>
    <w:p w14:paraId="5C3F1E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92EF3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Nombre del departamento y del municipio donde funcionará el Comité, nombres y apellidos completos de los asistentes, documento de identificación, dirección, número de la última factura de cobro del respectivo servicio o documento que acredite su calidad de usuario o suscriptor potencial y firma; </w:t>
      </w:r>
    </w:p>
    <w:p w14:paraId="2BF038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A9A6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 La elección del </w:t>
      </w:r>
      <w:proofErr w:type="gramStart"/>
      <w:r w:rsidRPr="009342F9">
        <w:rPr>
          <w:rFonts w:ascii="Arial" w:eastAsia="Times New Roman" w:hAnsi="Arial" w:cs="Arial"/>
          <w:color w:val="000000"/>
          <w:lang w:eastAsia="es-CO"/>
        </w:rPr>
        <w:t>Presidente</w:t>
      </w:r>
      <w:proofErr w:type="gramEnd"/>
      <w:r w:rsidRPr="009342F9">
        <w:rPr>
          <w:rFonts w:ascii="Arial" w:eastAsia="Times New Roman" w:hAnsi="Arial" w:cs="Arial"/>
          <w:color w:val="000000"/>
          <w:lang w:eastAsia="es-CO"/>
        </w:rPr>
        <w:t xml:space="preserve"> y Secretario de la Asamblea se hará por mayoría simple de los asistentes. El </w:t>
      </w:r>
      <w:proofErr w:type="gramStart"/>
      <w:r w:rsidRPr="009342F9">
        <w:rPr>
          <w:rFonts w:ascii="Arial" w:eastAsia="Times New Roman" w:hAnsi="Arial" w:cs="Arial"/>
          <w:color w:val="000000"/>
          <w:lang w:eastAsia="es-CO"/>
        </w:rPr>
        <w:t>Presidente</w:t>
      </w:r>
      <w:proofErr w:type="gramEnd"/>
      <w:r w:rsidRPr="009342F9">
        <w:rPr>
          <w:rFonts w:ascii="Arial" w:eastAsia="Times New Roman" w:hAnsi="Arial" w:cs="Arial"/>
          <w:color w:val="000000"/>
          <w:lang w:eastAsia="es-CO"/>
        </w:rPr>
        <w:t xml:space="preserve"> y el Secretario deberán verificar la calidad y el número mínimo de asistentes; </w:t>
      </w:r>
    </w:p>
    <w:p w14:paraId="3C603E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5683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Para que la Asamblea Constitutiva del Comité de Desarrollo y Control Social pueda sesionar deberá contar con el número mínimo de usuarios, suscriptores o suscriptores potenciales necesarios para conformar un comité en el respectivo municipio; </w:t>
      </w:r>
    </w:p>
    <w:p w14:paraId="38F28E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4A8B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 Para la elección de los miembros del Comité de Desarrollo y Control Social se </w:t>
      </w:r>
      <w:proofErr w:type="gramStart"/>
      <w:r w:rsidRPr="009342F9">
        <w:rPr>
          <w:rFonts w:ascii="Arial" w:eastAsia="Times New Roman" w:hAnsi="Arial" w:cs="Arial"/>
          <w:color w:val="000000"/>
          <w:lang w:eastAsia="es-CO"/>
        </w:rPr>
        <w:t>empleara</w:t>
      </w:r>
      <w:proofErr w:type="gramEnd"/>
      <w:r w:rsidRPr="009342F9">
        <w:rPr>
          <w:rFonts w:ascii="Arial" w:eastAsia="Times New Roman" w:hAnsi="Arial" w:cs="Arial"/>
          <w:color w:val="000000"/>
          <w:lang w:eastAsia="es-CO"/>
        </w:rPr>
        <w:t xml:space="preserve"> el sistema de cociente electoral, teniendo en cuenta que los candidatos cumplan con las calidades para ser miembros y que el número de los mismos sea el señalado en los artículos 5 y 6 respectivamente de este capítulo. De igual manera se elegirá un número de miembros suplentes equivalente al 10% del número de miembros principales. Los miembros suplentes se elegirán en la misma plancha de los principales y serán numéricos. Reemplazarán a los principales solo en el caso de la no aceptación del cargo por parte de estos, o de su falta absoluta. </w:t>
      </w:r>
    </w:p>
    <w:p w14:paraId="62E0F6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B5604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cociente será el número que resulte de dividir el total de los votos válidos por el de los puestos por proveer. La adjudicación de puestos a cada lista se hará en el número de veces que el cociente quepa en el respectivo número de votos válidos. Si quedaren puestos por proveer se </w:t>
      </w:r>
      <w:proofErr w:type="gramStart"/>
      <w:r w:rsidRPr="009342F9">
        <w:rPr>
          <w:rFonts w:ascii="Arial" w:eastAsia="Times New Roman" w:hAnsi="Arial" w:cs="Arial"/>
          <w:color w:val="000000"/>
          <w:lang w:eastAsia="es-CO"/>
        </w:rPr>
        <w:t>adjuntaran</w:t>
      </w:r>
      <w:proofErr w:type="gramEnd"/>
      <w:r w:rsidRPr="009342F9">
        <w:rPr>
          <w:rFonts w:ascii="Arial" w:eastAsia="Times New Roman" w:hAnsi="Arial" w:cs="Arial"/>
          <w:color w:val="000000"/>
          <w:lang w:eastAsia="es-CO"/>
        </w:rPr>
        <w:t xml:space="preserve"> a los mayores recibos en orden descendente. </w:t>
      </w:r>
    </w:p>
    <w:p w14:paraId="5DEBE7A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22C4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miembros del Comité serán elegidos para un período de dos años que se iniciará el día de su elección. Estos seguirán ejerciendo sus funciones mientras se realiza una nueva elección, la cual debe efectuarse dentro de los seis (6) meses siguientes al vencimiento del respectivo período; </w:t>
      </w:r>
    </w:p>
    <w:p w14:paraId="56D218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FB9A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Los comités, el día de su elección, se instalarán y elegirán al Vocal de Control y a la Junta Directiva. Si ello no fuere posible, la asamblea señalará la fecha para la instalación del comité dentro de los ocho (8) días siguientes a su elección. </w:t>
      </w:r>
    </w:p>
    <w:p w14:paraId="1F08BD57" w14:textId="13DEEFE9"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6" w:name="ver_30076185"/>
      <w:bookmarkEnd w:id="2106"/>
    </w:p>
    <w:p w14:paraId="2D5479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2.3.6.1.3. Contenido del Acta de la Asamblea Constitutiva de los Comités. El acta de la asamblea constitutiva de los Comités de Desarrollo y Control </w:t>
      </w:r>
      <w:proofErr w:type="gramStart"/>
      <w:r w:rsidRPr="009342F9">
        <w:rPr>
          <w:rFonts w:ascii="Arial" w:eastAsia="Times New Roman" w:hAnsi="Arial" w:cs="Arial"/>
          <w:color w:val="000000"/>
          <w:lang w:eastAsia="es-CO"/>
        </w:rPr>
        <w:t>Social,</w:t>
      </w:r>
      <w:proofErr w:type="gramEnd"/>
      <w:r w:rsidRPr="009342F9">
        <w:rPr>
          <w:rFonts w:ascii="Arial" w:eastAsia="Times New Roman" w:hAnsi="Arial" w:cs="Arial"/>
          <w:color w:val="000000"/>
          <w:lang w:eastAsia="es-CO"/>
        </w:rPr>
        <w:t xml:space="preserve"> contemplará al menos los siguientes aspectos: </w:t>
      </w:r>
    </w:p>
    <w:p w14:paraId="1CB724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8FE449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Lugar, fecha y hora en que se realizó la asamblea; </w:t>
      </w:r>
    </w:p>
    <w:p w14:paraId="0D9A358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003C8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Determinación del servicio o servicios objeto de fiscalización por parte del comité; </w:t>
      </w:r>
    </w:p>
    <w:p w14:paraId="5C3244A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81B7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Nombre, apellido e identificación de los asistentes, tratándose de personas naturales, o nombre, naturaleza jurídica y representación legal cuando se trate de personas jurídicas; </w:t>
      </w:r>
    </w:p>
    <w:p w14:paraId="7E6A9A9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B9B04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Elección de los miembros del comité; </w:t>
      </w:r>
    </w:p>
    <w:p w14:paraId="20AC85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9447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Firma del presidente y del secretario de la asamblea. </w:t>
      </w:r>
    </w:p>
    <w:p w14:paraId="74966B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B4D10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El presidente de la asamblea constitutiva tendrá la obligación de custodiar el acta y hacer entrega de </w:t>
      </w:r>
      <w:proofErr w:type="gramStart"/>
      <w:r w:rsidRPr="009342F9">
        <w:rPr>
          <w:rFonts w:ascii="Arial" w:eastAsia="Times New Roman" w:hAnsi="Arial" w:cs="Arial"/>
          <w:color w:val="000000"/>
          <w:lang w:eastAsia="es-CO"/>
        </w:rPr>
        <w:t>la misma</w:t>
      </w:r>
      <w:proofErr w:type="gramEnd"/>
      <w:r w:rsidRPr="009342F9">
        <w:rPr>
          <w:rFonts w:ascii="Arial" w:eastAsia="Times New Roman" w:hAnsi="Arial" w:cs="Arial"/>
          <w:color w:val="000000"/>
          <w:lang w:eastAsia="es-CO"/>
        </w:rPr>
        <w:t xml:space="preserve"> al Vocal de Control, una vez sea elegido. </w:t>
      </w:r>
    </w:p>
    <w:p w14:paraId="2F8DE295" w14:textId="5C9DAFE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7" w:name="ver_30076186"/>
      <w:bookmarkEnd w:id="2107"/>
    </w:p>
    <w:p w14:paraId="713A4B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2.3.6.1.4. Asamblea de Usuarios. Con el objeto de garantizar la participación comunitaria en la vigilancia de la gestión y en la fiscalización de los servicios públicos domiciliarios, se conformará una asamblea de usuarios de la cual podrán hacer parte los asistentes a las asambleas anteriores y cualquier usuario, suscriptor o suscriptor potencial que desee sumarse a ella. La asamblea así conformada no podrá sesionar con un número inferior al establecido en el literal d) del artículo 2 del presente capítulo. Esta se reunirá: </w:t>
      </w:r>
    </w:p>
    <w:p w14:paraId="646C00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E682D9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Ordinariamente una vez al año, para considerar el informe del Comité de Desarrollo y Control Social, evaluar su gestión y proponer las acciones que considere pertinentes y que correspondan a las funciones de éste; y para elegir los miembros del comité cuando haya lugar a ello por vencimiento del período de éstos; </w:t>
      </w:r>
    </w:p>
    <w:p w14:paraId="1DA8CCC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C48B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Extraordinariamente cuando sea convocada a instancia Vocal de Control, de las dos terceras partes de la Junta Directiva del Comité o de un número equivalente a la quinta parte de los asistentes a la última asamblea, entre otros aspectos, para conformar el comité en caso de que éste haya sido disuelto por causal establecida en su reglamento; </w:t>
      </w:r>
    </w:p>
    <w:p w14:paraId="621ABB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9016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Por derecho propio, cuando no haya sido convocada a reunión ordinaria o cuando no haya sido posible realizar dicha reunión por falta de quórum, evento en el cual podrá deliberar con cualquier número plural de asistentes. En todo caso para la elección de un nuevo comité se requerirá el mínimo de asistentes previstos en el literal d) del artículo 2.3.6.1.2. del presente capítulo. </w:t>
      </w:r>
    </w:p>
    <w:p w14:paraId="4D7576A3" w14:textId="0B77FE8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8" w:name="ver_30076187"/>
      <w:bookmarkEnd w:id="2108"/>
    </w:p>
    <w:p w14:paraId="2E5535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2.3.6.1.5. Miembros del Comité. Para ser miembro de un Comité de Desarrollo y Control Social, se requiere ser usuario, suscriptor o suscriptor potencial de uno de los servicios públicos domiciliarios de que trata la Ley 142 de 1994, lo cual se acreditará ante la asamblea, con la última factura de cobro, o en el caso de los suscriptores potenciales, con la solicitud debidamente radicada ante la respectiva entidad prestadora de los servicios domiciliarios de que trata la Ley 142 de 1994. </w:t>
      </w:r>
    </w:p>
    <w:p w14:paraId="15FF3E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18A25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el usuario no disponga de la última factura de cobro, podrá acreditar su condición mediante una constancia de residencia. </w:t>
      </w:r>
    </w:p>
    <w:p w14:paraId="581A124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3CA3C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No podrán hacer parte de los Comités de Desarrollo y Control Social de los servicios públicos domiciliarios, los funcionarios de las entidades prestadoras del servicio público a que se refiera el correspondiente comité, los de la Comisión de Regulación respectiva, y en ningún caso los de la Superintendencia de Servicios Públicos Domiciliarios. </w:t>
      </w:r>
    </w:p>
    <w:p w14:paraId="606416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AD295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Tampoco podrán ser miembros de los comités quienes reciban el servicio en forma fraudulenta ni aquellos que soliciten la conexión en áreas en donde las condiciones sanitarias, ambientales o de alto riesgo para las personas, definidas por la oficina de planeación municipal o la que haga sus veces, impidan la prestación del servicio por consideraciones de interés general. </w:t>
      </w:r>
    </w:p>
    <w:p w14:paraId="42BD0727" w14:textId="1C53957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09" w:name="ver_30076188"/>
      <w:bookmarkEnd w:id="2109"/>
    </w:p>
    <w:p w14:paraId="68C82B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2.3.6.1.6. Número de Miembros del Comité. El número de miembros de los comités será el que resulte de dividir la población del respectivo municipio o distrito, según el censo de población oficial vigente por diez mil (10.000), pero no podrá ser inferior a cincuenta (50). Para el Distrito Capital de Santa Fe de Bogotá, el número mínimo de miembros será de doscientos (200). En caso de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al aplicar el factor de representatividad poblacional mencionada, el resultado sea inferior a cincuenta (50), el número de miembros del comité se deberá ajustar a este mínimo señalado en la ley. </w:t>
      </w:r>
    </w:p>
    <w:p w14:paraId="6238A5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3823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Alcalde Municipal con el objeto de asegurar la participación de los usuarios en la vigilancia de la gestión y en la fiscalización de las entidades prestadoras de servicios públicos domiciliarios, velará por el cumplimiento de lo previsto en este artículo. </w:t>
      </w:r>
    </w:p>
    <w:p w14:paraId="6204F94C" w14:textId="5630126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0" w:name="ver_30076189"/>
      <w:bookmarkEnd w:id="2110"/>
    </w:p>
    <w:p w14:paraId="73DCBC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2.3.6.1.7. Faltas Absolutas. Serán faltas absolutas de los miembros del Comité de Desarrollo y Control Social. </w:t>
      </w:r>
    </w:p>
    <w:p w14:paraId="763AC5F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CA67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La muerte; </w:t>
      </w:r>
    </w:p>
    <w:p w14:paraId="3AF0BB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4920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La renuncia; </w:t>
      </w:r>
    </w:p>
    <w:p w14:paraId="50639FE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FB61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La incapacidad física permanente. </w:t>
      </w:r>
    </w:p>
    <w:p w14:paraId="16140017" w14:textId="34463A1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1" w:name="ver_30076190"/>
      <w:bookmarkEnd w:id="2111"/>
    </w:p>
    <w:p w14:paraId="185427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2.3.6.1.8. Normas de Funcionamiento de los Comités. Para garantizar el adecuado funcionamiento de los comités, estos tendrán las siguientes facultades: </w:t>
      </w:r>
    </w:p>
    <w:p w14:paraId="6F7E4B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1305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Elegir al Vocal de Control. Cada comité elegirá entre sus miembros y por decisión </w:t>
      </w:r>
      <w:proofErr w:type="spellStart"/>
      <w:r w:rsidRPr="009342F9">
        <w:rPr>
          <w:rFonts w:ascii="Arial" w:eastAsia="Times New Roman" w:hAnsi="Arial" w:cs="Arial"/>
          <w:color w:val="000000"/>
          <w:lang w:eastAsia="es-CO"/>
        </w:rPr>
        <w:t>mayoritaría</w:t>
      </w:r>
      <w:proofErr w:type="spellEnd"/>
      <w:r w:rsidRPr="009342F9">
        <w:rPr>
          <w:rFonts w:ascii="Arial" w:eastAsia="Times New Roman" w:hAnsi="Arial" w:cs="Arial"/>
          <w:color w:val="000000"/>
          <w:lang w:eastAsia="es-CO"/>
        </w:rPr>
        <w:t xml:space="preserve"> del comité en pleno, a un Vocal de Control para un período no inferior a un (1) año, quien actuará como su representante ante las entidades prestadoras de los servicios públicos domiciliarios y las entidades territoriales correspondientes y ante las autoridades nacionales, en lo que tiene que ver con la vigilancia de la gestión y la fiscalización de dichos servicios; </w:t>
      </w:r>
    </w:p>
    <w:p w14:paraId="03CA956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D33E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Elegir su Junta Directiva, la cual estará integrada por un Vocal de Control, quien la presidirá, un secretario, un tesorero, un fiscal, y un número de miembros no mayor de cinco (5) según lo establezca su reglamento. La elección de los miembros de la Junta Directiva, con excepción del Vocal de Control, se hará por el sistema de </w:t>
      </w:r>
      <w:proofErr w:type="spellStart"/>
      <w:r w:rsidRPr="009342F9">
        <w:rPr>
          <w:rFonts w:ascii="Arial" w:eastAsia="Times New Roman" w:hAnsi="Arial" w:cs="Arial"/>
          <w:color w:val="000000"/>
          <w:lang w:eastAsia="es-CO"/>
        </w:rPr>
        <w:t>cuociente</w:t>
      </w:r>
      <w:proofErr w:type="spellEnd"/>
      <w:r w:rsidRPr="009342F9">
        <w:rPr>
          <w:rFonts w:ascii="Arial" w:eastAsia="Times New Roman" w:hAnsi="Arial" w:cs="Arial"/>
          <w:color w:val="000000"/>
          <w:lang w:eastAsia="es-CO"/>
        </w:rPr>
        <w:t xml:space="preserve"> electoral a través de planchas en las cuales deberán aparecer los candidatos en el siguiente orden: </w:t>
      </w:r>
      <w:proofErr w:type="gramStart"/>
      <w:r w:rsidRPr="009342F9">
        <w:rPr>
          <w:rFonts w:ascii="Arial" w:eastAsia="Times New Roman" w:hAnsi="Arial" w:cs="Arial"/>
          <w:color w:val="000000"/>
          <w:lang w:eastAsia="es-CO"/>
        </w:rPr>
        <w:t>Secretario</w:t>
      </w:r>
      <w:proofErr w:type="gramEnd"/>
      <w:r w:rsidRPr="009342F9">
        <w:rPr>
          <w:rFonts w:ascii="Arial" w:eastAsia="Times New Roman" w:hAnsi="Arial" w:cs="Arial"/>
          <w:color w:val="000000"/>
          <w:lang w:eastAsia="es-CO"/>
        </w:rPr>
        <w:t>, tesorero, fiscal y el número impar de miembros que corresponda; </w:t>
      </w:r>
    </w:p>
    <w:p w14:paraId="7C016A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4E0D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Los vocales de control y los miembros de la Junta Directiva de los Comités de Desarrollo y Control Social, el día de su elección tomarán posesión ante los comités; </w:t>
      </w:r>
    </w:p>
    <w:p w14:paraId="166C8C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47EC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Dictar su propio reglamento, el cual contendrá como mínimo disposiciones sobre los siguientes aspectos: determinación del servicio o servicios objeto de fiscalización por parte del comité, mecanismos para acreditar la calidad de los miembros del comité, derechos, deberes y prohibiciones de sus miembros, estructura y funciones de la Junta Directiva, clases de reuniones, su convocatoria y quórum, procedimientos para modificar el reglamento, período de elección y causales de remoción del Vocal de Control y causales de disolución del comité; </w:t>
      </w:r>
    </w:p>
    <w:p w14:paraId="2B51A4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24FD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Remover en cualquier tiempo, al Vocal de Control por decisión tomada por la mayoría absoluta de los miembros del comité, según las causales que se establezcan en su reglamento. </w:t>
      </w:r>
    </w:p>
    <w:p w14:paraId="0417D87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D6EE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 Reglamentar la destinación de los fondos que sean adjudicados al Comité de Desarrollo y Control Social, cuando éste a través de su Vocal de Control o alguno de los miembros de su Junta Directiva, haya iniciado, impulsado o colaborado en un procedimiento administrativo de que trata el numeral 11 del </w:t>
      </w:r>
      <w:proofErr w:type="spellStart"/>
      <w:r w:rsidRPr="009342F9">
        <w:rPr>
          <w:rFonts w:ascii="Arial" w:eastAsia="Times New Roman" w:hAnsi="Arial" w:cs="Arial"/>
          <w:color w:val="000000"/>
          <w:lang w:eastAsia="es-CO"/>
        </w:rPr>
        <w:t>articulo</w:t>
      </w:r>
      <w:proofErr w:type="spellEnd"/>
      <w:r w:rsidRPr="009342F9">
        <w:rPr>
          <w:rFonts w:ascii="Arial" w:eastAsia="Times New Roman" w:hAnsi="Arial" w:cs="Arial"/>
          <w:color w:val="000000"/>
          <w:lang w:eastAsia="es-CO"/>
        </w:rPr>
        <w:t xml:space="preserve"> 79 de la Ley 142 de 1994, dentro de los parámetros establecidos por la citada norma, de conformidad con la reglamentación que sobre el particular expida la Superintendencia de Servicios Públicos. </w:t>
      </w:r>
    </w:p>
    <w:p w14:paraId="4D874AC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A4BD42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comités fijarán en su reglamento la destinación de los fondos de que trata el presente literal, procurando que la orientación de dichos recursos contribuya a la solución de los problemas relacionados con la prestación de los servicios públicos domiciliarios en el municipio correspondiente. </w:t>
      </w:r>
    </w:p>
    <w:p w14:paraId="2A1701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8E9A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f) Establecer las formas que el comité deba utilizar para la consecución de recursos destinados al cubrimiento de los gastos de funcionamiento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w:t>
      </w:r>
    </w:p>
    <w:p w14:paraId="2CDAFB0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DBF49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Proponer ante las entidades de servicios públicos domiciliarios los planes y programas que consideren necesarios para resolver las deficiencias en la prestación de los servicios públicos domiciliarios; </w:t>
      </w:r>
    </w:p>
    <w:p w14:paraId="7C43D4B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438A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h) Procurar que la comunidad dentro de sus posibilidades aporte los recursos logísticos o de cualquier otro orden, para </w:t>
      </w: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mediante la acción concertada de la comunidad con los municipios y las entidades, promuevan la expansión o el mejoramiento de los servicios públicos domiciliarios. </w:t>
      </w:r>
    </w:p>
    <w:p w14:paraId="2719C9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45C1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Solicitar la modificación o reforma, en primera instancia ante los comités de estratificación y en segunda instancia ante la Superintendencia de Servicios Públicos Domiciliarios, de las decisiones que se adopten en materia de estratificación; </w:t>
      </w:r>
    </w:p>
    <w:p w14:paraId="461BE1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9B3B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Estudiar y analizar el monto de los subsidios que debe conceder el municipio con arreglo a la ley, examinar los criterios y mecanismos de reparto de esos subsidios; y proponer las medidas que sean pertinentes para tal efecto; </w:t>
      </w:r>
    </w:p>
    <w:p w14:paraId="7C4FB6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0CA12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k) Solicitar al personero municipal la imposición de multas hasta de diez (10) salarios mínimos mensuales, a las entidades que presten servicios públicos domiciliarios en el territorio de su competencia, por las infracciones a la Ley 142 de 1994 o por violación a las normas especiales a las que deben estar sujetas, cuando de ellas se deriven perjuicios para los usuarios; </w:t>
      </w:r>
    </w:p>
    <w:p w14:paraId="148E65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DC8D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 Colaborar con las entidades prestadoras de los servicios públicos domiciliarios, con las autoridades del Gobierno Nacional, y con las demás organizaciones cívicas y comunitarias de la entidad territorial en la realización de programas y campañas de racionalización del uso de los servicios; </w:t>
      </w:r>
    </w:p>
    <w:p w14:paraId="691B155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0E95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m) Colaborar con los organismos de control, en sus actuaciones de forma tal que se represente a la comunidad, se cumpla con el principio de celeridad y economía de la función administrativa, y se coadyuve a las entidades prestadoras de los servicios públicos domiciliarios a mejorar aquellos aspectos en la prestación del servicio en los que existan deficiencias; </w:t>
      </w:r>
    </w:p>
    <w:p w14:paraId="7D8E1D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0D6D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n) Velar porque los mecanismos creados para una adecuada información a los usuarios, sobre las actividades y el funcionamiento de las entidades prestadoras de los servicios públicos domiciliarios, así como de los derechos y obligaciones que les asisten, sean efectivos y cumplan su cometido; </w:t>
      </w:r>
    </w:p>
    <w:p w14:paraId="2E28A06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9EB5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o) Recibir y evaluar el informe trimestral que de su gestión presente Vocal de Control; </w:t>
      </w:r>
    </w:p>
    <w:p w14:paraId="4E92F7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3D1B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 Rendir un informe anual a la asamblea de usuarios; </w:t>
      </w:r>
    </w:p>
    <w:p w14:paraId="7E4796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7455B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 Las demás que le sean asignadas por la ley. </w:t>
      </w:r>
    </w:p>
    <w:p w14:paraId="5908F97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5715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1º. Las funciones contenidas en los literales a), b), c), d), e), f), g), del presente artículo son indelegables. Las demás podrán delegarse en el Vocal de Control, Junta Directiva o comisiones de su seno. </w:t>
      </w:r>
    </w:p>
    <w:p w14:paraId="4FE4D1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39541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De acuerdo con lo establecido en el inciso 1 del artículo 62 de la Ley 142 de 1994, el ejercicio de las funciones de los miembros del comité no causa honorarios a su favor. </w:t>
      </w:r>
    </w:p>
    <w:p w14:paraId="6A5C88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F9A1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3º. Los aspectos relativos a la aprobación del reglamento, a la elección del Vocal de Control y a la de miembros de la Junta Directiva del Comité, deberán constar por escrito en su acta. </w:t>
      </w:r>
    </w:p>
    <w:p w14:paraId="01693299" w14:textId="3413FF9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2" w:name="ver_30076191"/>
      <w:bookmarkEnd w:id="2112"/>
    </w:p>
    <w:p w14:paraId="3BC6CE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2.3.6.1.9. Derechos y deberes de los miembros de los Comités de Desarrollo y Control Social. Todo miembro de un comité tendrá los siguientes derechos y deberes: </w:t>
      </w:r>
    </w:p>
    <w:p w14:paraId="54F2C9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38F4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Elegir y ser elegido Vocal de Control o miembro de la Junta Directiva del Comité; </w:t>
      </w:r>
    </w:p>
    <w:p w14:paraId="0116C0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F0C9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Asistir con voz y voto a las sesiones del comité; </w:t>
      </w:r>
    </w:p>
    <w:p w14:paraId="107F7B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C1F0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Participar activamente en el desempeño de las funciones de los comités; </w:t>
      </w:r>
    </w:p>
    <w:p w14:paraId="7C3E55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625E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Actuar dentro del marco de los principios jurídicos democráticos y participativos, mediante la presentación de peticiones respetuosas ante las autoridades y entidades prestadoras de los servicios públicos domiciliarios, conforme a la ley, y obtener respuesta a las mismas por parte de las autoridades competentes; </w:t>
      </w:r>
    </w:p>
    <w:p w14:paraId="1ECD30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BBFB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Apoyar al Vocal de Control en el ejercicio de sus funciones; </w:t>
      </w:r>
    </w:p>
    <w:p w14:paraId="06B9342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11CBB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Exigir en las reuniones del comité la rendición de los informes correspondientes por parte del Vocal de Control, secretario, tesorero, fiscal y además miembros de la Junta Directiva. </w:t>
      </w:r>
    </w:p>
    <w:p w14:paraId="0083D62D" w14:textId="73D7EC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3" w:name="ver_30076192"/>
      <w:bookmarkEnd w:id="2113"/>
    </w:p>
    <w:p w14:paraId="5CBC1C0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2.3.6.1.10. Impugnación del Vocal de Control. La elección del Vocal de Control podrá impugnarse ante el Personero del municipio donde se realice ésta. Las decisiones del Personero sobre dicha </w:t>
      </w:r>
      <w:proofErr w:type="gramStart"/>
      <w:r w:rsidRPr="009342F9">
        <w:rPr>
          <w:rFonts w:ascii="Arial" w:eastAsia="Times New Roman" w:hAnsi="Arial" w:cs="Arial"/>
          <w:color w:val="000000"/>
          <w:lang w:eastAsia="es-CO"/>
        </w:rPr>
        <w:t>impugnación,</w:t>
      </w:r>
      <w:proofErr w:type="gramEnd"/>
      <w:r w:rsidRPr="009342F9">
        <w:rPr>
          <w:rFonts w:ascii="Arial" w:eastAsia="Times New Roman" w:hAnsi="Arial" w:cs="Arial"/>
          <w:color w:val="000000"/>
          <w:lang w:eastAsia="es-CO"/>
        </w:rPr>
        <w:t xml:space="preserve"> serán apelables ante la Superintendencia de Servicios Públicos Domiciliarios. </w:t>
      </w:r>
    </w:p>
    <w:p w14:paraId="378CA57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9B4B8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Será causal de mala conducta para cualquier servidor público y en general, para cualquier funcionario de una entidad prestadora de uno o varios de los servicios públicos domiciliarios, entorpecer o dilatar la elección de los mencionados vocales, así como coartar la libertad de los electores o intervenir de cualquier forma en favor o en contra de los candidatos. </w:t>
      </w:r>
    </w:p>
    <w:p w14:paraId="4E441F11" w14:textId="3889CA6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4" w:name="ver_30076193"/>
      <w:bookmarkEnd w:id="2114"/>
    </w:p>
    <w:p w14:paraId="2668B2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2.3.6.1.11. Procedimientos de Impugnación. La impugnación de la elección de un Vocal de </w:t>
      </w:r>
      <w:proofErr w:type="gramStart"/>
      <w:r w:rsidRPr="009342F9">
        <w:rPr>
          <w:rFonts w:ascii="Arial" w:eastAsia="Times New Roman" w:hAnsi="Arial" w:cs="Arial"/>
          <w:color w:val="000000"/>
          <w:lang w:eastAsia="es-CO"/>
        </w:rPr>
        <w:t>Control,</w:t>
      </w:r>
      <w:proofErr w:type="gramEnd"/>
      <w:r w:rsidRPr="009342F9">
        <w:rPr>
          <w:rFonts w:ascii="Arial" w:eastAsia="Times New Roman" w:hAnsi="Arial" w:cs="Arial"/>
          <w:color w:val="000000"/>
          <w:lang w:eastAsia="es-CO"/>
        </w:rPr>
        <w:t xml:space="preserve"> podrá ser intentada dentro de los dos meses siguientes a la misma y se tramitará ante el personero del municipio en cuya jurisdicción va a funcionar el comité, con sujeción a las reglas previstas en el Código de Procedimiento Administrativo y de lo Contencioso Administrativo para el ejercicio del derecho de petición en interés general. </w:t>
      </w:r>
    </w:p>
    <w:p w14:paraId="7B6B726D" w14:textId="7B6856C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5" w:name="ver_30076194"/>
      <w:bookmarkEnd w:id="2115"/>
    </w:p>
    <w:p w14:paraId="6411BE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2.3.6.1.12. Funciones de los Vocales de Control. Los Vocales de Control ejercerán las siguientes funciones: </w:t>
      </w:r>
    </w:p>
    <w:p w14:paraId="17D28EF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3C3DC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Solicitar la inscripción del Comité de Desarrollo y Control Social ante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Para ello deberá presentar copia del acta de la respectiva asamblea constitutiva en los términos del artículo 2.3.6.1.3 de este capítulo. Igual trámite se surtirá con la inscripción del Vocal de Control, para lo cual adjuntará el acta de la reunión del comité en que se efectuó su elección. El reconocimiento e inscripción ante las entidades prestadoras de los servicios públicos domiciliarios objeto de su fiscalización, se hará de conformidad con lo dispuesto en el artículo 2.3.6.1.16 de este capítulo. </w:t>
      </w:r>
    </w:p>
    <w:p w14:paraId="0C01E3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8B10A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Así mismo, informará a la Superintendencia de Servicios Públicos Domiciliarios de la conformación del comité y de su elección como Vocal de Control. Para ello deberá presentar copia del acto administrativo de reconocimiento del comité, expedido por el Alcalde Municipal y copia del acta de la reunión del comité en que se efectuó su elección como Vocal de Control; </w:t>
      </w:r>
    </w:p>
    <w:p w14:paraId="550B5A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A517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Informar a la comunidad acerca de sus derechos y deberes en materia de servicios públicos domiciliarios, y ayudarlos a defender aquéllos y a cumplir éstos; </w:t>
      </w:r>
    </w:p>
    <w:p w14:paraId="6B72E48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B60AD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Recibir informes de los usuarios, suscriptores o suscriptores potenciales del respectivo servicio, acerca del funcionamiento de las entidades prestadoras de los servicios públicos domiciliarios objeto de su fiscalización, evaluarlos y promover ante éstas y frente a las autoridades municipales, departamentales y nacionales las medidas correctivas, que sean competencia de cada una de ellas; </w:t>
      </w:r>
    </w:p>
    <w:p w14:paraId="2FCA1D3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CEA0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Dar atención oportuna a todas las consultas y tramitar las quejas y denuncias que le formulen al comité; </w:t>
      </w:r>
    </w:p>
    <w:p w14:paraId="4CFB43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67776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Rendir trimestralmente al comité, informe de las labores adelantadas en ejercicio de sus funciones y recibir del mismo sus observaciones; </w:t>
      </w:r>
    </w:p>
    <w:p w14:paraId="425DCAB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36D6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Custodiar y llevar el registro de los usuarios, suscriptores o suscriptores potenciales que cumplan con los requisitos de ley y que hayan asistido a la asamblea constitutiva, o que con posterioridad a ella desean participar en la asamblea de usuarios; </w:t>
      </w:r>
    </w:p>
    <w:p w14:paraId="09C354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86645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g) Presidir las asambleas de usuarios y la Junta Directiva del comité; </w:t>
      </w:r>
    </w:p>
    <w:p w14:paraId="2FC451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96F95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h) Ser miembro, de las juntas directivas de las empresas oficiales de servicios públicos domiciliarios del orden municipal, o del comité de estratificación local, cuando sea asignado por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w:t>
      </w:r>
    </w:p>
    <w:p w14:paraId="68C5F3A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D2176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 Ejercer las funciones que le delegue el comité en pleno; </w:t>
      </w:r>
    </w:p>
    <w:p w14:paraId="57D6AF1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072C4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j) Someter a la vigilancia del fiscal los libros de cuentas de la Tesorería del comité; </w:t>
      </w:r>
    </w:p>
    <w:p w14:paraId="483A07A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44F2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k) Las demás que le asigne la ley. </w:t>
      </w:r>
    </w:p>
    <w:p w14:paraId="72A231C9" w14:textId="19ABA20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6" w:name="ver_30076195"/>
      <w:bookmarkEnd w:id="2116"/>
    </w:p>
    <w:p w14:paraId="535CE3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2.3.6.1.13. Prohibición a los Vocales de Control. El Vocal de Control no podrá invocar su calidad de tal para obtener beneficio personal, ni actuar motivado por intereses políticos o ajenos a sus funciones, ni efectuar cobros a sus representados por realizar gestiones ante las entidades prestadoras de servicios públicos domiciliarios. </w:t>
      </w:r>
    </w:p>
    <w:p w14:paraId="2D83482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74CD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contravención a esta prohibición dará lugar a las correspondientes sanciones de carácter legal y será causal de su remoción por parte del comité. </w:t>
      </w:r>
    </w:p>
    <w:p w14:paraId="248690D6" w14:textId="08B1B92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7" w:name="ver_30076196"/>
      <w:bookmarkEnd w:id="2117"/>
    </w:p>
    <w:p w14:paraId="596F1D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2.3.6.1.14. Incompatibilidades e Inhabilidades de los Vocales de Control. Las personas que cumplan la función de Vocales de Control de los comités de desarrollo y control social de los servicios públicos domiciliarios, sus cónyuges y compañeros permanentes y sus parientes dentro del tercer grado de consanguinidad, segundo de afinidad, y primero civil, así como quienes sean sus socios en sociedades de personas, no podrán ser socios ni participar en la administración de las empresas de servicios públicos que desarrollen sus actividades en el respectivo municipio, ni contratar con ella, con las Comisiones de Regulación, ni con la Superintendencia de Servicios Públicos Domiciliarios. </w:t>
      </w:r>
    </w:p>
    <w:p w14:paraId="16B8C99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19927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incompatibilidad e inhabilidad se extenderá hasta dos años después de haber cesado el hecho que le dio origen. </w:t>
      </w:r>
    </w:p>
    <w:p w14:paraId="5214FAC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9E5A7C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celebración de los contratos de servicios públicos o, en general, de los que se celebren en igualdad de condiciones con quien los solicite, no dar lugar a aplicar estas incompatibilidades o inhabilidades. </w:t>
      </w:r>
    </w:p>
    <w:p w14:paraId="09F77302" w14:textId="0C4B2F7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8" w:name="ver_30076197"/>
      <w:bookmarkEnd w:id="2118"/>
    </w:p>
    <w:p w14:paraId="7503B7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2.3.6.1.15. Interacción de los </w:t>
      </w:r>
      <w:proofErr w:type="gramStart"/>
      <w:r w:rsidRPr="009342F9">
        <w:rPr>
          <w:rFonts w:ascii="Arial" w:eastAsia="Times New Roman" w:hAnsi="Arial" w:cs="Arial"/>
          <w:color w:val="000000"/>
          <w:lang w:eastAsia="es-CO"/>
        </w:rPr>
        <w:t>Alcaldes</w:t>
      </w:r>
      <w:proofErr w:type="gramEnd"/>
      <w:r w:rsidRPr="009342F9">
        <w:rPr>
          <w:rFonts w:ascii="Arial" w:eastAsia="Times New Roman" w:hAnsi="Arial" w:cs="Arial"/>
          <w:color w:val="000000"/>
          <w:lang w:eastAsia="es-CO"/>
        </w:rPr>
        <w:t xml:space="preserve"> con los Comités. Corresponde a los </w:t>
      </w:r>
      <w:proofErr w:type="gramStart"/>
      <w:r w:rsidRPr="009342F9">
        <w:rPr>
          <w:rFonts w:ascii="Arial" w:eastAsia="Times New Roman" w:hAnsi="Arial" w:cs="Arial"/>
          <w:color w:val="000000"/>
          <w:lang w:eastAsia="es-CO"/>
        </w:rPr>
        <w:t>Alcaldes</w:t>
      </w:r>
      <w:proofErr w:type="gramEnd"/>
      <w:r w:rsidRPr="009342F9">
        <w:rPr>
          <w:rFonts w:ascii="Arial" w:eastAsia="Times New Roman" w:hAnsi="Arial" w:cs="Arial"/>
          <w:color w:val="000000"/>
          <w:lang w:eastAsia="es-CO"/>
        </w:rPr>
        <w:t>: </w:t>
      </w:r>
    </w:p>
    <w:p w14:paraId="2AA802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A734F9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 Velar por la conformación de los comités en la entidad territorial de su jurisdicción. Para tal efecto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apoyará a los usuarios en la convocatoria de las asambleas constitutivas de los Comités de Desarrollo y Control Social del territorio de su jurisdicción. </w:t>
      </w:r>
    </w:p>
    <w:p w14:paraId="04C1553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EDB3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b) Reconocer dentro de los ocho (8) días hábiles siguientes, contados desde la fecha de radicación de la solicitud, a los comités que solicite su inscripción. No habrá lugar al reconocimiento por parte del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en el evento en que el comité cuyo reconocimiento se solicita, no cumpla con los requisitos legales que para su constitución que se encuentran establecidos en la Ley 142 de 1994 y en este capítulo. El acto administrativo correspondiente estará sujeto al recurso de reposición en los términos del Código de Procedimiento Administrativo y de lo Contencioso Administrativo. </w:t>
      </w:r>
    </w:p>
    <w:p w14:paraId="44FFD4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5754AF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la solicitud no reúna los requisitos de ley, previa la expedición del acto administrativo que decida sobre el reconocimiento e inscripción del comité, el </w:t>
      </w:r>
      <w:proofErr w:type="gramStart"/>
      <w:r w:rsidRPr="009342F9">
        <w:rPr>
          <w:rFonts w:ascii="Arial" w:eastAsia="Times New Roman" w:hAnsi="Arial" w:cs="Arial"/>
          <w:color w:val="000000"/>
          <w:lang w:eastAsia="es-CO"/>
        </w:rPr>
        <w:t>Alcalde</w:t>
      </w:r>
      <w:proofErr w:type="gramEnd"/>
      <w:r w:rsidRPr="009342F9">
        <w:rPr>
          <w:rFonts w:ascii="Arial" w:eastAsia="Times New Roman" w:hAnsi="Arial" w:cs="Arial"/>
          <w:color w:val="000000"/>
          <w:lang w:eastAsia="es-CO"/>
        </w:rPr>
        <w:t xml:space="preserve"> concederá un plazo de cinco (5) días hábiles para que los interesados corrijan o adicionen su solicitud con los requisitos faltantes; </w:t>
      </w:r>
    </w:p>
    <w:p w14:paraId="1FC896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D41B6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Llevar un registro actualizado de los Comités de Desarrollo y Control Social que sean reconocidos e inscritos por la alcaldía municipal, así como de los respectivos Vocales de Control; </w:t>
      </w:r>
    </w:p>
    <w:p w14:paraId="0D02B00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27D57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Colaborar con los comités mediante su capacitación y asesoría permanente; </w:t>
      </w:r>
    </w:p>
    <w:p w14:paraId="0235C0D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333432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Escoger entre los Vocales de Control de los Comités de Desarrollo y Control Social del respectivo servicio, registrados ante la alcaldía, aquellos Vocales que conformarán la tercera parte de los miembros de la Junta Directiva de las empresas oficiales de servicios públicos domiciliarios del orden municipal. La escogencia deberá ser comunicada por escrito a los respectivos Vocales de Control. </w:t>
      </w:r>
    </w:p>
    <w:p w14:paraId="40A339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0D1C1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ejercicio de sus funciones, el Superintendente de Servicios Públicos y demás autoridades competentes, podrán imponer las sanciones contempladas en la ley, cuando dicha escogencia no haya sido realizada con estricta observancia de los principios contenidos en el artículo 27 numerales 3 y 5 de la Ley 142 de 1994 y del presente capítulo. </w:t>
      </w:r>
    </w:p>
    <w:p w14:paraId="19F0BB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348926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estos efectos, la superintendencia remitirá a las demás autoridades competentes los documentos relacionados con la investigación que adelante, para que éstas tomen las medidas que estimen pertinentes. </w:t>
      </w:r>
    </w:p>
    <w:p w14:paraId="5225149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394C8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Las demás que les asigne la ley. </w:t>
      </w:r>
    </w:p>
    <w:p w14:paraId="495064F8" w14:textId="462D68E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19" w:name="ver_30076198"/>
      <w:bookmarkEnd w:id="2119"/>
    </w:p>
    <w:p w14:paraId="2C3E6D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2.3.6.1.16. Interacción de las entidades prestadoras de los servicios públicos domiciliarios con los Comités. Corresponde a las entidades prestadoras de los servicios públicos domiciliarios: </w:t>
      </w:r>
    </w:p>
    <w:p w14:paraId="71F098C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21837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Reconocer de oficio e inscribir los Comités de Desarrollo de Control Social conformados para fiscalizar el respectivo servicio o servicios, así como a los respectivos Vocales de Control, cuando estos presenten el acto administrativo mediante el cual fueron reconocidos e inscritos ante la alcaldía y el acta en que conste la elección del Vocal de Control; </w:t>
      </w:r>
    </w:p>
    <w:p w14:paraId="3EBDA4E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6D0E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Dar atención oportuna a las consultas y solicitudes de información que formulen los Vocales de Control y tramitar las quejas y denuncias que éstos planteen ante la empresa; </w:t>
      </w:r>
    </w:p>
    <w:p w14:paraId="4ED1849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D84AA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Llevar un registro actualizado de los comités inscritos y de sus correspondientes Vocales de Control; </w:t>
      </w:r>
    </w:p>
    <w:p w14:paraId="42B4D28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FDEB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Las demás que les asigne la ley. </w:t>
      </w:r>
    </w:p>
    <w:p w14:paraId="1BDD71CD" w14:textId="05841D9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0" w:name="ver_30076199"/>
      <w:bookmarkEnd w:id="2120"/>
    </w:p>
    <w:p w14:paraId="196378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2.3.6.1.17. Interacción de los gobernadores con los comités. Corresponde a los gobernadores: </w:t>
      </w:r>
    </w:p>
    <w:p w14:paraId="181F562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5385B3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Promover y coordinar la participación de la población en la constitución de los comités, mediante una acción extensiva en todo el territorio de su jurisdicción; </w:t>
      </w:r>
    </w:p>
    <w:p w14:paraId="5E10FF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D1A32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Apoyar y promover asociaciones departamentales de comités; </w:t>
      </w:r>
    </w:p>
    <w:p w14:paraId="011171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293F4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Asegurar en coordinación con los municipios y con la Superintendencia de Servicios Públicos Domiciliarios, la capacitación de los Vocales de Control dotándolos de instrumentos básicos que les permitan organizar mejor su trabajo y contar con la información necesaria para representar a los comités; </w:t>
      </w:r>
    </w:p>
    <w:p w14:paraId="6A6C7F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57A9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Las demás que les asigne la ley. </w:t>
      </w:r>
    </w:p>
    <w:p w14:paraId="23A33FB8" w14:textId="4B25445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1" w:name="ver_30076200"/>
      <w:bookmarkEnd w:id="2121"/>
    </w:p>
    <w:p w14:paraId="48D044E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2.3.6.1.18. Interacción de la Superintendencia de Servicios Públicos Domiciliarios con los comités. Corresponde a la Superintendencia de Servicios Públicos Domiciliarios: </w:t>
      </w:r>
    </w:p>
    <w:p w14:paraId="78EFD0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2CC00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 En coordinación con los departamentos y municipios, asegurar la capacitación de los vocales dotándolos de instrumentos básicos que les permitan organizar mejor su trabajo y contar con la información necesaria para representar a los comités; </w:t>
      </w:r>
    </w:p>
    <w:p w14:paraId="06CF64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D5E804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 Diseñar y poner en funcionamiento un sistema de vigilancia y control que permita apoyar las tareas de los Comités de Desarrollo y Control Social. Con tal fin la Superintendencia deberá proporcionar a las autoridades territoriales, el apoyo técnico necesario, la capacitación, orientación y los elementos de difusión necesarias para la promoción de la participación de la comunidad; </w:t>
      </w:r>
    </w:p>
    <w:p w14:paraId="0D6D056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743A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 Llevar un sistema de información actualizado de los comités existentes y de su correspondiente vocal; </w:t>
      </w:r>
    </w:p>
    <w:p w14:paraId="47ED4A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4489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d) Decidir los recursos de apelación en relación con las disposiciones que en primera instancia adoptes los personeros sobre la impugnación de la elección de los Vocales de Control; </w:t>
      </w:r>
    </w:p>
    <w:p w14:paraId="615BE0D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CCB2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 Sancionar a las empresas que no respondan en forma oportuna y adecuada las quejas de los usuarios; </w:t>
      </w:r>
    </w:p>
    <w:p w14:paraId="73F16C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FE114E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f) Las demás que les sean asignan por la ley. </w:t>
      </w:r>
    </w:p>
    <w:p w14:paraId="48EBFF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C69D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1º. De conformidad con lo establecido en el numeral 4 del artículo 105 de la Ley 142 de 1994, la Superintendencia podrá delegar el ejercicio de todas o algunas de las funciones contenidas en el presente artículo en otras autoridades administrativas del orden departamental o municipal, así como celebrar contratos con otras entidades públicas o privadas para el mejor cumplimiento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w:t>
      </w:r>
    </w:p>
    <w:p w14:paraId="7E939AB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A28E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2º. La Superintendencia de Servicios Públicos Domiciliarios, reglamentará los procedimientos y términos para el adecuado desarrollo de este artículo. </w:t>
      </w:r>
    </w:p>
    <w:p w14:paraId="5782BE66" w14:textId="2EA0B7B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2" w:name="ver_30076201"/>
      <w:bookmarkEnd w:id="2122"/>
    </w:p>
    <w:p w14:paraId="4DCF2CA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2.3.6.1.19. Definición de Apoyo técnico y dotación de instrumentos básicos. Para los efectos de las funciones consagradas en los artículos anteriores, se entiende por “Apoyo técnico y dotación de instrumentos básicos”, el suministro de material pedagógico, bibliográfico, ayudas audiovisuales y didácticas que le permitan tanto a las autoridades territoriales, como a los Vocales de Control inscritos ante la Superintendencia, el adecuado ejercicio de sus funciones y derechos, así como el cumplimiento de sus deberes, dentro del marco de las disposiciones contenidas en la Ley 142 de 1994, en este capítulo y en las resoluciones que expidan las entidades de regulación. </w:t>
      </w:r>
    </w:p>
    <w:p w14:paraId="48D29A36" w14:textId="4085502D"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3" w:name="ver_30076202"/>
      <w:bookmarkEnd w:id="2123"/>
    </w:p>
    <w:p w14:paraId="5272E5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2.3.6.1.20. Coordinación Interinstitucional. La Superintendencia de Servicios Públicos Domiciliarios, el Ministerio de Vivienda, Ciudad y Desarrollo el Ministerio de Minas y Energía, el Ministerio de Tecnologías de la Información y las Comunicaciones y las Comisiones de Regulación de los Servicios Públicos, coordinarán e integrarán sus esfuerzos y recursos humanos y presupuestales con el propósito de cumplir de forma eficiente, integral y efectiva las funciones que la ley 142 de 1994 asignó en materia de participación comunitaria a las mencionadas entidades. </w:t>
      </w:r>
    </w:p>
    <w:p w14:paraId="4A00313F" w14:textId="0BCF7881"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4" w:name="ver_30076203"/>
      <w:bookmarkEnd w:id="2124"/>
    </w:p>
    <w:p w14:paraId="721CF958" w14:textId="197C20BA"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2</w:t>
      </w:r>
    </w:p>
    <w:p w14:paraId="5C969655"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FACTURACIÓN CONJUNTA</w:t>
      </w:r>
    </w:p>
    <w:p w14:paraId="1812345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25" w:name="ver_30076204"/>
      <w:bookmarkEnd w:id="2125"/>
    </w:p>
    <w:p w14:paraId="0D6EB1F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2.3.6.2.1. Ámbito de aplicación. El presente capítulo se aplica a todas las entidades prestadoras de los servicios públicos domiciliarios de las que trata la Ley 142 de 1994. </w:t>
      </w:r>
    </w:p>
    <w:p w14:paraId="2D9046A2" w14:textId="09E903E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6" w:name="ver_30076205"/>
      <w:bookmarkEnd w:id="2126"/>
    </w:p>
    <w:p w14:paraId="12F28DD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2.3.6.2.2. Liquidación del servicio de facturación. Las entidades prestadoras de los servicios públicos </w:t>
      </w:r>
      <w:proofErr w:type="gramStart"/>
      <w:r w:rsidRPr="009342F9">
        <w:rPr>
          <w:rFonts w:ascii="Arial" w:eastAsia="Times New Roman" w:hAnsi="Arial" w:cs="Arial"/>
          <w:color w:val="000000"/>
          <w:lang w:eastAsia="es-CO"/>
        </w:rPr>
        <w:t>domiciliarios,</w:t>
      </w:r>
      <w:proofErr w:type="gramEnd"/>
      <w:r w:rsidRPr="009342F9">
        <w:rPr>
          <w:rFonts w:ascii="Arial" w:eastAsia="Times New Roman" w:hAnsi="Arial" w:cs="Arial"/>
          <w:color w:val="000000"/>
          <w:lang w:eastAsia="es-CO"/>
        </w:rPr>
        <w:t xml:space="preserve"> sólo podrán cobrar a la empresa solicitante del servicio de facturación conjunta, el valor de los costos directos marginales que signifique la incorporación de la facturación del servicio de aseo y alcantarillado generados por causa de la modificación del sistema existente. </w:t>
      </w:r>
    </w:p>
    <w:p w14:paraId="7E394F6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A7B6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determinación de dichos costos, se harán con base en los análisis de costos unitarios. </w:t>
      </w:r>
    </w:p>
    <w:p w14:paraId="77FFDAF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8082F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No se podrán dar por terminado los convenios de facturación conjunta vigentes, hasta tanto no se garantice la celebración de un nuevo contrato con otra empresa prestadora de servicios públicos. </w:t>
      </w:r>
    </w:p>
    <w:p w14:paraId="362CDEA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2656FF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Costos directos de facturación. Son los costos en que incurre la entidad prestadora del servicio público domiciliario para generar la factura, distribuirla a sus usuarios y hacer el recaudo por todo concepto. </w:t>
      </w:r>
    </w:p>
    <w:p w14:paraId="3D63CA54" w14:textId="5ED1DFD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7" w:name="ver_30076206"/>
      <w:bookmarkEnd w:id="2127"/>
    </w:p>
    <w:p w14:paraId="3855C82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2.3.6.2.3. Libertad de elección. Para estos efectos la facultad de elección de empresa solicitante la facturación es absolutamente potestativa de la empresa prestadora del servicio de saneamiento básico. </w:t>
      </w:r>
    </w:p>
    <w:p w14:paraId="4DECD05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0A43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Empresa solicitante. Es la entidad que presta el o los servicios de saneamiento básico y que requiere facturar en forma conjunta con otra empresa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lo establecido en el artículo 147 de la Ley 142/94. </w:t>
      </w:r>
    </w:p>
    <w:p w14:paraId="60A7D3C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753D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Empresa concedente. Es la empresa que a juicio de la empresa solicitante brinda o tiene las condiciones para poder facturar en forma conjunta. </w:t>
      </w:r>
    </w:p>
    <w:p w14:paraId="5510A654" w14:textId="0AFD35BE"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8" w:name="ver_30076207"/>
      <w:bookmarkEnd w:id="2128"/>
    </w:p>
    <w:p w14:paraId="7AC9C3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2.3.6.2.4. Obligaciones. Será obligatorio para las entidades prestadoras de servicios públicos domiciliarios facturar los servicios de alcantarillado y aseo, suscribir el convenio de facturación conjunta, distribución y/o recaudo de pagos; así como garantizar la continuidad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si son del caso, salvo que existan razones técnicas insalvables comprobables que justifiquen la imposibilidad de hacerlo. Esta justificación se acreditará ante la Superintendencia de Servicios Públicos Domiciliarios. </w:t>
      </w:r>
    </w:p>
    <w:p w14:paraId="2950727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43AA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prestador que asuma estos procesos, por libre elección del prestador del servicio de aseo y/o alcantarillado, no podrá imponer condiciones que atenten contra la libre competencia ni abusar de una posible posición dominante. </w:t>
      </w:r>
    </w:p>
    <w:p w14:paraId="11068FEC" w14:textId="79D3A659"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29" w:name="ver_30076208"/>
      <w:bookmarkEnd w:id="2129"/>
    </w:p>
    <w:p w14:paraId="4EEF5DAB" w14:textId="046E2824"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CAPÍTULO 3</w:t>
      </w:r>
    </w:p>
    <w:p w14:paraId="4FE947C1" w14:textId="77777777" w:rsidR="00FC79C1"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REGLAS MÍNIMAS PARA GARANTIZAR LA DIVULGACIÓN Y LA PARTICIPACIÓN EN LAS ACTUACIONES DE LAS COMISIONES DE REGULACIÓN</w:t>
      </w:r>
    </w:p>
    <w:p w14:paraId="5B1350C5" w14:textId="77777777" w:rsidR="004E79A7" w:rsidRPr="009342F9" w:rsidRDefault="004E79A7" w:rsidP="0015442F">
      <w:pPr>
        <w:spacing w:after="0" w:line="240" w:lineRule="auto"/>
        <w:jc w:val="center"/>
        <w:rPr>
          <w:rFonts w:ascii="Arial" w:eastAsia="Times New Roman" w:hAnsi="Arial" w:cs="Arial"/>
          <w:b/>
          <w:bCs/>
          <w:color w:val="000000"/>
          <w:lang w:eastAsia="es-CO"/>
        </w:rPr>
      </w:pPr>
    </w:p>
    <w:p w14:paraId="4372A0C3"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SECCION 1</w:t>
      </w:r>
    </w:p>
    <w:p w14:paraId="1F8E3707"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ACCESO A LA INFORMACIÓN</w:t>
      </w:r>
    </w:p>
    <w:p w14:paraId="2DE1C76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30" w:name="ver_30076209"/>
      <w:bookmarkEnd w:id="2130"/>
    </w:p>
    <w:p w14:paraId="49AACB2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2.3.6.3.1.1. Información pública obligatoria. Las Comisiones deben informar al público acerca de los siguientes asuntos: </w:t>
      </w:r>
    </w:p>
    <w:p w14:paraId="384054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7007C2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 Normas básicas que determinan su competencia y funciones. </w:t>
      </w:r>
    </w:p>
    <w:p w14:paraId="08A7D0A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FCE43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1.2 Organigrama y nombre de quienes desempeñan los cargos de Expertos Comisionados y de Director Ejecutivo. </w:t>
      </w:r>
    </w:p>
    <w:p w14:paraId="08CB353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C584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1.3 Procedimientos y trámites a que están sujetas las actuaciones de los particulares ante la respectiva Comisión, precisando de manera detallada los documentos que deben ser suministrados, así como las dependencias responsables y los plazos indicativos en que se deberá cumplir con las etapas previstas en cada caso. </w:t>
      </w:r>
    </w:p>
    <w:p w14:paraId="126AB7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303689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1.4 Información estadística sobre la forma como en el último año se han atendido las actuaciones de que trata el numeral anterior, y </w:t>
      </w:r>
    </w:p>
    <w:p w14:paraId="54CF1C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94936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1.5 Localización, números de teléfonos y de fax, dirección electrónica, identificación del dominio (página Web), horarios de trabajo y demás indicaciones que sean necesarias para que las personas puedan cumplir sus obligaciones o ejercer sus derechos. </w:t>
      </w:r>
    </w:p>
    <w:p w14:paraId="02EDB231" w14:textId="5F97811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31" w:name="ver_30076210"/>
      <w:bookmarkEnd w:id="2131"/>
    </w:p>
    <w:p w14:paraId="73D9A7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2.3.6.3.1.2. Entrega de información. La información señalada en el artículo anterior estará disponible en las oficinas de la respectiva Comisión de Regulación y a través de los mecanismos de difusión electrónica que estas dispongan. En ningún caso se requerirá la presencia personal del interesado para obtener esta información, la cual podrá ser enviada, si así lo solicita, por correo o por cualquier medio técnico o electrónico disponible que asegure su entrega. </w:t>
      </w:r>
    </w:p>
    <w:p w14:paraId="1E5F31A9" w14:textId="21EB34D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32" w:name="ver_30076212"/>
      <w:bookmarkEnd w:id="2132"/>
    </w:p>
    <w:p w14:paraId="4500E43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2.3.6.3.1.3. Disponibilidad de formatos para cumplir obligaciones de reporte de información. Las Comisiones deberán habilitar directamente o a través del Sistema Único de Información, SUI, en este último caso en coordinación con la Superintendencia de Servicios Públicos Domiciliarios, los mecanismos necesarios para poner a disposición de los agentes regulados, los formatos que estos deben diligenciar para cumplir con las obligaciones periódicas que la ley les impone frente a las Comisiones. </w:t>
      </w:r>
    </w:p>
    <w:p w14:paraId="4E3F877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63DB62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Cada Comisión deberá permitir que los agentes tengan acceso electrónico a los formatos antes mencionados, sin perjuicio que pueda establecer mecanismos de distribución. </w:t>
      </w:r>
    </w:p>
    <w:p w14:paraId="226497CD" w14:textId="345387A3"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33" w:name="ver_30076213"/>
      <w:bookmarkEnd w:id="2133"/>
    </w:p>
    <w:p w14:paraId="08205E7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2.3.6.3.1.4. Incorporación de medios técnicos. Las Comisiones de Regulación pondrán a disposición del público a través de medios electrónicos, las versiones de las leyes y actos administrativos publicados en el Diario Oficial, así como los documentos de interés público, relativos a sus competencias y funciones. </w:t>
      </w:r>
    </w:p>
    <w:p w14:paraId="00622A1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34" w:name="ver_30076215"/>
      <w:bookmarkEnd w:id="2134"/>
      <w:r w:rsidRPr="009342F9">
        <w:rPr>
          <w:rFonts w:ascii="Arial" w:eastAsia="Times New Roman" w:hAnsi="Arial" w:cs="Arial"/>
          <w:color w:val="000000"/>
          <w:lang w:eastAsia="es-CO"/>
        </w:rPr>
        <w:t>Artículo 2.3.6.3.1.5. Publicidad sobre la contratación. Las Comisiones anunciarán la apertura de procesos de contratación a través de su página Web; podrán hacerlo, igualmente, mediante publicación en el Diario Oficial sin perjuicio del uso de cualquier otro medio. </w:t>
      </w:r>
    </w:p>
    <w:p w14:paraId="50F5E8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DEEA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de acuerdo con la normatividad se adelanten procesos de contratación directa, cada comisión informará a través de su página Web el nombre del contratista, el objeto, el alcance, el plazo y el valor del contrato. </w:t>
      </w:r>
    </w:p>
    <w:p w14:paraId="07739EA4" w14:textId="1E5FF78B" w:rsidR="0015442F" w:rsidRPr="009342F9" w:rsidRDefault="00FC79C1" w:rsidP="00672CC5">
      <w:pPr>
        <w:spacing w:after="0" w:line="240" w:lineRule="auto"/>
        <w:jc w:val="both"/>
        <w:rPr>
          <w:rFonts w:ascii="Arial" w:eastAsia="Times New Roman" w:hAnsi="Arial" w:cs="Arial"/>
          <w:b/>
          <w:bCs/>
          <w:color w:val="000000"/>
          <w:lang w:eastAsia="es-CO"/>
        </w:rPr>
      </w:pPr>
      <w:r w:rsidRPr="009342F9">
        <w:rPr>
          <w:rFonts w:ascii="Arial" w:eastAsia="Times New Roman" w:hAnsi="Arial" w:cs="Arial"/>
          <w:color w:val="000000"/>
          <w:lang w:eastAsia="es-CO"/>
        </w:rPr>
        <w:t>  </w:t>
      </w:r>
      <w:bookmarkStart w:id="2135" w:name="ver_30076216"/>
      <w:bookmarkEnd w:id="2135"/>
    </w:p>
    <w:p w14:paraId="6EE6FF80" w14:textId="43CC15F8"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2EE4C08C"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AGENDA REGULATORIA</w:t>
      </w:r>
    </w:p>
    <w:p w14:paraId="18BB75D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36" w:name="ver_30076217"/>
      <w:bookmarkEnd w:id="2136"/>
    </w:p>
    <w:p w14:paraId="6AA41D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2.3.6.3.2.6. Plan estratégico y agenda regulatoria. Las Comisiones de Regulación tendrán la obligación de definir un plan estratégico para períodos mínimos de cinco (5) años y una agenda regulatoria anual de carácter indicativo. </w:t>
      </w:r>
    </w:p>
    <w:p w14:paraId="351F097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2BAE78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En la agenda regulatoria anual se precisarán los temas o los asuntos con sus respectivos cronogramas, que serán avocados por la Comisión durante dicho lapso, con sujeción a lo dispuesto por la ley, sin perjuicio que la Comisión pueda avocar el conocimiento y trámite de asuntos no contemplados en la agenda. </w:t>
      </w:r>
    </w:p>
    <w:p w14:paraId="4E8FD518" w14:textId="1186068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37" w:name="ver_30076218"/>
      <w:bookmarkEnd w:id="2137"/>
    </w:p>
    <w:p w14:paraId="7EEEC9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2.3.6.3.2.7. Publicidad de la agenda regulatoria. Los proyectos de agenda regulatoria se harán públicos a más tardar el 30 de octubre de cada año. Los comentarios, debidamente sustentados, deberán allegarse dentro de los diez (10) días siguientes a la fecha de la publicación. </w:t>
      </w:r>
    </w:p>
    <w:p w14:paraId="29A478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Comité de Expertos presentará ante la Sesión de Comisión la agenda regulatoria y hará pública la versión definitiva a más tardar el 31 de diciembre de cada año. </w:t>
      </w:r>
    </w:p>
    <w:p w14:paraId="25B8529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45F8C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Comité de Expertos deberá informar y justificar en la Sesión de Comisión las modificaciones o ajustes que sufra la agenda regulatoria durante el año. A más tardar 15 días después de la modificación o ajuste, se hará pública la nueva versión de la agenda en la página Web de la respectiva Comisión. </w:t>
      </w:r>
    </w:p>
    <w:p w14:paraId="1A9BC0B7" w14:textId="3D75D002"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38" w:name="ver_30076219"/>
      <w:bookmarkEnd w:id="2138"/>
    </w:p>
    <w:p w14:paraId="383D7A53" w14:textId="7999C15B"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3</w:t>
      </w:r>
    </w:p>
    <w:p w14:paraId="298A9DB7"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RESOLUCIONES DE CARÁCTER GENERAL</w:t>
      </w:r>
    </w:p>
    <w:p w14:paraId="45D14DF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39" w:name="ver_30076220"/>
      <w:bookmarkEnd w:id="2139"/>
    </w:p>
    <w:p w14:paraId="09A910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2.3.6.3.3.8. Elaboración, expedición y vigencia de resoluciones de carácter general. Para expedir resoluciones de carácter general, las Comisiones harán los análisis técnicos, económicos y legales pertinentes. </w:t>
      </w:r>
    </w:p>
    <w:p w14:paraId="35F5EC3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674348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 deberán conservar, junto con la decisión o propuesta, cuantos datos y documentos ofrezcan interés para conocer el proceso de elaboración de la norma o que puedan facilitar su interpretación. </w:t>
      </w:r>
    </w:p>
    <w:p w14:paraId="1C787134" w14:textId="77777777" w:rsidR="00672CC5" w:rsidRDefault="00672CC5" w:rsidP="00FC79C1">
      <w:pPr>
        <w:spacing w:after="0" w:line="240" w:lineRule="auto"/>
        <w:jc w:val="both"/>
        <w:rPr>
          <w:rFonts w:ascii="Arial" w:eastAsia="Times New Roman" w:hAnsi="Arial" w:cs="Arial"/>
          <w:color w:val="000000"/>
          <w:lang w:eastAsia="es-CO"/>
        </w:rPr>
      </w:pPr>
      <w:bookmarkStart w:id="2140" w:name="ver_30076221"/>
      <w:bookmarkEnd w:id="2140"/>
    </w:p>
    <w:p w14:paraId="2F7BD485" w14:textId="407325A8"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2.3.6.3.3.9. Publicidad de proyectos de regulaciones. Las Comisiones harán público en su página Web, con antelación no inferior a treinta (30) días a la fecha de su expedición, todos los proyectos de resoluciones de carácter general que pretendan adoptar, excepto los relativos a fórmulas tarifarias, en cuyo caso se seguirá el procedimiento previsto en los artículos 124 a 127 de la Ley 142 de 1994, reglamentado en el artículo 11 del presente capítulo. </w:t>
      </w:r>
    </w:p>
    <w:p w14:paraId="3C94AE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021E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Cada Comisión definirá y hará públicos los criterios, así como los casos en los cuales las disposiciones contenidas en el presente artículo no serán aplicables a resoluciones de carácter general. </w:t>
      </w:r>
    </w:p>
    <w:p w14:paraId="302D6BAA" w14:textId="77777777" w:rsidR="00672CC5" w:rsidRDefault="00672CC5" w:rsidP="00FC79C1">
      <w:pPr>
        <w:spacing w:after="0" w:line="240" w:lineRule="auto"/>
        <w:jc w:val="both"/>
        <w:rPr>
          <w:rFonts w:ascii="Arial" w:eastAsia="Times New Roman" w:hAnsi="Arial" w:cs="Arial"/>
          <w:color w:val="000000"/>
          <w:lang w:eastAsia="es-CO"/>
        </w:rPr>
      </w:pPr>
      <w:bookmarkStart w:id="2141" w:name="ver_30076222"/>
      <w:bookmarkEnd w:id="2141"/>
    </w:p>
    <w:p w14:paraId="47A3E2B6" w14:textId="6ADCB58A"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2.3.6.3.3.10. Contenido mínimo del documento que haga públicos los proyectos de regulación de carácter general, no tarifarios. Cuando se hagan públicos los proyectos de regulación de carácter general no tarifarios, se incluirán, por lo menos, los siguientes aspectos: </w:t>
      </w:r>
    </w:p>
    <w:p w14:paraId="753D3B9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247A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10.1 El texto del proyecto de resolución. </w:t>
      </w:r>
    </w:p>
    <w:p w14:paraId="178908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24A9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10.2 La invitación explícita para que los agentes, los usuarios, la Superintendencia de Servicios Públicos Domiciliados para todos los temas y la Superintendencia de Industria y Comercio en lo que concierne a la prevención y control de prácticas comerciales restrictivas de la competencia, remitan observaciones o sugerencias a la propuesta divulgada. </w:t>
      </w:r>
    </w:p>
    <w:p w14:paraId="3C94B4D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FEA48D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10.3 La identificación de la dependencia administrativa y de las personas a quienes podrá solicitarse información sobre el proyecto y hacer llegar las observaciones, reparos o sugerencias, indicando tanto la dirección ordinaria y el teléfono, como el fax y dirección electrónica si la hubiere. </w:t>
      </w:r>
    </w:p>
    <w:p w14:paraId="49F9247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F7CF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10.4 El término para la recepción de las observaciones, reparos o sugerencias no podrá ser menor a diez (10) días hábiles, contados a partir de la fecha en que se haga público el proyecto de regulación. Este plazo podrá prorrogarse por solicitud de parte u oficiosamente. </w:t>
      </w:r>
    </w:p>
    <w:p w14:paraId="3EE7FF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538834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10.5 Los soportes técnicos. </w:t>
      </w:r>
    </w:p>
    <w:p w14:paraId="4411481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0823A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El Comité de Expertos deberá elaborar el documento final que servirá de base para la toma de la decisión y los integrantes de cada Comisión evaluarán este documento y los comentarios, las informaciones, los estudios y las propuestas allegadas al procedimiento. </w:t>
      </w:r>
    </w:p>
    <w:p w14:paraId="614D84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F26E1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documento que elaborará el Comité de Expertos de cada Comisión contendrá las razones por las cuales se aceptan o rechazan las propuestas formuladas y podrá agrupar las observaciones, sugerencias y propuestas alternativas en categorías de argumentos. </w:t>
      </w:r>
    </w:p>
    <w:p w14:paraId="70754B7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DC93D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expidan las resoluciones, en la parte motiva se hará mención del documento en el cual cada Comisión revisó los comentarios recibidos y expuso las razones para aceptar o desechar las observaciones, reparos y sugerencias que no se hayan incorporado. Durante el día hábil siguiente al de la publicación de la resolución en el Diario Oficial, se hará público el documento correspondiente al que se refiere este parágrafo. </w:t>
      </w:r>
    </w:p>
    <w:p w14:paraId="46AF27B6" w14:textId="2C3A85E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42" w:name="ver_30076223"/>
      <w:bookmarkEnd w:id="2142"/>
    </w:p>
    <w:p w14:paraId="4893515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2.3.6.3.3.11. Reglas especiales de difusión para la adopción de fórmulas tarifarias con una vigencia de cinco años. Cuando cada una de las Comisiones adopte fórmulas tarifarias con una vigencia de cinco años, de acuerdo con lo establecido en los artículos 126 y 127 de la Ley 142 de 1994, deberá observar las siguientes reglas: </w:t>
      </w:r>
    </w:p>
    <w:p w14:paraId="56A3BF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FD70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11.1 Antes de doce (12) meses de la fecha prevista para que termine la vigencia de las fórmulas tarifarias, cada Comisión deberá poner en conocimiento de las entidades prestadoras y de los usuarios, las bases sobre las cuales efectuará el estudio para determinar las fórmulas del período siguiente. </w:t>
      </w:r>
    </w:p>
    <w:p w14:paraId="2FE2BB9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44961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11.2 Las bases sobre las cuales se efectuará el estudio para determinar las fórmulas deberán cubrir como mínimo los siguientes puntos: </w:t>
      </w:r>
    </w:p>
    <w:p w14:paraId="6A3E7C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49374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Aspectos generales del tipo de regulación a aplicar; </w:t>
      </w:r>
    </w:p>
    <w:p w14:paraId="65DB58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F0ED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Aspectos básicos del criterio de eficiencia; </w:t>
      </w:r>
    </w:p>
    <w:p w14:paraId="77D02A9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7FE8F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3. Criterios para temas relacionados con costos y gastos; </w:t>
      </w:r>
    </w:p>
    <w:p w14:paraId="4BDD180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BEED01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Criterios relacionados con calidad del servicio; </w:t>
      </w:r>
    </w:p>
    <w:p w14:paraId="13B26B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CB84E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5. Criterios para remunerar el patrimonio de los accionistas; </w:t>
      </w:r>
    </w:p>
    <w:p w14:paraId="20B6452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B8865C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6. Los demás criterios tarifarios contenidos en la ley. </w:t>
      </w:r>
    </w:p>
    <w:p w14:paraId="0AB45C8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44D8DF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11.3 Los resultados obtenidos del estudio que se adelante para la adopción de las fórmulas a las que se refiere el presente artículo, se harán públicos a medida que sean recibidos por la respectiva Comisión, advirtiendo que son elementos de juicio para esta y que, en consecuencia, no la comprometen. </w:t>
      </w:r>
    </w:p>
    <w:p w14:paraId="6E4C130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8396C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11.4 Tres (3) meses antes de la fecha prevista para que inicie el periodo de vigencia de las fórmulas tarifarias, se deberán hacer públicos en la página Web de la Comisión correspondiente los proyectos de metodologías y de fórmulas, los estudios respectivos y los textos de los proyectos de resoluciones. </w:t>
      </w:r>
    </w:p>
    <w:p w14:paraId="0E3C9EB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6A1E2D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el Comité de Expertos deberá preparar un documento con una explicación en lenguaje sencillo sobre el alcance de la propuesta de fórmulas tarifarias. Este documento se remitirá a los Gobernadores, quienes se encargarán de divulgarlo. Este documento deberá contener una invitación para que los interesados consulten a través de la página Web de la Comisión correspondiente, los proyectos de metodologías y de fórmulas, los estudios respectivos y los textos de los proyectos de resoluciones. </w:t>
      </w:r>
    </w:p>
    <w:p w14:paraId="4B89395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6883A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11.5 Cada Comisión organizará consultas públicas, en distintos distritos y municipios, durante un período que comience en la misma fecha en que se remita la información a los Gobernadores y termine dos (2) meses después. Las consultas públicas tendrán entre sus propósitos el de lograr la participación de los usuarios. </w:t>
      </w:r>
    </w:p>
    <w:p w14:paraId="468FBC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34B704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asistencia y las reglas para estas consultas son: </w:t>
      </w:r>
    </w:p>
    <w:p w14:paraId="501EF8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3BECB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Serán convocadas por el Director Ejecutivo de la respectiva Comisión por lo menos con 10 días de antelación, indicando el tema, la metodología, el día, la hora, el lugar de realización, el plazo y los requisitos de inscripción. </w:t>
      </w:r>
    </w:p>
    <w:p w14:paraId="48F45E2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1CCD0D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Podrán intervenir los representantes de las personas prestadoras de los servicios objeto de la decisión; los vocales de los comités de control social de los servicios públicos que fueren debidamente acreditados; los representantes legales de las ligas o de las asociaciones de consumidores; los representantes legales de las organizaciones gremiales; y los delegados de las universidades y centros de investigación y los usuarios. </w:t>
      </w:r>
    </w:p>
    <w:p w14:paraId="0973A2D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439EA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Para intervenir, los interesados deberán inscribirse y radicar con una anticipación no inferior a dos (2) días hábiles a su realización, el documento que servirá de base para su exposición, el cual deberá relacionarse directamente con la materia objeto de la consulta pública. </w:t>
      </w:r>
    </w:p>
    <w:p w14:paraId="2CF6F0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868B2E9"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 consulta será grabada y esta grabación se conservará como memoria de lo ocurrido. </w:t>
      </w:r>
    </w:p>
    <w:p w14:paraId="03A44FD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197B19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Una vez terminada la consulta, el </w:t>
      </w:r>
      <w:proofErr w:type="gramStart"/>
      <w:r w:rsidRPr="009342F9">
        <w:rPr>
          <w:rFonts w:ascii="Arial" w:eastAsia="Times New Roman" w:hAnsi="Arial" w:cs="Arial"/>
          <w:color w:val="000000"/>
          <w:lang w:eastAsia="es-CO"/>
        </w:rPr>
        <w:t>Secretario</w:t>
      </w:r>
      <w:proofErr w:type="gramEnd"/>
      <w:r w:rsidRPr="009342F9">
        <w:rPr>
          <w:rFonts w:ascii="Arial" w:eastAsia="Times New Roman" w:hAnsi="Arial" w:cs="Arial"/>
          <w:color w:val="000000"/>
          <w:lang w:eastAsia="es-CO"/>
        </w:rPr>
        <w:t xml:space="preserve"> levantará una memoria escrita en la cual se incorporarán los documentos presentados y los principales puntos que fueron objeto de debate. </w:t>
      </w:r>
    </w:p>
    <w:p w14:paraId="4385AAF4"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FC211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11.6 El Comité de Expertos deberá elaborar el documento final que servirá de base para la toma de la decisión y los integrantes de cada Comisión evaluarán este documento, las memorias escritas de las consultas públicas, los comentarios, las informaciones, los estudios y las propuestas allegadas al procedimiento. </w:t>
      </w:r>
    </w:p>
    <w:p w14:paraId="588E500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6A0693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documento que elaborará el Comité de Expertos de cada Comisión contendrá las razones por las cuales se aceptan o rechazan las propuestas formuladas y evaluará las memorias escritas de las consultas públicas. Para tal efecto podrá agrupar las observaciones, sugerencias y propuestas alternativas en categorías de argumentos. </w:t>
      </w:r>
    </w:p>
    <w:p w14:paraId="32F152E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070FC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Cuando se expidan las resoluciones, en la parte motiva se hará mención del documento en el cual cada Comisión revisó los comentarios recibidos y expuso las razones para desechar las observaciones, reparos y sugerencias que no se hayan incorporado. Durante el día hábil siguiente al de la publicación de la resolución correspondiente en el Diario Oficial, se hará público el documento al que se refiere este numeral. </w:t>
      </w:r>
    </w:p>
    <w:p w14:paraId="7CF65D8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26DE78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11.7 El Sistema Único de Información, SUI, tendrá un módulo que contendrá la información sobre las organizaciones que expresen su voluntad de colaborar con los usuarios para el entendimiento de los proyectos de resolución. El Sistema Único de Información divulgará los nombres y las direcciones de tales organizaciones, sin que la disponibilidad de esta información lo haga responsable por su idoneidad. Las relaciones entre tales organizaciones y los usuarios serán de exclusiva incumbencia de unas y otros y no generará responsabilidad alguna para el Sistema Único de Información, SUI. </w:t>
      </w:r>
    </w:p>
    <w:p w14:paraId="1D57A21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F174B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Compilación de regulaciones de carácter general. Con el propósito de facilitar la consulta de la regulación vigente de carácter general, sin que sea una codificación, las Comisiones compilarán, cada dos años, con numeración continua y divididas temáticamente, las resoluciones de carácter general que hayan sido expedidas. Se podrán establecer excepciones en esta compilación en el caso de resoluciones de carácter transitorio. </w:t>
      </w:r>
    </w:p>
    <w:p w14:paraId="2FC2DA39" w14:textId="5CB1E47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43" w:name="ver_30076224"/>
      <w:bookmarkEnd w:id="2143"/>
    </w:p>
    <w:p w14:paraId="613A9A5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2.3.6.3.3.12. Compilación de regulaciones de carácter general. Con el propósito de facilitar la consulta de la regulación vigente de carácter general, sin que sea una codificación, las Comisiones compilarán, cada dos años, con numeración continua y divididas temáticamente, las resoluciones de carácter general que hayan sido expedidas. Se podrán establecer excepciones en esta compilación en el caso de resoluciones de carácter transitorio. </w:t>
      </w:r>
    </w:p>
    <w:p w14:paraId="0DB653B3" w14:textId="5D467C71"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44" w:name="ver_30076225"/>
      <w:bookmarkEnd w:id="2144"/>
    </w:p>
    <w:p w14:paraId="4F8786AD" w14:textId="643CDB4F"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4</w:t>
      </w:r>
    </w:p>
    <w:p w14:paraId="1D4672E4"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INFORME DE GESTIÓN Y DE RESULTADOS</w:t>
      </w:r>
    </w:p>
    <w:p w14:paraId="32B258B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45" w:name="ver_30076226"/>
      <w:bookmarkEnd w:id="2145"/>
    </w:p>
    <w:p w14:paraId="7F022DA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2.3.6.3.4.13. Informe de gestión y de resultados. A más tardar en el mes de marzo de cada año, las Comisiones rendirán cuentas de su respectiva gestión, para lo cual cada una elaborará un informe que describa las actividades desarrolladas durante el año anterior, la evaluación del cumplimiento de la agenda regulatoria anual, el estado de los procesos judiciales, la ejecución presupuestal, la contratación y otros temas de interés público. </w:t>
      </w:r>
    </w:p>
    <w:p w14:paraId="119F7E2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EB8318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Cada tres (3) años, el informe incluirá un estudio del impacto del marco regulatorio en su conjunto, sobre la sostenibilidad, viabilidad y dinámica del sector respectivo. Dicho estudio será elaborado con Términos de Referencia propuestos por cada Comisión, que serán sometidos a los mismos procedimientos de consulta previstos en el artículo 2.3.6.3.3.10 del presente capítulo. </w:t>
      </w:r>
    </w:p>
    <w:p w14:paraId="6B50F62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0169B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Cuando el informe de rendición de cuentas haya sido presentado ante la Sesión de Comisión por parte del Director Ejecutivo correspondiente, será remitido al </w:t>
      </w:r>
      <w:proofErr w:type="gramStart"/>
      <w:r w:rsidRPr="009342F9">
        <w:rPr>
          <w:rFonts w:ascii="Arial" w:eastAsia="Times New Roman" w:hAnsi="Arial" w:cs="Arial"/>
          <w:color w:val="000000"/>
          <w:lang w:eastAsia="es-CO"/>
        </w:rPr>
        <w:t>Presidente</w:t>
      </w:r>
      <w:proofErr w:type="gramEnd"/>
      <w:r w:rsidRPr="009342F9">
        <w:rPr>
          <w:rFonts w:ascii="Arial" w:eastAsia="Times New Roman" w:hAnsi="Arial" w:cs="Arial"/>
          <w:color w:val="000000"/>
          <w:lang w:eastAsia="es-CO"/>
        </w:rPr>
        <w:t xml:space="preserve"> de la República. </w:t>
      </w:r>
    </w:p>
    <w:p w14:paraId="7D41D9C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4BFBD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Adicionalmente, el informe será publicado en la página Web de la Comisión respectiva dentro de los cinco (5) días hábiles siguientes a su envío. </w:t>
      </w:r>
    </w:p>
    <w:p w14:paraId="20C896D1" w14:textId="5B3710B4" w:rsidR="0015442F"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46" w:name="ver_30076227"/>
      <w:bookmarkEnd w:id="2146"/>
    </w:p>
    <w:p w14:paraId="2242F88B" w14:textId="26B5A005"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5</w:t>
      </w:r>
    </w:p>
    <w:p w14:paraId="7E45C402"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557D86EC"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47" w:name="ver_30076228"/>
      <w:bookmarkEnd w:id="2147"/>
    </w:p>
    <w:p w14:paraId="4BADF1D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2.3.6.3.5.14. Presentación de comentarios y sugerencias a proyectos de resolución fuera de la Capital de la República. Los interesados que residan en una ciudad diferente a la Capital de la </w:t>
      </w:r>
      <w:proofErr w:type="gramStart"/>
      <w:r w:rsidRPr="009342F9">
        <w:rPr>
          <w:rFonts w:ascii="Arial" w:eastAsia="Times New Roman" w:hAnsi="Arial" w:cs="Arial"/>
          <w:color w:val="000000"/>
          <w:lang w:eastAsia="es-CO"/>
        </w:rPr>
        <w:t>República,</w:t>
      </w:r>
      <w:proofErr w:type="gramEnd"/>
      <w:r w:rsidRPr="009342F9">
        <w:rPr>
          <w:rFonts w:ascii="Arial" w:eastAsia="Times New Roman" w:hAnsi="Arial" w:cs="Arial"/>
          <w:color w:val="000000"/>
          <w:lang w:eastAsia="es-CO"/>
        </w:rPr>
        <w:t xml:space="preserve"> pueden presentar sus comentarios o sugerencias a los proyectos de Resolución. Las Comisiones celebrarán convenios con la Superintendencia de Servicios Públicos Domiciliarios para que los comentarios o sugerencias sean recibidos a través de las dependencias regionales o seccionales de este organismo. En todo caso, los escritos deberán ser remitidos a la Comisión respectiva dentro de los términos previstos en el presente capítulo. </w:t>
      </w:r>
    </w:p>
    <w:p w14:paraId="64F9F0CC" w14:textId="44C04C0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48" w:name="ver_30189463"/>
      <w:bookmarkStart w:id="2149" w:name="ver_30076229"/>
      <w:bookmarkEnd w:id="2148"/>
    </w:p>
    <w:p w14:paraId="6397B92B" w14:textId="4A4E8FD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2.3.6.3.5.15. (Artículo 16 del Decreto 2696 de 2004 adicionado por el artículo 1° del Decreto 5051 de 2009.) Reglas de difusión en casos excepcionales. En los casos en que se presente disminución en los niveles de precipitación ocasionados por fenómenos naturales, la Comisión de Regulación de Agua Potable y Saneamiento Básico expedirá Resoluciones de Carácter General orientadas a incentivar el uso eficiente y de ahorro de agua. La resolución será publicada en la página web de la Comisión de Regulación de Agua Potable y Saneamiento Básico con antelación no inferior a diez (10) días calendario de la fecha de expedición, con el fin de recibir las observaciones, reparos o sugerencias a que hubiere lugar en los términos señalados en el presente capítulo. </w:t>
      </w:r>
    </w:p>
    <w:p w14:paraId="42F1029F"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4EA7988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Por condiciones de variabilidad climática de carácter regional asociada a déficits de los niveles de precipitación en el país, de acuerdo con información aportada por</w:t>
      </w:r>
      <w:r w:rsidRPr="009342F9">
        <w:rPr>
          <w:rFonts w:ascii="Arial" w:eastAsia="Times New Roman" w:hAnsi="Arial" w:cs="Arial"/>
          <w:color w:val="000000"/>
          <w:lang w:eastAsia="es-CO"/>
        </w:rPr>
        <w:br/>
        <w:t>el Instituto de Hidrología, Meteorología y Estudios Ambientales (</w:t>
      </w:r>
      <w:proofErr w:type="spellStart"/>
      <w:r w:rsidRPr="009342F9">
        <w:rPr>
          <w:rFonts w:ascii="Arial" w:eastAsia="Times New Roman" w:hAnsi="Arial" w:cs="Arial"/>
          <w:color w:val="000000"/>
          <w:lang w:eastAsia="es-CO"/>
        </w:rPr>
        <w:t>Ideam</w:t>
      </w:r>
      <w:proofErr w:type="spellEnd"/>
      <w:r w:rsidRPr="009342F9">
        <w:rPr>
          <w:rFonts w:ascii="Arial" w:eastAsia="Times New Roman" w:hAnsi="Arial" w:cs="Arial"/>
          <w:color w:val="000000"/>
          <w:lang w:eastAsia="es-CO"/>
        </w:rPr>
        <w:t>), la Comisión de Regulación de Agua Potable y Saneamiento Básico (CRA) expedirá Resoluciones de Carácter General orientadas a incentivar el uso eficiente y de ahorro de agua. Las resoluciones serán publicadas en la página web de la Comisión de Regulación de Agua Potable y Saneamiento Básico con antelación no inferior a diez (10) días calendario de la fecha de expedición, con el fin de recibir las observaciones, reparos o sugerencias a que hubiere lugar en los términos señalados en el presente capítulo. </w:t>
      </w:r>
    </w:p>
    <w:p w14:paraId="0E92B70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E1655A"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150" w:name="ver_30124963"/>
      <w:bookmarkEnd w:id="2149"/>
      <w:bookmarkEnd w:id="2150"/>
      <w:r w:rsidRPr="009342F9">
        <w:rPr>
          <w:rFonts w:ascii="Arial" w:eastAsia="Times New Roman" w:hAnsi="Arial" w:cs="Arial"/>
          <w:b/>
          <w:bCs/>
          <w:color w:val="000000"/>
          <w:lang w:eastAsia="es-CO"/>
        </w:rPr>
        <w:t>CAPÍTULO 2</w:t>
      </w:r>
    </w:p>
    <w:p w14:paraId="3DF9F567"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PRESTACIÓN DE LOS SERVICIOS DE ACUEDUCTO, ALCANTARILLADO O ASEO EN EL SUELO URBANO SECCIÓN 1 PARTE GENERAL</w:t>
      </w:r>
    </w:p>
    <w:p w14:paraId="394843B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51" w:name="ver_30124964"/>
      <w:bookmarkEnd w:id="2151"/>
    </w:p>
    <w:p w14:paraId="245B82E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2.3.7.2.1.1. Objeto. El presente capítulo tiene por objeto establecer las condiciones para la prestación de los servicios públicos de acueducto, alcantarillado o aseo dentro del suelo urbano de un municipio o distrito, mediante la definición de esquemas diferenciales en áreas de difícil gestión, zonas de difícil acceso y áreas de prestación, en las cuales por condiciones particulares no puedan alcanzarse los estándares de eficiencia, cobertura y calidad establecidos en la normatividad vigente. </w:t>
      </w:r>
    </w:p>
    <w:p w14:paraId="65B9983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52" w:name="ver_30124966"/>
      <w:bookmarkEnd w:id="2152"/>
    </w:p>
    <w:p w14:paraId="1C10FD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2.3.7.2.1.2. Ámbito de aplicación. Esta reglamentación se aplica a las personas prestadoras de los servicios públicos de acueducto, alcantarillado o aseo, a los suscriptores, a los usuarios, a las entidades territoriales, a la Comisión de Regulación de Agua Potable y Saneamiento Básico, a la Superintendencia de Servicios Públicos Domiciliarios, y a las demás entidades que tengan competencias con la prestación de estos servicios en suelo urbano. </w:t>
      </w:r>
    </w:p>
    <w:p w14:paraId="52D04B7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53" w:name="ver_30124970"/>
      <w:bookmarkEnd w:id="2153"/>
    </w:p>
    <w:p w14:paraId="1BEC6F40"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2.3.7.2.1.3. Esquema diferencial. Para efectos de la aplicación de lo dispuesto en el presente capítulo, un esquema diferencial de prestación de los servicios públicos de acueducto, alcantarillado o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es un conjunto de condiciones técnicas, operativas, jurídicas, sociales y de gestión para permitir el acceso al agua apta para el consumo humano y al saneamiento básico en un área o zona determinada del suelo urbano, atendiendo a sus condiciones particulares. </w:t>
      </w:r>
    </w:p>
    <w:p w14:paraId="65BF4645" w14:textId="77777777" w:rsidR="0015442F" w:rsidRPr="009342F9" w:rsidRDefault="0015442F" w:rsidP="0015442F">
      <w:pPr>
        <w:spacing w:after="0" w:line="240" w:lineRule="auto"/>
        <w:jc w:val="center"/>
        <w:rPr>
          <w:rFonts w:ascii="Arial" w:eastAsia="Times New Roman" w:hAnsi="Arial" w:cs="Arial"/>
          <w:b/>
          <w:bCs/>
          <w:color w:val="000000"/>
          <w:lang w:eastAsia="es-CO"/>
        </w:rPr>
      </w:pPr>
      <w:bookmarkStart w:id="2154" w:name="ver_30124975"/>
      <w:bookmarkEnd w:id="2154"/>
    </w:p>
    <w:p w14:paraId="58749B40" w14:textId="32FE6D99"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SECCIÓN 2</w:t>
      </w:r>
    </w:p>
    <w:p w14:paraId="0C74DE83"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ESQUEMAS DIFERENCIALES DE PRESTACIÓN DE LOS SERVICIOS DE ACUEDUCTO, ALCANTARILLADO O ASEO EN EL SUELO URBANO SUBSECCIÓN 1</w:t>
      </w:r>
    </w:p>
    <w:p w14:paraId="7A890F85"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ESQUEMAS DIFERENCIALES DE PRESTACIÓN EN ÁREAS DE DIFICIL GESTIÓN</w:t>
      </w:r>
    </w:p>
    <w:p w14:paraId="7725498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55" w:name="ver_30124978"/>
      <w:bookmarkEnd w:id="2155"/>
    </w:p>
    <w:p w14:paraId="6C832672" w14:textId="77777777" w:rsidR="00FC79C1" w:rsidRPr="009342F9" w:rsidRDefault="00FC79C1" w:rsidP="00FC79C1">
      <w:pPr>
        <w:spacing w:after="0" w:line="240" w:lineRule="auto"/>
        <w:ind w:left="1"/>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2.3.7.2.2.1.1. Áreas de difícil gestión. Son aquellas áreas dentro del suelo urbano de un municipio o distrito que reciben un tratamiento de mejoramiento integral en los planes de ordenamiento territorial; o hayan sido objeto o sean susceptibles de legalización urbanística; en donde no se pueden alcanzar los estándares de eficiencia, cobertura o calidad para la prestación de los servicios públicos de acueducto, alcantarillado o aseo, en los plazos y condiciones establecidas en la regulación expedida por la Comisión de Regulación de Agua Potable y Saneamiento Básico. Para el efecto, la prestación de los servicios públicos de acueducto, alcantarillado o aseo se podrá realizar en las condiciones diferenciales establecidas en el artículo 2.3.7.2.2.1.6. de esta subsección. </w:t>
      </w:r>
    </w:p>
    <w:p w14:paraId="7E66D23B"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56" w:name="ver_30124990"/>
      <w:bookmarkEnd w:id="2156"/>
    </w:p>
    <w:p w14:paraId="499C1426"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2.3.7.2.2.1.2. Requisitos para aplicar un esquema diferencial en áreas de difícil gestión. La persona prestadora interesada en aplicar un esquema diferencial en áreas de difícil </w:t>
      </w:r>
      <w:proofErr w:type="gramStart"/>
      <w:r w:rsidRPr="009342F9">
        <w:rPr>
          <w:rFonts w:ascii="Arial" w:eastAsia="Times New Roman" w:hAnsi="Arial" w:cs="Arial"/>
          <w:color w:val="000000"/>
          <w:lang w:eastAsia="es-CO"/>
        </w:rPr>
        <w:t>gestión,</w:t>
      </w:r>
      <w:proofErr w:type="gramEnd"/>
      <w:r w:rsidRPr="009342F9">
        <w:rPr>
          <w:rFonts w:ascii="Arial" w:eastAsia="Times New Roman" w:hAnsi="Arial" w:cs="Arial"/>
          <w:color w:val="000000"/>
          <w:lang w:eastAsia="es-CO"/>
        </w:rPr>
        <w:t xml:space="preserve"> deberá cumplir con los siguientes requisitos, los cuales deberá reportar en el Sistema Único de Información (SUI) administrado por la Superintendencia de Servicios Públicos Domiciliarios:  </w:t>
      </w:r>
    </w:p>
    <w:p w14:paraId="03BDD33F"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5DB868" w14:textId="76AD3CE2" w:rsidR="00FC79C1" w:rsidRPr="009342F9" w:rsidRDefault="00FC79C1" w:rsidP="00FC79C1">
      <w:pPr>
        <w:numPr>
          <w:ilvl w:val="0"/>
          <w:numId w:val="10"/>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Indicar el servicio o servicios que serán sujetos del esquema diferencial.</w:t>
      </w:r>
    </w:p>
    <w:p w14:paraId="6F05AC19"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3A78412D" w14:textId="47A840FB" w:rsidR="00FC79C1" w:rsidRPr="009342F9" w:rsidRDefault="00FC79C1" w:rsidP="00FC79C1">
      <w:pPr>
        <w:numPr>
          <w:ilvl w:val="0"/>
          <w:numId w:val="10"/>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Las condiciones en que se prestarán los servicios públicos de acueducto, alcantarillado o aseo, conforme lo establecido en el artículo 2.3.7.2.2.1.6. de la presente subsección.</w:t>
      </w:r>
    </w:p>
    <w:p w14:paraId="3133548B"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32693B8F" w14:textId="193F27D9" w:rsidR="00FC79C1" w:rsidRPr="009342F9" w:rsidRDefault="00FC79C1" w:rsidP="00FC79C1">
      <w:pPr>
        <w:numPr>
          <w:ilvl w:val="0"/>
          <w:numId w:val="10"/>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Certificación expedida por el Alcalde Municipal o Distrital o por el funcionario municipal o distrital competente para ello, donde se señalen las áreas de difícil gestión que serán objeto de procesos de mejoramiento integral o de legalización urbanística conforme al Plan de Desarrollo Municipal o Distrital y al Plan de Ordenamiento Territorial, para lo cual deberá contar con el soporte de la ubicación geográfica.</w:t>
      </w:r>
    </w:p>
    <w:p w14:paraId="26E87106"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0A1E991F" w14:textId="77777777" w:rsidR="00FC79C1" w:rsidRPr="009342F9" w:rsidRDefault="00FC79C1" w:rsidP="00FC79C1">
      <w:pPr>
        <w:numPr>
          <w:ilvl w:val="0"/>
          <w:numId w:val="10"/>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Convenio suscrito entre la persona prestadora y la entidad territorial, donde se determinen las obligaciones de las partes en la aplicación del esquema diferencial,</w:t>
      </w:r>
    </w:p>
    <w:p w14:paraId="52E4E844" w14:textId="77777777" w:rsidR="00FC79C1" w:rsidRPr="009342F9" w:rsidRDefault="00FC79C1" w:rsidP="00FC79C1">
      <w:pPr>
        <w:spacing w:after="0" w:line="240" w:lineRule="auto"/>
        <w:ind w:left="567"/>
        <w:jc w:val="both"/>
        <w:rPr>
          <w:rFonts w:ascii="Arial" w:eastAsia="Times New Roman" w:hAnsi="Arial" w:cs="Arial"/>
          <w:color w:val="000000"/>
          <w:lang w:eastAsia="es-CO"/>
        </w:rPr>
      </w:pPr>
      <w:r w:rsidRPr="009342F9">
        <w:rPr>
          <w:rFonts w:ascii="Arial" w:eastAsia="Times New Roman" w:hAnsi="Arial" w:cs="Arial"/>
          <w:color w:val="000000"/>
          <w:lang w:eastAsia="es-CO"/>
        </w:rPr>
        <w:t>acorde con las medidas adoptadas en el municipio para la legalización urbanística o mejoramiento integral.  </w:t>
      </w:r>
    </w:p>
    <w:p w14:paraId="32AF66C6" w14:textId="77777777" w:rsidR="00FC79C1" w:rsidRPr="009342F9" w:rsidRDefault="00FC79C1" w:rsidP="00FC79C1">
      <w:pPr>
        <w:spacing w:after="0" w:line="240" w:lineRule="auto"/>
        <w:ind w:left="567"/>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E068D41"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aquellos casos en que la prestación de los servicios públicos de acueducto, alcantarillado o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esté a cargo del municipio o distrito como prestador directo, y no proceda la celebración del convenio, el Alcalde Municipal o Distrital fijará mediante acto administrativo las condiciones especiales en que se prestará el respectivo servicio.  </w:t>
      </w:r>
    </w:p>
    <w:p w14:paraId="2C65A97E"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3240710"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Cuando exista un contrato de operación y se proyecte la aplicación de un esquema diferencial en donde se comprometan recursos públicos, se deberán realizar las modificaciones que se requieran al contrato de operación existente donde se incorporen las metas establecidas en el plan de gestión señalado en el artículo 2.3.7.2.2.1.8. de la presente subsección.  </w:t>
      </w:r>
    </w:p>
    <w:p w14:paraId="282FC4CF"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B9E046D" w14:textId="75F7AE0A" w:rsidR="00FC79C1" w:rsidRPr="009342F9" w:rsidRDefault="00FC79C1" w:rsidP="00FC79C1">
      <w:pPr>
        <w:numPr>
          <w:ilvl w:val="0"/>
          <w:numId w:val="11"/>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Estudio de costos y tarifas a aplicar en el área de difícil gestión para cada servicio que será sujeto del esquema diferencial, el cual deberá ajustarse de acuerdo con la regulación que para el efecto defina la Comisión de Regulación de Agua Potable y Saneamiento Básico.</w:t>
      </w:r>
    </w:p>
    <w:p w14:paraId="39DCA1D4"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081CB187"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Mientras la Comisión de Regulación de Agua Potable y Saneamiento Básico expide la regulación para este esquema, el prestador podrá definir sus costos, los cuales en todo caso, no deberán superar los costos de referencia, teniendo en cuenta para ello las condiciones diferenciales de </w:t>
      </w:r>
      <w:proofErr w:type="spellStart"/>
      <w:r w:rsidRPr="009342F9">
        <w:rPr>
          <w:rFonts w:ascii="Arial" w:eastAsia="Times New Roman" w:hAnsi="Arial" w:cs="Arial"/>
          <w:color w:val="000000"/>
          <w:lang w:eastAsia="es-CO"/>
        </w:rPr>
        <w:t>prestación.La</w:t>
      </w:r>
      <w:proofErr w:type="spellEnd"/>
      <w:r w:rsidRPr="009342F9">
        <w:rPr>
          <w:rFonts w:ascii="Arial" w:eastAsia="Times New Roman" w:hAnsi="Arial" w:cs="Arial"/>
          <w:color w:val="000000"/>
          <w:lang w:eastAsia="es-CO"/>
        </w:rPr>
        <w:t xml:space="preserve"> adopción de estos costos deberá sujetarse a lo dispuesto en la Sección 5.1.1 del Capítulo 1 del Título V de la Resolución CRA 151 de 2001 o el acto administrativo que lo adicione, modifique o sustituya.  </w:t>
      </w:r>
    </w:p>
    <w:p w14:paraId="4FD3390C"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5405341" w14:textId="6AE28AE4" w:rsidR="00FC79C1" w:rsidRPr="009342F9" w:rsidRDefault="00FC79C1" w:rsidP="00FC79C1">
      <w:pPr>
        <w:numPr>
          <w:ilvl w:val="0"/>
          <w:numId w:val="12"/>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contrato de condiciones uniformes que se aplicará en el esquema diferencial.</w:t>
      </w:r>
    </w:p>
    <w:p w14:paraId="0FF73941"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3FC6D2E8" w14:textId="1A5C1FCC" w:rsidR="00FC79C1" w:rsidRPr="009342F9" w:rsidRDefault="00FC79C1" w:rsidP="00FC79C1">
      <w:pPr>
        <w:numPr>
          <w:ilvl w:val="0"/>
          <w:numId w:val="13"/>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El plazo de aplicación del esquema diferencial y la justificación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w:t>
      </w:r>
    </w:p>
    <w:p w14:paraId="5B3C9CE4"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4995F682" w14:textId="77777777" w:rsidR="00FC79C1" w:rsidRPr="009342F9" w:rsidRDefault="00FC79C1" w:rsidP="00FC79C1">
      <w:pPr>
        <w:numPr>
          <w:ilvl w:val="0"/>
          <w:numId w:val="14"/>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El plan de gestión en donde se definan las metas, indicadores, plazos, objetivos, acciones y fuentes de financiación para el cumplimiento de las condiciones establecidas en el artículo 2.3.7.2.2.1.6. de la presente subsección y de los estándares de prestación de los servicios públicos definidos por la regulación vigente. Parágrafo. Adicional a los requisitos señalados en el presente artículo, para aquellas áreas de difícil gestión que se incluyan en el Plan de Desarrollo Municipal o Distrital vigente a la fecha de reporte en el Sistema Único de Información (SUI), se deberá contar con un plan que contenga las metas y su gradualidad, para que se logre el cumplimiento de los estándares señalados por la regulación para la prestación de los servicios públicos domiciliarios.</w:t>
      </w:r>
    </w:p>
    <w:p w14:paraId="47D71B39" w14:textId="603926F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57" w:name="ver_30124995"/>
      <w:bookmarkEnd w:id="2157"/>
    </w:p>
    <w:p w14:paraId="223C2324"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2.3.7.2.2.1.3. Inspección, vigilancia y control del esquema diferencial en áreas de difícil gestión. Sin perjuicio de lo establecido en el artículo 2.3.7.2.3.2. de la sección 3 del presente capítulo, la Superintendencia de Servicios Públicos Domiciliarios, inspeccionará, vigilará y controlará la aplicación del esquema diferencial en áreas de difícil gestión, como mínimo respecto de los siguientes aspectos:  </w:t>
      </w:r>
    </w:p>
    <w:p w14:paraId="781CCFDA"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5ECBBF" w14:textId="3F5BB11E" w:rsidR="00FC79C1" w:rsidRPr="009342F9" w:rsidRDefault="00FC79C1" w:rsidP="00D33608">
      <w:pPr>
        <w:numPr>
          <w:ilvl w:val="0"/>
          <w:numId w:val="1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quien aplique el esquema diferencial sea la persona prestadora de los servicios públicos de acueducto, alcantarillado o aseo sujetos al mismo.</w:t>
      </w:r>
    </w:p>
    <w:p w14:paraId="3BA6A104"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43BB0114" w14:textId="027BFD7C" w:rsidR="00FC79C1" w:rsidRPr="009342F9" w:rsidRDefault="00FC79C1" w:rsidP="00D33608">
      <w:pPr>
        <w:numPr>
          <w:ilvl w:val="0"/>
          <w:numId w:val="1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Que las condiciones para la prestación de los servicios públicos de acueducto, alcantarillado o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cumplen con lo señalado en el artículo 2.3.7.2.2.1.6. de la presente subsección.</w:t>
      </w:r>
    </w:p>
    <w:p w14:paraId="69B82828"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782539EC" w14:textId="0DBCA8EE" w:rsidR="00FC79C1" w:rsidRDefault="00FC79C1" w:rsidP="00D33608">
      <w:pPr>
        <w:numPr>
          <w:ilvl w:val="0"/>
          <w:numId w:val="1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la certificación, a la que se refiere el numeral 3 del artículo anterior, sea expedida por el Alcalde Municipal o Distrital o por el funcionario municipal o distrital competente para ello y se cuente con el soporte de la ubicación geográfica de las áreas de difícil gestión.</w:t>
      </w:r>
    </w:p>
    <w:p w14:paraId="19A96AE2" w14:textId="77777777" w:rsidR="00D33608" w:rsidRPr="009342F9" w:rsidRDefault="00D33608" w:rsidP="00D33608">
      <w:pPr>
        <w:spacing w:after="0" w:line="240" w:lineRule="auto"/>
        <w:ind w:left="360"/>
        <w:jc w:val="both"/>
        <w:rPr>
          <w:rFonts w:ascii="Arial" w:eastAsia="Times New Roman" w:hAnsi="Arial" w:cs="Arial"/>
          <w:color w:val="000000"/>
          <w:lang w:eastAsia="es-CO"/>
        </w:rPr>
      </w:pPr>
    </w:p>
    <w:p w14:paraId="472C14E2" w14:textId="0C9BBFC2" w:rsidR="00FC79C1" w:rsidRPr="009342F9" w:rsidRDefault="00FC79C1" w:rsidP="00D33608">
      <w:pPr>
        <w:numPr>
          <w:ilvl w:val="0"/>
          <w:numId w:val="1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el convenio, al que se refiere el numeral 4 del artículo anterior, se encuentre suscrito por parte del Alcalde Municipal o Distrital y el Representante Legal de la persona prestadora y en él se identifiquen las obligaciones de las partes.</w:t>
      </w:r>
    </w:p>
    <w:p w14:paraId="4E18322B"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012A0F93" w14:textId="77777777" w:rsidR="00FC79C1" w:rsidRPr="009342F9" w:rsidRDefault="00FC79C1" w:rsidP="003A7D54">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aquellos casos en que la prestación de los servicios públicos de acueducto, alcantarillado o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esté a cargo del municipio o distrito como prestador directo, estas estén definidas en el acto administrativo expedido por el Alcalde Municipal o Distrital.  </w:t>
      </w:r>
    </w:p>
    <w:p w14:paraId="45A43C57" w14:textId="77777777" w:rsidR="00FC79C1" w:rsidRPr="009342F9" w:rsidRDefault="00FC79C1" w:rsidP="00FC79C1">
      <w:pPr>
        <w:spacing w:after="0" w:line="240" w:lineRule="auto"/>
        <w:ind w:left="566"/>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8ABA974" w14:textId="77777777" w:rsidR="00FC79C1" w:rsidRPr="009342F9" w:rsidRDefault="00FC79C1" w:rsidP="003A7D54">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cuando exista un contrato de operación y se proyecte la aplicación de un esquema diferencial en donde se comprometan recursos públicos, se hayan realizado las modificaciones al contrato de operación existente donde se incorporen las metas establecidas en el plan de gestión señalado en el artículo 2.3.7.2.2.1.8. de la presente subsección.  </w:t>
      </w:r>
    </w:p>
    <w:p w14:paraId="7C908FE5" w14:textId="77777777" w:rsidR="00FC79C1" w:rsidRPr="009342F9" w:rsidRDefault="00FC79C1" w:rsidP="00FC79C1">
      <w:pPr>
        <w:spacing w:after="0" w:line="240" w:lineRule="auto"/>
        <w:ind w:left="566"/>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5CAF207" w14:textId="78FD9E11" w:rsidR="00FC79C1" w:rsidRPr="009342F9" w:rsidRDefault="00FC79C1" w:rsidP="003A7D54">
      <w:pPr>
        <w:numPr>
          <w:ilvl w:val="0"/>
          <w:numId w:val="16"/>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el estudio de costos y tarifas, al que se refiere el numeral 5 del artículo anterior, se ajuste a la regulación que para el efecto expida la Comisión de Regulación de Agua Potable y Saneamiento Básico.</w:t>
      </w:r>
      <w:r w:rsidR="0015442F" w:rsidRPr="009342F9">
        <w:rPr>
          <w:rFonts w:ascii="Arial" w:eastAsia="Times New Roman" w:hAnsi="Arial" w:cs="Arial"/>
          <w:color w:val="000000"/>
          <w:lang w:eastAsia="es-CO"/>
        </w:rPr>
        <w:t xml:space="preserve"> </w:t>
      </w:r>
      <w:r w:rsidRPr="009342F9">
        <w:rPr>
          <w:rFonts w:ascii="Arial" w:eastAsia="Times New Roman" w:hAnsi="Arial" w:cs="Arial"/>
          <w:color w:val="000000"/>
          <w:lang w:eastAsia="es-CO"/>
        </w:rPr>
        <w:t>Que mientras la Comisión de Regulación de Agua Potable y Saneamiento Básico expide la regulación para este esquema, estos no superen los costos de referencia de la metodología tarifaria vigente que aplique el prestador.  </w:t>
      </w:r>
    </w:p>
    <w:p w14:paraId="34A5E591" w14:textId="77777777" w:rsidR="0015442F" w:rsidRPr="009342F9" w:rsidRDefault="0015442F" w:rsidP="0015442F">
      <w:pPr>
        <w:spacing w:after="0" w:line="240" w:lineRule="auto"/>
        <w:ind w:left="566"/>
        <w:jc w:val="both"/>
        <w:rPr>
          <w:rFonts w:ascii="Arial" w:eastAsia="Times New Roman" w:hAnsi="Arial" w:cs="Arial"/>
          <w:color w:val="000000"/>
          <w:lang w:eastAsia="es-CO"/>
        </w:rPr>
      </w:pPr>
    </w:p>
    <w:p w14:paraId="45B3CA03" w14:textId="7B9BE3CD" w:rsidR="00FC79C1" w:rsidRPr="009342F9" w:rsidRDefault="00FC79C1" w:rsidP="003A7D54">
      <w:pPr>
        <w:numPr>
          <w:ilvl w:val="0"/>
          <w:numId w:val="17"/>
        </w:numPr>
        <w:spacing w:after="0" w:line="240" w:lineRule="auto"/>
        <w:ind w:left="360"/>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el contrato de condiciones uniformes, al que se refiere el numeral 6 del artículo anterior, se contemplen las condiciones en las que se prestará el servicio</w:t>
      </w:r>
      <w:r w:rsidR="0015442F" w:rsidRPr="009342F9">
        <w:rPr>
          <w:rFonts w:ascii="Arial" w:eastAsia="Times New Roman" w:hAnsi="Arial" w:cs="Arial"/>
          <w:color w:val="000000"/>
          <w:lang w:eastAsia="es-CO"/>
        </w:rPr>
        <w:t>.</w:t>
      </w:r>
    </w:p>
    <w:p w14:paraId="267F294F"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1D59BC45" w14:textId="5B64BB06" w:rsidR="00FC79C1" w:rsidRPr="009342F9" w:rsidRDefault="00FC79C1" w:rsidP="003A7D54">
      <w:pPr>
        <w:numPr>
          <w:ilvl w:val="0"/>
          <w:numId w:val="18"/>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el plazo de aplicación del esquema diferencial, al que se refiere el numeral 7 del artículo anterior, esté definido.</w:t>
      </w:r>
    </w:p>
    <w:p w14:paraId="4267BCBB"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16985B1E" w14:textId="2308FF37" w:rsidR="00FC79C1" w:rsidRDefault="00FC79C1" w:rsidP="003A7D54">
      <w:pPr>
        <w:numPr>
          <w:ilvl w:val="0"/>
          <w:numId w:val="19"/>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el plan de gestión, al que se refiere el artículo 2.3.7.2.2.1.8. de la presente subsección, se encuentre suscrito por el Representante Legal de la persona prestadora y se identifiquen las metas, indicadores, plazos, objetivos, acciones y fuentes de financiación para el cumplimiento de las condiciones diferenciales definidas en el artículo 2.3.7.2.2.1.6. de la presente subsección y de los estándares de prestación de los servicios públicos definidos por la regulación.</w:t>
      </w:r>
    </w:p>
    <w:p w14:paraId="2B33AAA3" w14:textId="77777777" w:rsidR="003A7D54" w:rsidRPr="009342F9" w:rsidRDefault="003A7D54" w:rsidP="003A7D54">
      <w:pPr>
        <w:spacing w:after="0" w:line="240" w:lineRule="auto"/>
        <w:ind w:left="360"/>
        <w:jc w:val="both"/>
        <w:rPr>
          <w:rFonts w:ascii="Arial" w:eastAsia="Times New Roman" w:hAnsi="Arial" w:cs="Arial"/>
          <w:color w:val="000000"/>
          <w:lang w:eastAsia="es-CO"/>
        </w:rPr>
      </w:pPr>
    </w:p>
    <w:p w14:paraId="1AD15A58" w14:textId="1E913FF6" w:rsidR="00FC79C1" w:rsidRPr="003A7D54" w:rsidRDefault="00FC79C1" w:rsidP="003A7D54">
      <w:pPr>
        <w:numPr>
          <w:ilvl w:val="0"/>
          <w:numId w:val="20"/>
        </w:numPr>
        <w:spacing w:after="0" w:line="240" w:lineRule="auto"/>
        <w:ind w:left="360"/>
        <w:jc w:val="both"/>
        <w:rPr>
          <w:rFonts w:ascii="Arial" w:eastAsia="Times New Roman" w:hAnsi="Arial" w:cs="Arial"/>
          <w:color w:val="000000"/>
          <w:lang w:eastAsia="es-CO"/>
        </w:rPr>
      </w:pPr>
      <w:proofErr w:type="gramStart"/>
      <w:r w:rsidRPr="003A7D54">
        <w:rPr>
          <w:rFonts w:ascii="Arial" w:eastAsia="Times New Roman" w:hAnsi="Arial" w:cs="Arial"/>
          <w:color w:val="000000"/>
          <w:lang w:eastAsia="es-CO"/>
        </w:rPr>
        <w:t>Que</w:t>
      </w:r>
      <w:proofErr w:type="gramEnd"/>
      <w:r w:rsidRPr="003A7D54">
        <w:rPr>
          <w:rFonts w:ascii="Arial" w:eastAsia="Times New Roman" w:hAnsi="Arial" w:cs="Arial"/>
          <w:color w:val="000000"/>
          <w:lang w:eastAsia="es-CO"/>
        </w:rPr>
        <w:t xml:space="preserve"> en las áreas de difícil gestión, que se incluyan en el Plan de Desarrollo Municipal o Distrital vigente a la fecha de reporte en el Sistema Único de Información (SUI), se cuente con el plan que contenga las metas y su gradualidad, para que se</w:t>
      </w:r>
      <w:r w:rsidR="003A7D54" w:rsidRPr="003A7D54">
        <w:rPr>
          <w:rFonts w:ascii="Arial" w:eastAsia="Times New Roman" w:hAnsi="Arial" w:cs="Arial"/>
          <w:color w:val="000000"/>
          <w:lang w:eastAsia="es-CO"/>
        </w:rPr>
        <w:t xml:space="preserve"> </w:t>
      </w:r>
      <w:r w:rsidRPr="003A7D54">
        <w:rPr>
          <w:rFonts w:ascii="Arial" w:eastAsia="Times New Roman" w:hAnsi="Arial" w:cs="Arial"/>
          <w:color w:val="000000"/>
          <w:lang w:eastAsia="es-CO"/>
        </w:rPr>
        <w:t>logre el cumplimiento de los estándares señalados por la regulación para la prestación de los servicios públicos domiciliarios.  </w:t>
      </w:r>
    </w:p>
    <w:p w14:paraId="11AFB3B9" w14:textId="77777777" w:rsidR="0015442F" w:rsidRPr="009342F9" w:rsidRDefault="0015442F" w:rsidP="0015442F">
      <w:pPr>
        <w:spacing w:after="0" w:line="240" w:lineRule="auto"/>
        <w:jc w:val="both"/>
        <w:rPr>
          <w:rFonts w:ascii="Arial" w:eastAsia="Times New Roman" w:hAnsi="Arial" w:cs="Arial"/>
          <w:color w:val="000000"/>
          <w:lang w:eastAsia="es-CO"/>
        </w:rPr>
      </w:pPr>
    </w:p>
    <w:p w14:paraId="6C83A0D5"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El esquema diferencial adoptado para cada uno de los servicios públicos de acueducto, alcantarillado o aseo en las áreas de difícil </w:t>
      </w:r>
      <w:proofErr w:type="gramStart"/>
      <w:r w:rsidRPr="009342F9">
        <w:rPr>
          <w:rFonts w:ascii="Arial" w:eastAsia="Times New Roman" w:hAnsi="Arial" w:cs="Arial"/>
          <w:color w:val="000000"/>
          <w:lang w:eastAsia="es-CO"/>
        </w:rPr>
        <w:t>gestión,</w:t>
      </w:r>
      <w:proofErr w:type="gramEnd"/>
      <w:r w:rsidRPr="009342F9">
        <w:rPr>
          <w:rFonts w:ascii="Arial" w:eastAsia="Times New Roman" w:hAnsi="Arial" w:cs="Arial"/>
          <w:color w:val="000000"/>
          <w:lang w:eastAsia="es-CO"/>
        </w:rPr>
        <w:t xml:space="preserve"> no podrá afectar los estándares de prestación definidos por la regulación en las demás áreas o zonas del municipio atendidas por el prestador, que no sean objeto de aplicación de dicho esquema.  </w:t>
      </w:r>
    </w:p>
    <w:p w14:paraId="10BDF46E"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56ECE9"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En ningún caso se podrá aplicar un esquema diferencial en suelos de protección conforme al artículo 35 de la Ley 388 de 1997.  </w:t>
      </w:r>
    </w:p>
    <w:p w14:paraId="0C2EE2A4" w14:textId="1C8E6FA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58" w:name="ver_30125004"/>
      <w:bookmarkEnd w:id="2158"/>
    </w:p>
    <w:p w14:paraId="7DB961BA" w14:textId="1F5D993B"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2.3.7.2.2.1.4. Modificación y prórroga del esquema diferencial en áreas de difícil gestión. El esquema diferencial podrá ser modificado por parte de la persona prestadora antes del vencimiento del plazo señalado para la terminación </w:t>
      </w:r>
      <w:proofErr w:type="gramStart"/>
      <w:r w:rsidRPr="009342F9">
        <w:rPr>
          <w:rFonts w:ascii="Arial" w:eastAsia="Times New Roman" w:hAnsi="Arial" w:cs="Arial"/>
          <w:color w:val="000000"/>
          <w:lang w:eastAsia="es-CO"/>
        </w:rPr>
        <w:t>del mismo</w:t>
      </w:r>
      <w:proofErr w:type="gramEnd"/>
      <w:r w:rsidRPr="009342F9">
        <w:rPr>
          <w:rFonts w:ascii="Arial" w:eastAsia="Times New Roman" w:hAnsi="Arial" w:cs="Arial"/>
          <w:color w:val="000000"/>
          <w:lang w:eastAsia="es-CO"/>
        </w:rPr>
        <w:t>, para lo cual deberá cumplir con todos los requisitos a que se refiere el artículo 2.3.7.2.2.1.2 de la presente subsección e informarlo por escrito a la Superintendencia de Servicios Públicos Domiciliarios. </w:t>
      </w:r>
    </w:p>
    <w:p w14:paraId="64CC3E2E"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4BE70698"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Las modificaciones que se realicen en el Plan de Desarrollo Municipal o Distrital, respecto a las áreas de difícil gestión, deberán ser reportadas en el Sistema Único de Información (SUI) por la persona prestadora y estar acorde con las medidas adoptadas en el municipio para la legalización urbanística o mejoramiento integral. </w:t>
      </w:r>
    </w:p>
    <w:p w14:paraId="78F4CFF4"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59" w:name="ver_30125007"/>
      <w:bookmarkEnd w:id="2159"/>
    </w:p>
    <w:p w14:paraId="62DAC291"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2.3.7.2.2.1.5. Terminación del esquema diferencial en áreas de difícil gestión. El esquema diferencial termina cuando se superan las condiciones del servicio que dieron origen a la prestación en condiciones diferenciales dentro del plazo fijado o cuando culmine el plazo del plan que contiene las metas y gradualidad para el logro de los estándares señalados por la regulación. En todo caso, la persona prestadora deberá informarlo a la Superintendencia de Servicios Públicos Domiciliarios. </w:t>
      </w:r>
    </w:p>
    <w:p w14:paraId="7D67297C"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9AF8111"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Cuando la Superintendencia de Servicios Públicos Domiciliarios en ejercicio de sus funciones de inspección, vigilancia y control encuentre que no se están cumpliendo las obligaciones en la aplicación del esquema diferencial, podrá imponer las sanciones y demás acciones para corregir la actuación del prestador. </w:t>
      </w:r>
    </w:p>
    <w:p w14:paraId="5CF74F4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60" w:name="ver_30125018"/>
      <w:bookmarkEnd w:id="2160"/>
    </w:p>
    <w:p w14:paraId="16AA2CFE"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2.3.7.2.2.1.6. Condiciones de los esquemas diferenciales para los servicios de acueducto, alcantarillado o aseo en un área de difícil gestión. La persona prestadora de los servicios públicos de acueducto, alcantarillado o aseo que opere en un área de difícil gestión, podrá sujetarse a las siguientes condiciones diferenciales, durante el plazo del esquema diferencial:  </w:t>
      </w:r>
    </w:p>
    <w:p w14:paraId="198CD4F5"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D275D3" w14:textId="77777777" w:rsidR="00FC79C1" w:rsidRPr="009342F9" w:rsidRDefault="00FC79C1" w:rsidP="00672CC5">
      <w:pPr>
        <w:numPr>
          <w:ilvl w:val="0"/>
          <w:numId w:val="21"/>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Servicio de acueducto y alcantarillado:</w:t>
      </w:r>
    </w:p>
    <w:p w14:paraId="06FEE9AF" w14:textId="77777777" w:rsidR="00FC79C1" w:rsidRPr="009342F9" w:rsidRDefault="00FC79C1" w:rsidP="00FC79C1">
      <w:pPr>
        <w:spacing w:after="0" w:line="240" w:lineRule="auto"/>
        <w:ind w:left="459"/>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C57A3BB"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1.1. Servicio provisional. El servicio de acueducto podrá prestarse de manera provisional mediante pilas públicas como lo contempla el presente decreto u otra alternativa que tenga viabilidad técnica y sostenibilidad económica de acuerdo con la definición que la ley señala sobre estos servicios. En todo caso, la operación y mantenimiento, así como de la calidad del agua, de acuerdo con lo dispuesto en el Decreto 1575 de 2007, su desarrollo o aquella norma que lo </w:t>
      </w:r>
      <w:proofErr w:type="gramStart"/>
      <w:r w:rsidRPr="009342F9">
        <w:rPr>
          <w:rFonts w:ascii="Arial" w:eastAsia="Times New Roman" w:hAnsi="Arial" w:cs="Arial"/>
          <w:color w:val="000000"/>
          <w:lang w:eastAsia="es-CO"/>
        </w:rPr>
        <w:t>modifique,</w:t>
      </w:r>
      <w:proofErr w:type="gramEnd"/>
      <w:r w:rsidRPr="009342F9">
        <w:rPr>
          <w:rFonts w:ascii="Arial" w:eastAsia="Times New Roman" w:hAnsi="Arial" w:cs="Arial"/>
          <w:color w:val="000000"/>
          <w:lang w:eastAsia="es-CO"/>
        </w:rPr>
        <w:t xml:space="preserve"> adicione o sustituya, será responsabilidad de la persona prestadora hasta el punto de entrega, siendo responsabilidad del suscriptor de ese punto en adelante adoptar las medidas necesarias para mantener la calidad del agua.  </w:t>
      </w:r>
    </w:p>
    <w:p w14:paraId="49312FE0"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F06706C" w14:textId="0A7A4B13"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En el diseño y construcción de redes provisionales para el suministro de agua potable y manejo de aguas residuales domésticas, en áreas de difícil gestión, se podrán emplear parámetros técnicos diferentes a los establecidos en el Reglamento Técnico del Sector de Agua Potable y Saneamiento Básico, siempre y cuando se cuente con los soportes técnicos de la alternativa a desarrollar. En este caso la responsabilidad sobre el funcionamiento de las redes provisionales será del propietario.  </w:t>
      </w:r>
    </w:p>
    <w:p w14:paraId="109EBBA5"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3513ED73"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Las redes instaladas por la comunidad, que no hayan sido entregadas a la persona prestadora, conforme al procedimiento establecido en el presente decreto, estarán a cargo y bajo la responsabilidad del suscriptor colectivo o individual, según el caso.  </w:t>
      </w:r>
    </w:p>
    <w:p w14:paraId="58892553"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69C51C" w14:textId="7825F7E4" w:rsidR="00FC79C1"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El sistema definitivo deberá cumplir con lo dispuesto en el Reglamento Técnico del Sector de Agua Potable y Saneamiento Básico.  </w:t>
      </w:r>
    </w:p>
    <w:p w14:paraId="63A3ED5F" w14:textId="77777777" w:rsidR="003A7D54" w:rsidRPr="009342F9" w:rsidRDefault="003A7D54" w:rsidP="00FC79C1">
      <w:pPr>
        <w:spacing w:after="0" w:line="240" w:lineRule="auto"/>
        <w:ind w:left="-14"/>
        <w:jc w:val="both"/>
        <w:rPr>
          <w:rFonts w:ascii="Arial" w:eastAsia="Times New Roman" w:hAnsi="Arial" w:cs="Arial"/>
          <w:color w:val="000000"/>
          <w:lang w:eastAsia="es-CO"/>
        </w:rPr>
      </w:pPr>
    </w:p>
    <w:p w14:paraId="14BB827D"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prestación del servicio de acueducto mediante pilas públicas se sujetará a lo dispuesto en los artículos 2.3.1.3.2.7.1.30., 2.3.1.3.2.7.1.31. y 2.3.1.3.2.7.1.32 del presente decreto.  </w:t>
      </w:r>
    </w:p>
    <w:p w14:paraId="7889BB8A"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6EC9DEF"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1.2. Continuidad. La persona prestadora del servicio público de acueducto que no pueda suministrar agua de manera continua, podrá suministrarla garantizando un volumen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las condiciones técnicas del sistema, el cual deberá incrementarse hasta lograr por lo menos el suministro del consumo básico establecido por la Comisión de Regulación de Agua Potable y Saneamiento Básico, en concordancia con el plan de gestión señalado en el artículo 2.3.7.2.2.1.8. de la presente subsección y el convenio suscrito entre la persona prestadora y la entidad territorial.  </w:t>
      </w:r>
    </w:p>
    <w:p w14:paraId="4E73BCF4"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924C265"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1.3. </w:t>
      </w:r>
      <w:proofErr w:type="spellStart"/>
      <w:r w:rsidRPr="009342F9">
        <w:rPr>
          <w:rFonts w:ascii="Arial" w:eastAsia="Times New Roman" w:hAnsi="Arial" w:cs="Arial"/>
          <w:color w:val="000000"/>
          <w:lang w:eastAsia="es-CO"/>
        </w:rPr>
        <w:t>Micromedición</w:t>
      </w:r>
      <w:proofErr w:type="spellEnd"/>
      <w:r w:rsidRPr="009342F9">
        <w:rPr>
          <w:rFonts w:ascii="Arial" w:eastAsia="Times New Roman" w:hAnsi="Arial" w:cs="Arial"/>
          <w:color w:val="000000"/>
          <w:lang w:eastAsia="es-CO"/>
        </w:rPr>
        <w:t xml:space="preserve">. La persona prestadora del servicio público de acueducto que no cuente con </w:t>
      </w:r>
      <w:proofErr w:type="spellStart"/>
      <w:r w:rsidRPr="009342F9">
        <w:rPr>
          <w:rFonts w:ascii="Arial" w:eastAsia="Times New Roman" w:hAnsi="Arial" w:cs="Arial"/>
          <w:color w:val="000000"/>
          <w:lang w:eastAsia="es-CO"/>
        </w:rPr>
        <w:t>micromedición</w:t>
      </w:r>
      <w:proofErr w:type="spellEnd"/>
      <w:r w:rsidRPr="009342F9">
        <w:rPr>
          <w:rFonts w:ascii="Arial" w:eastAsia="Times New Roman" w:hAnsi="Arial" w:cs="Arial"/>
          <w:color w:val="000000"/>
          <w:lang w:eastAsia="es-CO"/>
        </w:rPr>
        <w:t xml:space="preserve"> individual en el área de difícil gestión, podrá realizar la estimación de los consumos de los suscriptores que carecen de medidor, mediante parámetros alternativos definidos por la Comisión de Regulación de Agua Potable y Saneamiento Básico, para efectos de la facturación.  </w:t>
      </w:r>
    </w:p>
    <w:p w14:paraId="224269CB"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E16710"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1.4. Suscriptor en el caso de pilas públicas. En el caso que el servicio público de acueducto sea prestado de manera provisional mediante pilas públicas, el suscriptor podrá ser colectivo o individual. Cuando el suscriptor sea colectivo, deberá estar representado por una persona jurídica sin ánimo de lucro.  </w:t>
      </w:r>
    </w:p>
    <w:p w14:paraId="2A3BB43E"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F7E89C9"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Servicio público de aseo. La persona prestadora del servicio público de aseo o sus actividades complementarias, establecerá en el programa de prestación del servicio que trata el artículo 2.3.2.2.1.10 del presente decreto, la gradualidad para la incorporación de las diferentes actividades del servicio de acuerdo con las condiciones municipales o distritales.</w:t>
      </w:r>
    </w:p>
    <w:p w14:paraId="4478C700"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87722D0"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Recolección y transporte. Cuando la recolección de residuos sólidos no se realice puerta a puerta, se deberá implementar la recolección mediante sistemas colectivos de presentación y almacenamiento de residuos sólidos.</w:t>
      </w:r>
    </w:p>
    <w:p w14:paraId="3D7F8145"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F8F09A2"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Barrido y limpieza de vías y áreas públicas. En calles no pavimentadas y en áreas donde por sus características físicas no sea posible realizar el barrido mecánico, se desarrollarán labores de limpieza manual a cargo de la persona prestadora.</w:t>
      </w:r>
    </w:p>
    <w:p w14:paraId="0D717654"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10FE594" w14:textId="308431EA"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Aspectos tarifarios. Las tarifas que aplicará la persona prestadora de los servicios públicos de acueducto, alcantarillado o aseo, deberán adoptarse conforme a la regulación que expida la Comisión de Regulación de Agua Potable y Saneamiento Básico para este caso y lo previsto en el inciso segundo del numeral 4 del artículo 2.3.7.2.2.1.2. de la presente subsección.</w:t>
      </w:r>
    </w:p>
    <w:p w14:paraId="29E70D13"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FED4F1F"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Condiciones diferenciales en los contratos de servicios públicos. Las personas prestadoras incorporarán en sus contratos de servicios públicos las condiciones de este esquema diferencial, conforme a lo establecido en la presente subsección, sin perjuicio de lo contenido en la regulación sobre contrato de servicios públicos y sus condiciones uniformes, en lo dispuesto en el artículo 128 de la Ley 142 de 1994 y en las demás disposiciones aplicables.</w:t>
      </w:r>
    </w:p>
    <w:p w14:paraId="6E011B18"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7968D2" w14:textId="77777777"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BB718E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61" w:name="ver_30125023"/>
      <w:bookmarkEnd w:id="2161"/>
    </w:p>
    <w:p w14:paraId="7A4437BA"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2.3.7.2.2.1.7. Contrato de servicios públicos para el esquema diferencial en áreas de difícil gestión. La persona prestadora deberá adoptar un contrato de servicios públicos para el esquema diferencial en áreas de difícil gestión, en el cual incluirá las condiciones diferenciales respectivas. </w:t>
      </w:r>
    </w:p>
    <w:p w14:paraId="261ACF8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62" w:name="ver_30125033"/>
      <w:bookmarkEnd w:id="2162"/>
    </w:p>
    <w:p w14:paraId="6D988313"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2.3.7.2.2.1.8. Planes de gestión en áreas de difícil gestión. La persona prestadora deberá establecer un plan de gestión en donde se definan las metas, indicadores, plazos, objetivos, acciones y fuentes de financiación para el cumplimiento de las condiciones diferenciales definidas en el artículo 2.3.7.2.2.1.6. de la presente subsección y los estándares de prestación de los servicios públicos definidos por la regulación. Dicho plan deberá contener como mínimo:  </w:t>
      </w:r>
    </w:p>
    <w:p w14:paraId="0EE9549C"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85F9CF2" w14:textId="22D645FB" w:rsidR="00FC79C1" w:rsidRDefault="00FC79C1" w:rsidP="003A7D54">
      <w:pPr>
        <w:pStyle w:val="ListParagraph"/>
        <w:numPr>
          <w:ilvl w:val="0"/>
          <w:numId w:val="22"/>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Plan de obras e inversiones y,</w:t>
      </w:r>
    </w:p>
    <w:p w14:paraId="11477A50" w14:textId="77777777" w:rsidR="003A7D54" w:rsidRPr="009342F9" w:rsidRDefault="003A7D54" w:rsidP="003A7D54">
      <w:pPr>
        <w:pStyle w:val="ListParagraph"/>
        <w:spacing w:after="0" w:line="240" w:lineRule="auto"/>
        <w:ind w:left="360"/>
        <w:jc w:val="both"/>
        <w:rPr>
          <w:rFonts w:ascii="Arial" w:eastAsia="Times New Roman" w:hAnsi="Arial" w:cs="Arial"/>
          <w:color w:val="000000"/>
          <w:lang w:eastAsia="es-CO"/>
        </w:rPr>
      </w:pPr>
    </w:p>
    <w:p w14:paraId="7714B332" w14:textId="77777777" w:rsidR="00FC79C1" w:rsidRPr="009342F9" w:rsidRDefault="00FC79C1" w:rsidP="003A7D54">
      <w:pPr>
        <w:numPr>
          <w:ilvl w:val="0"/>
          <w:numId w:val="22"/>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Plan de aseguramiento de la prestación de los servicios públicos para el cumplimiento de los estándares de prestación de dichos servicios.</w:t>
      </w:r>
    </w:p>
    <w:p w14:paraId="514EF165" w14:textId="183C3EC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63" w:name="ver_30125036"/>
      <w:bookmarkEnd w:id="2163"/>
    </w:p>
    <w:p w14:paraId="5C8F8748"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2.3.7.2.2.1.9. Apoyo de los municipios y distritos. Los municipios, distritos y departamentos, acorde con su obligación constitucional y legal, priorizarán el apoyo técnico y financiero para la estructuración e implementación de las acciones derivadas de los planes de gestión en áreas de difícil gestión y apoyarán técnica y financieramente los proyectos para mejorar la prestación de dichos servicios públicos. </w:t>
      </w:r>
    </w:p>
    <w:p w14:paraId="0945BBF6"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Estos proyectos se incluirán en el Plan de Inversiones del Plan de Desarrollo del municipio o distrito de que trata la Ley 152 de 1994 y en el convenio que suscriba la entidad territorial y la persona prestadora. </w:t>
      </w:r>
    </w:p>
    <w:p w14:paraId="534887EF"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64" w:name="ver_30125044"/>
      <w:bookmarkEnd w:id="2164"/>
    </w:p>
    <w:p w14:paraId="2093C52D"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2.3.7.2.2.1.10. Reporte de los municipios y distritos. El municipio o distrito presentará, antes de agosto de cada año al Concejo Municipal o Distrital, al Ministerio de Vivienda, Ciudad y Territorio un reporte de cumplimiento de metas de los proyectos de servicios públicos incluidos en el Plan de Inversiones del Plan de Desarrollo que correspondan a la zona de difícil gestión. </w:t>
      </w:r>
    </w:p>
    <w:p w14:paraId="600011A8"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B250B7"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persona prestadora con esta información determinará el impacto para el cumplimiento de las metas y de la gradualidad en el logro de los estándares señalados por la regulación. </w:t>
      </w:r>
    </w:p>
    <w:p w14:paraId="3CCF71E5"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65" w:name="ver_30125054"/>
      <w:bookmarkEnd w:id="2165"/>
    </w:p>
    <w:p w14:paraId="7D5129F1" w14:textId="77777777" w:rsidR="00FC79C1" w:rsidRPr="009342F9" w:rsidRDefault="00FC79C1" w:rsidP="00FC79C1">
      <w:pPr>
        <w:spacing w:after="0" w:line="240" w:lineRule="auto"/>
        <w:ind w:left="-15"/>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2.3.7.2.2.1.11. Obligaciones del suscriptor. Sin perjuicio de las obligaciones que se señalen en el contrato de servicios públicos para el esquema diferencial en áreas de difícil gestión, o en la Ley 142 de 1994 en lo que sea pertinente, corresponde al suscriptor colectivo o individual, según el caso, las siguientes:  </w:t>
      </w:r>
    </w:p>
    <w:p w14:paraId="2DC2F4E5" w14:textId="77777777" w:rsidR="00FC79C1" w:rsidRPr="009342F9" w:rsidRDefault="00FC79C1" w:rsidP="00FC79C1">
      <w:pPr>
        <w:spacing w:after="0" w:line="240" w:lineRule="auto"/>
        <w:ind w:left="-15"/>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B39AFDD" w14:textId="77777777" w:rsidR="00FC79C1" w:rsidRPr="009342F9" w:rsidRDefault="00FC79C1" w:rsidP="003A7D54">
      <w:pPr>
        <w:numPr>
          <w:ilvl w:val="0"/>
          <w:numId w:val="23"/>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Soluciones alternativas para el manejo de aguas residuales domésticas a cargo del suscriptor. Cuando no exista red local de alcantarillado para que el suscriptor pueda conectarse, este podrá vincularse al servicio público de acueducto, siempre y cuando cuente con un sistema alterno para el manejo de sus aguas residuales domésticas, que cumpla con las disposiciones ambientales que correspondan.</w:t>
      </w:r>
    </w:p>
    <w:p w14:paraId="5F1C6D60"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9CEFA3" w14:textId="77777777" w:rsidR="00FC79C1" w:rsidRPr="009342F9" w:rsidRDefault="00FC79C1" w:rsidP="003A7D54">
      <w:pPr>
        <w:numPr>
          <w:ilvl w:val="0"/>
          <w:numId w:val="24"/>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Mantenimiento de las redes construidas por los suscriptores que no hayan sido entregadas a la persona prestadora. El suscriptor de los servicios públicos de acueducto y alcantarillado está en la obligación de hacer el mantenimiento y reparación de aquellas redes de acueducto y alcantarillado construidas por él o por la comunidad y que no hayan sido entregadas a la persona prestadora.</w:t>
      </w:r>
    </w:p>
    <w:p w14:paraId="7FA23267"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7492BB"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2DC667"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Con el propósito de promover el ahorro y uso eficiente del agua, la persona prestadora podrá brindar asistencia para reducir las pérdidas técnicas en las redes a cargo de la comunidad, así como para mejorar la operación y mantenimiento de </w:t>
      </w:r>
      <w:proofErr w:type="gramStart"/>
      <w:r w:rsidRPr="009342F9">
        <w:rPr>
          <w:rFonts w:ascii="Arial" w:eastAsia="Times New Roman" w:hAnsi="Arial" w:cs="Arial"/>
          <w:color w:val="000000"/>
          <w:lang w:eastAsia="es-CO"/>
        </w:rPr>
        <w:t>las mismas</w:t>
      </w:r>
      <w:proofErr w:type="gramEnd"/>
      <w:r w:rsidRPr="009342F9">
        <w:rPr>
          <w:rFonts w:ascii="Arial" w:eastAsia="Times New Roman" w:hAnsi="Arial" w:cs="Arial"/>
          <w:color w:val="000000"/>
          <w:lang w:eastAsia="es-CO"/>
        </w:rPr>
        <w:t>.  </w:t>
      </w:r>
    </w:p>
    <w:p w14:paraId="4A215FA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D5F0B17"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166" w:name="ver_30125055"/>
      <w:bookmarkEnd w:id="2166"/>
      <w:r w:rsidRPr="009342F9">
        <w:rPr>
          <w:rFonts w:ascii="Arial" w:eastAsia="Times New Roman" w:hAnsi="Arial" w:cs="Arial"/>
          <w:b/>
          <w:bCs/>
          <w:color w:val="000000"/>
          <w:lang w:eastAsia="es-CO"/>
        </w:rPr>
        <w:t>SUBSECCIÓN 2</w:t>
      </w:r>
    </w:p>
    <w:p w14:paraId="42395C81"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ESQUEMAS DIFERENCIALES DE PRESTACIÓN EN ZONAS DE DIFÍCIL ACCESO</w:t>
      </w:r>
    </w:p>
    <w:p w14:paraId="2D9E911D"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67" w:name="ver_30125059"/>
      <w:bookmarkEnd w:id="2167"/>
    </w:p>
    <w:p w14:paraId="3731CD9E"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2.3.7.2.2.2.1. Zonas de difícil acceso. Corresponde al municipio en el cual la persona prestadora en su área de prestación en suelo urbano no puede alcanzar los estándares de eficiencia, cobertura o calidad en los plazos establecidos en la regulación expedida por la Comisión de Regulación de Agua Potable y Saneamiento Básico, y cuenta con una población urbana menor a 25.000 habitantes según la información censal del Departamento Administrativo Nacional de Estadística (DANE) y está ubicado en Zonas No Interconectadas (ZNI) del sistema eléctrico nacional de la Unidad de Planeación Minero Energética (UPME). </w:t>
      </w:r>
    </w:p>
    <w:p w14:paraId="0CA9F633"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F56C729"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información a la que hace referencia este artículo debe corresponder con la información disponible más reciente al momento de presentación de la solicitud. </w:t>
      </w:r>
    </w:p>
    <w:p w14:paraId="3A03E9B2" w14:textId="242ECF42"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68" w:name="ver_30125065"/>
      <w:bookmarkEnd w:id="2168"/>
    </w:p>
    <w:p w14:paraId="43293000" w14:textId="32D1CF79"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2.3.7.2.2.2.2. Solicitud de un esquema diferencial en zonas de difícil acceso. La persona prestadora interesada en implementar un esquema diferencial en una zona de difícil acceso deberá presentar una solicitud por escrito ante la Comisión de Regulación de Agua Potable y Saneamiento Básico con los siguientes requisitos mínimos:  </w:t>
      </w:r>
    </w:p>
    <w:p w14:paraId="36112D26"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1E233DC7" w14:textId="5A4090E3" w:rsidR="00FC79C1" w:rsidRDefault="00FC79C1" w:rsidP="003A7D54">
      <w:pPr>
        <w:numPr>
          <w:ilvl w:val="0"/>
          <w:numId w:val="2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Indicar el servicio o servicios que serán objeto del esquema diferencial.</w:t>
      </w:r>
    </w:p>
    <w:p w14:paraId="7A032A54" w14:textId="77777777" w:rsidR="003A7D54" w:rsidRPr="009342F9" w:rsidRDefault="003A7D54" w:rsidP="003A7D54">
      <w:pPr>
        <w:spacing w:after="0" w:line="240" w:lineRule="auto"/>
        <w:ind w:left="360"/>
        <w:jc w:val="both"/>
        <w:rPr>
          <w:rFonts w:ascii="Arial" w:eastAsia="Times New Roman" w:hAnsi="Arial" w:cs="Arial"/>
          <w:color w:val="000000"/>
          <w:lang w:eastAsia="es-CO"/>
        </w:rPr>
      </w:pPr>
    </w:p>
    <w:p w14:paraId="4905C399" w14:textId="4BFDDCA0" w:rsidR="00FC79C1" w:rsidRPr="009342F9" w:rsidRDefault="00FC79C1" w:rsidP="003A7D54">
      <w:pPr>
        <w:numPr>
          <w:ilvl w:val="0"/>
          <w:numId w:val="2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Convenio suscrito entre la persona prestadora y la entidad territorial, donde se determinen las obligaciones de las partes en la aplicación del esquema diferencial.</w:t>
      </w:r>
    </w:p>
    <w:p w14:paraId="6505CD73"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7D2DA948" w14:textId="6B8057EC" w:rsidR="00FC79C1" w:rsidRPr="009342F9" w:rsidRDefault="00FC79C1" w:rsidP="003A7D54">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En aquellos casos en que la prestación de los servicios públicos de acueducto, alcantarillado o aseo, estén a cargo del municipio como prestador directo, y no proceda la celebración del convenio, el Alcalde Municipal fijará mediante acto administrativo las condiciones especiales en que se prestará el respectivo servicio.  </w:t>
      </w:r>
    </w:p>
    <w:p w14:paraId="35B9D6C5"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5BC43427" w14:textId="2AA7A120" w:rsidR="00FC79C1" w:rsidRPr="009342F9" w:rsidRDefault="00FC79C1" w:rsidP="003A7D54">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Cuando exista un contrato de operación y se proyecte la aplicación de un esquema diferencial en donde se comprometan recursos públicos, se deberán realizar las modificaciones que se requieran al contrato de operación existente donde se incorporen las metas establecidas en el plan de gestión señalado en el artículo 2.3.7.2.2.2.8. de la presente subsección.  </w:t>
      </w:r>
    </w:p>
    <w:p w14:paraId="7BDD1520"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1111A5E5" w14:textId="35711BE8" w:rsidR="00FC79C1" w:rsidRPr="009342F9" w:rsidRDefault="00FC79C1" w:rsidP="003A7D54">
      <w:pPr>
        <w:numPr>
          <w:ilvl w:val="0"/>
          <w:numId w:val="26"/>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El plan de gestión al que se refiere el artículo 2.3.7.2.2.2.8. de la presente subsección, en donde se definan las metas, indicadores, plazos, objetivos, acciones y fuentes de financiación para el cumplimiento de las condiciones diferenciales definidas en el artículo 2.3.7.2.2.2.6. de la presente subsección y de los estándares de prestación de los servicios públicos definidos por la regulación.</w:t>
      </w:r>
    </w:p>
    <w:p w14:paraId="4F48730A"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6D1600FB" w14:textId="297225B8" w:rsidR="00FC79C1" w:rsidRPr="009342F9" w:rsidRDefault="00FC79C1" w:rsidP="003A7D54">
      <w:pPr>
        <w:numPr>
          <w:ilvl w:val="0"/>
          <w:numId w:val="27"/>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El contrato de condiciones uniformes que se aplicará en el esquema diferencial.</w:t>
      </w:r>
    </w:p>
    <w:p w14:paraId="1B1DCA94"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00307F45" w14:textId="60F15539" w:rsidR="00FC79C1" w:rsidRPr="009342F9" w:rsidRDefault="00FC79C1" w:rsidP="003A7D54">
      <w:pPr>
        <w:numPr>
          <w:ilvl w:val="0"/>
          <w:numId w:val="28"/>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Estudio de costos y tarifas a aplicar en la zona de difícil acceso para cada servicio que será sujeto del esquema diferencial, el cual deberá ajustarse de acuerdo con la regulación que para el efecto defina la Comisión de Regulación de Agua Potable y Saneamiento Básico.</w:t>
      </w:r>
    </w:p>
    <w:p w14:paraId="255F5429" w14:textId="77777777" w:rsidR="0015442F" w:rsidRPr="009342F9" w:rsidRDefault="0015442F" w:rsidP="0015442F">
      <w:pPr>
        <w:spacing w:after="0" w:line="240" w:lineRule="auto"/>
        <w:ind w:left="720"/>
        <w:jc w:val="both"/>
        <w:rPr>
          <w:rFonts w:ascii="Arial" w:eastAsia="Times New Roman" w:hAnsi="Arial" w:cs="Arial"/>
          <w:color w:val="000000"/>
          <w:lang w:eastAsia="es-CO"/>
        </w:rPr>
      </w:pPr>
    </w:p>
    <w:p w14:paraId="5F8F24B3" w14:textId="552C6450" w:rsidR="00FC79C1" w:rsidRPr="009342F9" w:rsidRDefault="00FC79C1" w:rsidP="00E95447">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Mientras la Comisión de Regulación de Agua Potable y Saneamiento Básico expide la regulación para este esquema, el prestador deberá aplicar la metodología tarifaria vigente, los </w:t>
      </w:r>
      <w:proofErr w:type="gramStart"/>
      <w:r w:rsidRPr="009342F9">
        <w:rPr>
          <w:rFonts w:ascii="Arial" w:eastAsia="Times New Roman" w:hAnsi="Arial" w:cs="Arial"/>
          <w:color w:val="000000"/>
          <w:lang w:eastAsia="es-CO"/>
        </w:rPr>
        <w:t>cuales</w:t>
      </w:r>
      <w:proofErr w:type="gramEnd"/>
      <w:r w:rsidRPr="009342F9">
        <w:rPr>
          <w:rFonts w:ascii="Arial" w:eastAsia="Times New Roman" w:hAnsi="Arial" w:cs="Arial"/>
          <w:color w:val="000000"/>
          <w:lang w:eastAsia="es-CO"/>
        </w:rPr>
        <w:t xml:space="preserve"> en todo caso, no deberán superar los costos de referencia, teniendo en cuenta para ello las condiciones diferenciales de prestación.  </w:t>
      </w:r>
    </w:p>
    <w:p w14:paraId="23112C7A"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117FCE6F" w14:textId="77777777" w:rsidR="00FC79C1" w:rsidRPr="009342F9" w:rsidRDefault="00FC79C1" w:rsidP="00E95447">
      <w:pPr>
        <w:numPr>
          <w:ilvl w:val="0"/>
          <w:numId w:val="29"/>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Los demás requisitos de metodología y documentación de soporte que establezca la Comisión de Regulación de Agua Potable y Saneamiento Básico.</w:t>
      </w:r>
    </w:p>
    <w:p w14:paraId="1A19A690" w14:textId="64E40ED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69" w:name="ver_30125070"/>
      <w:bookmarkEnd w:id="2169"/>
    </w:p>
    <w:p w14:paraId="65178FCB" w14:textId="77777777" w:rsidR="00FC79C1" w:rsidRPr="009342F9" w:rsidRDefault="00FC79C1" w:rsidP="00E95447">
      <w:pPr>
        <w:spacing w:after="0" w:line="240" w:lineRule="auto"/>
        <w:ind w:left="-14" w:firstLine="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2.3.7.2.2.2.3. Aceptación de la solicitud del esquema diferencial en zonas de difícil acceso. La aceptación de la solicitud por parte de la Comisión de Regulación de Agua Potable y Saneamiento Básico para la aplicación del esquema diferencial se hará mediante acto administrativo en el cual se constatará como mínimo:  </w:t>
      </w:r>
    </w:p>
    <w:p w14:paraId="5CA43339" w14:textId="3AA481DD"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24DE854" w14:textId="77777777" w:rsidR="00FC79C1" w:rsidRPr="009342F9" w:rsidRDefault="00FC79C1" w:rsidP="00E95447">
      <w:pPr>
        <w:numPr>
          <w:ilvl w:val="0"/>
          <w:numId w:val="30"/>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quien presente la solicitud sea la persona prestadora de los servicios públicos de acueducto, alcantarillado o aseo sujetos al esquema diferencial.</w:t>
      </w:r>
    </w:p>
    <w:p w14:paraId="21D69118"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F89107F" w14:textId="77777777" w:rsidR="00FC79C1" w:rsidRPr="009342F9" w:rsidRDefault="00FC79C1" w:rsidP="00E95447">
      <w:pPr>
        <w:numPr>
          <w:ilvl w:val="0"/>
          <w:numId w:val="31"/>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el convenio, al que se refiere el numeral 2 del artículo anterior, se encuentre suscrito por parte del Alcalde Municipal y el Representante Legal de la persona prestadora y en él se identifiquen las obligaciones de las partes.</w:t>
      </w:r>
    </w:p>
    <w:p w14:paraId="3632C321" w14:textId="1C1B76F4"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7498A3" w14:textId="77777777" w:rsidR="00FC79C1" w:rsidRPr="009342F9" w:rsidRDefault="00FC79C1" w:rsidP="00E95447">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aquellos casos en que la prestación de los servicios públicos de acueducto, alcantarillado o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esté a cargo del municipio como prestador directo, estas estén definidas en el acto administrativo expedido por el Alcalde Municipal.  </w:t>
      </w:r>
    </w:p>
    <w:p w14:paraId="18108247"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C62A832" w14:textId="77777777" w:rsidR="00FC79C1" w:rsidRPr="009342F9" w:rsidRDefault="00FC79C1" w:rsidP="00E95447">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cuando exista un contrato de operación y se proyecte la aplicación de un esquema diferencial en donde se comprometan recursos públicos, se hayan realizado las modificaciones al contrato de operación existente donde se incorporen las metas establecidas en el plan de gestión señalado en el artículo 2.3.7.2.2.2.8. de la presente subsección.  </w:t>
      </w:r>
    </w:p>
    <w:p w14:paraId="7FDB6E29"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01E1F98" w14:textId="77777777" w:rsidR="00FC79C1" w:rsidRPr="009342F9" w:rsidRDefault="00FC79C1" w:rsidP="00E95447">
      <w:pPr>
        <w:numPr>
          <w:ilvl w:val="0"/>
          <w:numId w:val="32"/>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el plan de gestión al que se refiere el artículo 2.3.7.2.2.2.8. de la presente subsección, se encuentre suscrito por el Representante Legal de la persona prestadora y se identifiquen las metas, indicadores, plazos, objetivos, acciones y fuentes de financiación para el cumplimiento de las condiciones diferenciales definidas en el artículo 2.3.7.2.2.2.6. de la presente subsección y de los estándares de prestación de los servicios públicos definidos por la regulación.</w:t>
      </w:r>
    </w:p>
    <w:p w14:paraId="3EAED812"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4A3F9D0" w14:textId="77777777" w:rsidR="00FC79C1" w:rsidRPr="009342F9" w:rsidRDefault="00FC79C1" w:rsidP="00E95447">
      <w:pPr>
        <w:numPr>
          <w:ilvl w:val="0"/>
          <w:numId w:val="33"/>
        </w:numPr>
        <w:spacing w:after="0" w:line="240" w:lineRule="auto"/>
        <w:ind w:left="360"/>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el contrato de condiciones uniformes, al que se refiere el numeral 4 del artículo anterior, se contemplen las condiciones en las que se prestará el servicio.</w:t>
      </w:r>
    </w:p>
    <w:p w14:paraId="4E6E4773" w14:textId="64AF1E5E"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7B7ECE7" w14:textId="77777777" w:rsidR="00FC79C1" w:rsidRPr="009342F9" w:rsidRDefault="00FC79C1" w:rsidP="00E95447">
      <w:pPr>
        <w:numPr>
          <w:ilvl w:val="0"/>
          <w:numId w:val="34"/>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el estudio de costos y tarifas, al que se refiere el numeral 5 del artículo anterior, se ajuste a la regulación que para el efecto expida la Comisión de Regulación de Agua Potable y Saneamiento Básico.</w:t>
      </w:r>
    </w:p>
    <w:p w14:paraId="660849DC"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066525" w14:textId="77777777" w:rsidR="00FC79C1" w:rsidRPr="009342F9" w:rsidRDefault="00FC79C1" w:rsidP="00E95447">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mientras la Comisión de Regulación de Agua Potable y Saneamiento Básico expide la regulación para este esquema se aplique lo previsto en el inciso segundo del numeral 5 del artículo 2.3.7.2.2.2.2. de la presente subsección.  </w:t>
      </w:r>
    </w:p>
    <w:p w14:paraId="7B632FAE"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7290DFD" w14:textId="77777777" w:rsidR="00FC79C1" w:rsidRPr="009342F9" w:rsidRDefault="00FC79C1" w:rsidP="00E95447">
      <w:pPr>
        <w:numPr>
          <w:ilvl w:val="0"/>
          <w:numId w:val="3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Que se cumple con los demás requisitos de metodología y documentación de soporte establecidos por la Comisión de Regulación de Agua Potable y Saneamiento Básico.</w:t>
      </w:r>
    </w:p>
    <w:p w14:paraId="1C741376" w14:textId="215F2ABE" w:rsidR="00FC79C1" w:rsidRPr="009342F9" w:rsidRDefault="00FC79C1" w:rsidP="0015442F">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70" w:name="ver_30125072"/>
      <w:bookmarkEnd w:id="2170"/>
    </w:p>
    <w:p w14:paraId="2C1B5F26"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2.3.7.2.2.2.4. Modificación y prórroga de las condiciones diferenciales en zonas de difícil acceso. Las metas, indicadores, plazos, objetivos y acciones para el cumplimiento de las condiciones diferenciales definidas en el artículo 2.3.7.2.2.2.6. de la presente subsección, podrán ser modificadas y prorrogadas antes del vencimiento del plazo señalado para la terminación del esquema diferencial por la Comisión de Regulación de Agua Potable y Saneamiento Básico, de oficio o por previa solicitud sustentada por parte de la persona prestadora. En este caso, la persona prestadora deberá ajustar el plan de gestión al que se refiere el artículo 2.3.7.2.2.2.8. de la presente subsección.  </w:t>
      </w:r>
    </w:p>
    <w:p w14:paraId="311E0102"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7197926"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Una vez modificadas y prorrogadas las metas, indicadores, plazos, objetivos y acciones para el cumplimiento de las condiciones diferenciales definidas en el artículo 2.3.7.2.2.2.6. de la presente subsección, la persona prestadora deberá reportar esta circunstancia en el Sistema Único de Información (SUI) administrado por la Superintendencia de Servicios Públicos Domiciliarios.  </w:t>
      </w:r>
    </w:p>
    <w:p w14:paraId="3CF267EB" w14:textId="5AF78175"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71" w:name="ver_30125075"/>
      <w:bookmarkEnd w:id="2171"/>
    </w:p>
    <w:p w14:paraId="3A898940"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2.3.7.2.2.2.5. Terminación del esquema diferencial en zonas de difícil acceso. El esquema diferencial termina cuando se superan las condiciones del servicio que dieron origen a la prestación en condiciones diferenciales dentro del plazo fijado o cuando culmine el plazo del plan que contiene las metas y gradualidad para el logro de los estándares señalados por la regulación. En todo caso, la persona prestadora deberá informarlo a la Superintendencia de Servicios Públicos Domiciliarios y a la Comisión de Regulación de Agua Potable y Saneamiento Básico.  </w:t>
      </w:r>
    </w:p>
    <w:p w14:paraId="49631EC9"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AA0EA3F"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Comisión de Regulación de Agua Potable y Saneamiento Básico podrá dar por terminado el esquema diferencial cuando encuentre que no se ha logrado el cumplimiento de las metas, indicadores, plazos, objetivos y acciones señalados en el plan de gestión.  </w:t>
      </w:r>
    </w:p>
    <w:p w14:paraId="0A475BF1"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9ED323"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de Servicios Públicos Domiciliarios en ejercicio de sus funciones de inspección, vigilancia y control cuando observe que no se están cumpliendo las obligaciones a cargo de esta en la aplicación del esquema diferencial podrá imponer las sanciones y demás acciones para corregir la actuación del prestador.  </w:t>
      </w:r>
    </w:p>
    <w:p w14:paraId="2CE17854" w14:textId="642E4C74"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72" w:name="ver_30125086"/>
      <w:bookmarkEnd w:id="2172"/>
    </w:p>
    <w:p w14:paraId="60D1F09A"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2.3.7.2.2.2.6. Condiciones de los esquemas diferenciales para los servicios de acueducto, alcantarillado o aseo en una zona de difícil acceso. La persona prestadora de los servicios públicos de acueducto, alcantarillado o aseo que opere en una zona de difícil acceso, podrá sujetarse a las siguientes condiciones diferenciales, durante el plazo del esquema diferencial:  </w:t>
      </w:r>
    </w:p>
    <w:p w14:paraId="710825B9"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09C2BFB" w14:textId="5416C04B" w:rsidR="00FC79C1" w:rsidRDefault="00FC79C1" w:rsidP="00E95447">
      <w:pPr>
        <w:numPr>
          <w:ilvl w:val="0"/>
          <w:numId w:val="36"/>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Servicio de acueducto y alcantarillado:</w:t>
      </w:r>
    </w:p>
    <w:p w14:paraId="07DBE241" w14:textId="77777777" w:rsidR="00E95447" w:rsidRPr="009342F9" w:rsidRDefault="00E95447" w:rsidP="00E95447">
      <w:pPr>
        <w:spacing w:after="0" w:line="240" w:lineRule="auto"/>
        <w:ind w:left="720"/>
        <w:jc w:val="both"/>
        <w:rPr>
          <w:rFonts w:ascii="Arial" w:eastAsia="Times New Roman" w:hAnsi="Arial" w:cs="Arial"/>
          <w:color w:val="000000"/>
          <w:lang w:eastAsia="es-CO"/>
        </w:rPr>
      </w:pPr>
    </w:p>
    <w:p w14:paraId="62502D19" w14:textId="19838566" w:rsidR="00FC79C1" w:rsidRDefault="00FC79C1" w:rsidP="00E954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Continuidad. La persona prestadora del servicio público de acueducto que no pueda suministrar agua de manera continua, podrá suministrarla garantizando un volumen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las condiciones técnicas del sistema, el cual deberá incrementarse hasta lograr por lo menos el suministro del consumo básico establecido por la Comisión de Regulación de Agua Potable y Saneamiento Básico, en concordancia con el plan de gestión señalado en el artículo 2.3.7.2.2.2.8. de la presente subsección y el convenio suscrito entre la persona prestadora y la entidad territorial.</w:t>
      </w:r>
    </w:p>
    <w:p w14:paraId="65A14CDB" w14:textId="77777777" w:rsidR="00E95447" w:rsidRPr="009342F9" w:rsidRDefault="00E95447" w:rsidP="00E95447">
      <w:pPr>
        <w:spacing w:after="0" w:line="240" w:lineRule="auto"/>
        <w:ind w:left="1440"/>
        <w:jc w:val="both"/>
        <w:rPr>
          <w:rFonts w:ascii="Arial" w:eastAsia="Times New Roman" w:hAnsi="Arial" w:cs="Arial"/>
          <w:color w:val="000000"/>
          <w:lang w:eastAsia="es-CO"/>
        </w:rPr>
      </w:pPr>
    </w:p>
    <w:p w14:paraId="38DF0E05" w14:textId="77777777" w:rsidR="00FC79C1" w:rsidRPr="009342F9" w:rsidRDefault="00FC79C1" w:rsidP="00E95447">
      <w:pPr>
        <w:spacing w:after="0" w:line="240" w:lineRule="auto"/>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Micromedición</w:t>
      </w:r>
      <w:proofErr w:type="spellEnd"/>
      <w:r w:rsidRPr="009342F9">
        <w:rPr>
          <w:rFonts w:ascii="Arial" w:eastAsia="Times New Roman" w:hAnsi="Arial" w:cs="Arial"/>
          <w:color w:val="000000"/>
          <w:lang w:eastAsia="es-CO"/>
        </w:rPr>
        <w:t xml:space="preserve">. La persona prestadora del servicio público de acueducto que no cuente con </w:t>
      </w:r>
      <w:proofErr w:type="spellStart"/>
      <w:r w:rsidRPr="009342F9">
        <w:rPr>
          <w:rFonts w:ascii="Arial" w:eastAsia="Times New Roman" w:hAnsi="Arial" w:cs="Arial"/>
          <w:color w:val="000000"/>
          <w:lang w:eastAsia="es-CO"/>
        </w:rPr>
        <w:t>micromedición</w:t>
      </w:r>
      <w:proofErr w:type="spellEnd"/>
      <w:r w:rsidRPr="009342F9">
        <w:rPr>
          <w:rFonts w:ascii="Arial" w:eastAsia="Times New Roman" w:hAnsi="Arial" w:cs="Arial"/>
          <w:color w:val="000000"/>
          <w:lang w:eastAsia="es-CO"/>
        </w:rPr>
        <w:t xml:space="preserve"> individual en la zona de difícil acceso, podrá realizar la estimación de los consumos de los suscriptores que carecen de medidor, mediante</w:t>
      </w:r>
    </w:p>
    <w:p w14:paraId="6029ABE8" w14:textId="77777777" w:rsidR="00FC79C1" w:rsidRPr="009342F9" w:rsidRDefault="00FC79C1" w:rsidP="00FC79C1">
      <w:pPr>
        <w:spacing w:after="0" w:line="240" w:lineRule="auto"/>
        <w:ind w:left="99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9B4D82C"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parámetros alternativos definidos por la Comisión de Regulación de Agua Potable y Saneamiento Básico, para efectos de la facturación.  </w:t>
      </w:r>
    </w:p>
    <w:p w14:paraId="69D5D13F"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AC93FBE" w14:textId="77777777" w:rsidR="00FC79C1" w:rsidRPr="009342F9" w:rsidRDefault="00FC79C1" w:rsidP="00E95447">
      <w:pPr>
        <w:numPr>
          <w:ilvl w:val="0"/>
          <w:numId w:val="38"/>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Servicio público de aseo. La persona prestadora del servicio público de aseo o sus actividades complementarias, establecerá en el programa de prestación del servicio que trata el artículo 2.3.2.2.1.10 del presente decreto, la gradualidad para la incorporación de las diferentes actividades del servicio de acuerdo con las condiciones municipales.</w:t>
      </w:r>
    </w:p>
    <w:p w14:paraId="259F3E68"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929E236" w14:textId="788EC068" w:rsidR="00FC79C1" w:rsidRPr="00E95447" w:rsidRDefault="00FC79C1" w:rsidP="00E95447">
      <w:pPr>
        <w:pStyle w:val="ListParagraph"/>
        <w:numPr>
          <w:ilvl w:val="0"/>
          <w:numId w:val="38"/>
        </w:numPr>
        <w:spacing w:after="0" w:line="240" w:lineRule="auto"/>
        <w:ind w:left="360"/>
        <w:jc w:val="both"/>
        <w:rPr>
          <w:rFonts w:ascii="Arial" w:eastAsia="Times New Roman" w:hAnsi="Arial" w:cs="Arial"/>
          <w:color w:val="000000"/>
          <w:lang w:eastAsia="es-CO"/>
        </w:rPr>
      </w:pPr>
      <w:r w:rsidRPr="00E95447">
        <w:rPr>
          <w:rFonts w:ascii="Arial" w:eastAsia="Times New Roman" w:hAnsi="Arial" w:cs="Arial"/>
          <w:color w:val="000000"/>
          <w:lang w:eastAsia="es-CO"/>
        </w:rPr>
        <w:t>Recolección y transporte. Cuando la recolección de residuos sólidos no se realice puerta a puerta, se deberá implementar la recolección mediante sistemas colectivos de presentación y almacenamiento de residuos sólidos.</w:t>
      </w:r>
    </w:p>
    <w:p w14:paraId="06D827EF" w14:textId="77777777" w:rsidR="00FC79C1" w:rsidRPr="009342F9" w:rsidRDefault="00FC79C1" w:rsidP="00FC79C1">
      <w:pPr>
        <w:spacing w:after="0" w:line="240" w:lineRule="auto"/>
        <w:ind w:left="99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D80A809" w14:textId="06B878BC" w:rsidR="00FC79C1" w:rsidRPr="00E95447" w:rsidRDefault="00FC79C1" w:rsidP="00E95447">
      <w:pPr>
        <w:pStyle w:val="ListParagraph"/>
        <w:numPr>
          <w:ilvl w:val="0"/>
          <w:numId w:val="38"/>
        </w:numPr>
        <w:spacing w:after="0" w:line="240" w:lineRule="auto"/>
        <w:ind w:left="360"/>
        <w:jc w:val="both"/>
        <w:rPr>
          <w:rFonts w:ascii="Arial" w:eastAsia="Times New Roman" w:hAnsi="Arial" w:cs="Arial"/>
          <w:color w:val="000000"/>
          <w:lang w:eastAsia="es-CO"/>
        </w:rPr>
      </w:pPr>
      <w:r w:rsidRPr="00E95447">
        <w:rPr>
          <w:rFonts w:ascii="Arial" w:eastAsia="Times New Roman" w:hAnsi="Arial" w:cs="Arial"/>
          <w:color w:val="000000"/>
          <w:lang w:eastAsia="es-CO"/>
        </w:rPr>
        <w:t>Barrido y limpieza de vías y áreas públicas. En calles no pavimentadas y en áreas donde por sus características físicas no sea posible realizar el barrido mecánico, se desarrollarán labores de limpieza manual a cargo de la persona prestadora.</w:t>
      </w:r>
    </w:p>
    <w:p w14:paraId="140EE9F1" w14:textId="03440BCF"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B316C70" w14:textId="2F9986C9" w:rsidR="00FC79C1" w:rsidRPr="00E95447" w:rsidRDefault="00FC79C1" w:rsidP="00E95447">
      <w:pPr>
        <w:pStyle w:val="ListParagraph"/>
        <w:numPr>
          <w:ilvl w:val="0"/>
          <w:numId w:val="38"/>
        </w:numPr>
        <w:spacing w:after="0" w:line="240" w:lineRule="auto"/>
        <w:ind w:left="360"/>
        <w:jc w:val="both"/>
        <w:rPr>
          <w:rFonts w:ascii="Arial" w:eastAsia="Times New Roman" w:hAnsi="Arial" w:cs="Arial"/>
          <w:color w:val="000000"/>
          <w:lang w:eastAsia="es-CO"/>
        </w:rPr>
      </w:pPr>
      <w:r w:rsidRPr="00E95447">
        <w:rPr>
          <w:rFonts w:ascii="Arial" w:eastAsia="Times New Roman" w:hAnsi="Arial" w:cs="Arial"/>
          <w:color w:val="000000"/>
          <w:lang w:eastAsia="es-CO"/>
        </w:rPr>
        <w:t>Aspectos tarifarios. Las tarifas que aplicará la persona prestadora de los servicios públicos de acueducto, alcantarillado o aseo, deberán adoptarse conforme a la regulación que expida la Comisión de Regulación de Agua Potable y Saneamiento Básico para este caso y lo previsto en el inciso segundo del numeral 5 del artículo 2.3.7.2.2.2.2. de la presente subsección.</w:t>
      </w:r>
    </w:p>
    <w:p w14:paraId="5219CCC5"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D1715D" w14:textId="338F590B" w:rsidR="00FC79C1" w:rsidRPr="00E95447" w:rsidRDefault="00FC79C1" w:rsidP="00E95447">
      <w:pPr>
        <w:pStyle w:val="ListParagraph"/>
        <w:numPr>
          <w:ilvl w:val="0"/>
          <w:numId w:val="38"/>
        </w:numPr>
        <w:spacing w:after="0" w:line="240" w:lineRule="auto"/>
        <w:ind w:left="360"/>
        <w:jc w:val="both"/>
        <w:rPr>
          <w:rFonts w:ascii="Arial" w:eastAsia="Times New Roman" w:hAnsi="Arial" w:cs="Arial"/>
          <w:color w:val="000000"/>
          <w:lang w:eastAsia="es-CO"/>
        </w:rPr>
      </w:pPr>
      <w:r w:rsidRPr="00E95447">
        <w:rPr>
          <w:rFonts w:ascii="Arial" w:eastAsia="Times New Roman" w:hAnsi="Arial" w:cs="Arial"/>
          <w:color w:val="000000"/>
          <w:lang w:eastAsia="es-CO"/>
        </w:rPr>
        <w:t>Condiciones diferenciales en los contratos de servicios públicos. Las personas prestadoras incorporarán en sus contratos de servicios públicos las condiciones de este esquema diferencial, conforme a lo establecido en la presente subsección, sin perjuicio de lo contenido en la regulación sobre contrato de servicios públicos y sus condiciones uniformes, en lo dispuesto en el artículo 128 de la Ley 142 de 1994 y en las demás disposiciones aplicables.</w:t>
      </w:r>
    </w:p>
    <w:p w14:paraId="5626CC2E" w14:textId="6485A73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ED30B07"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73" w:name="ver_30125097"/>
      <w:bookmarkEnd w:id="2173"/>
      <w:r w:rsidRPr="009342F9">
        <w:rPr>
          <w:rFonts w:ascii="Arial" w:eastAsia="Times New Roman" w:hAnsi="Arial" w:cs="Arial"/>
          <w:color w:val="000000"/>
          <w:lang w:eastAsia="es-CO"/>
        </w:rPr>
        <w:t>Artículo 2.3.7.2.2.2.7. Contrato de servicios públicos para el esquema diferencial en zonas de difícil acceso. La persona prestadora deberá adoptar un contrato de servicios públicos para el esquema diferencial en zonas de difícil acceso, en el cual incluirá las condiciones diferenciales respectivas. </w:t>
      </w:r>
    </w:p>
    <w:p w14:paraId="615AF8B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74" w:name="ver_30125101"/>
      <w:bookmarkEnd w:id="2174"/>
    </w:p>
    <w:p w14:paraId="7A0450E7" w14:textId="766BD5F8"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2.3.7.2.2.2.8. Planes de gestión en zonas de difícil acceso. La persona prestadora deberá establecer un plan de gestión en donde se definan las metas, indicadores, plazos, objetivos, acciones y fuentes de financiación para el cumplimiento de las condiciones diferenciales definidas en el artículo 2.3.7.2.2.2.6. de la presente subsección y los estándares de prestación de los servicios públicos definidos por la regulación. Dicho plan deberá contener como mínimo:  </w:t>
      </w:r>
    </w:p>
    <w:p w14:paraId="21FC93C4"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12A0B89D" w14:textId="7DFC9BBA" w:rsidR="00FC79C1" w:rsidRDefault="00FC79C1" w:rsidP="00E95447">
      <w:pPr>
        <w:numPr>
          <w:ilvl w:val="0"/>
          <w:numId w:val="43"/>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Plan de obras e inversiones y,</w:t>
      </w:r>
    </w:p>
    <w:p w14:paraId="5EEF3943" w14:textId="77777777" w:rsidR="00E95447" w:rsidRPr="009342F9" w:rsidRDefault="00E95447" w:rsidP="00E95447">
      <w:pPr>
        <w:spacing w:after="0" w:line="240" w:lineRule="auto"/>
        <w:ind w:left="360"/>
        <w:jc w:val="both"/>
        <w:rPr>
          <w:rFonts w:ascii="Arial" w:eastAsia="Times New Roman" w:hAnsi="Arial" w:cs="Arial"/>
          <w:color w:val="000000"/>
          <w:lang w:eastAsia="es-CO"/>
        </w:rPr>
      </w:pPr>
    </w:p>
    <w:p w14:paraId="3AD71AE7" w14:textId="77777777" w:rsidR="00FC79C1" w:rsidRPr="009342F9" w:rsidRDefault="00FC79C1" w:rsidP="00E95447">
      <w:pPr>
        <w:numPr>
          <w:ilvl w:val="0"/>
          <w:numId w:val="43"/>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Plan de aseguramiento de la prestación de los servicios públicos para el cumplimiento de los estándares de prestación de dichos servicios.</w:t>
      </w:r>
    </w:p>
    <w:p w14:paraId="0EBDC532"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692FEEC6" w14:textId="71BD85AA"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municipios y departamentos en cumplimiento de sus obligaciones constitucionales y legales priorizarán el apoyo técnico y financiero para la estructuración e implementación de las acciones derivadas de los planes de gestión en zonas de difícil acceso.  </w:t>
      </w:r>
    </w:p>
    <w:p w14:paraId="5A3306DE" w14:textId="2142BB26"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75" w:name="ver_30125113"/>
      <w:bookmarkEnd w:id="2175"/>
    </w:p>
    <w:p w14:paraId="729B59F9" w14:textId="18126C2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2.3.7.2.2.2.9. Registro del esquema diferencial en el Sistema Único de Información (SUI). Una vez aceptada la aplicación del esquema diferencial, la persona prestadora deberá registrarlo en el Sistema Único de Información (SUI), en las condiciones y plazos que establezca la Superintendencia de Servicios Públicos Domiciliarios, para su correspondiente inspección, vigilancia y control. </w:t>
      </w:r>
    </w:p>
    <w:p w14:paraId="15CD1693"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4CD791CE"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176" w:name="ver_30125116"/>
      <w:bookmarkEnd w:id="2176"/>
      <w:r w:rsidRPr="009342F9">
        <w:rPr>
          <w:rFonts w:ascii="Arial" w:eastAsia="Times New Roman" w:hAnsi="Arial" w:cs="Arial"/>
          <w:b/>
          <w:bCs/>
          <w:color w:val="000000"/>
          <w:lang w:eastAsia="es-CO"/>
        </w:rPr>
        <w:t>SUBSECCIÓN 3</w:t>
      </w:r>
    </w:p>
    <w:p w14:paraId="0501587E"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ESQUEMAS DIFERENCIALES DE PRESTACIÓN EN ÁREAS DE PRESTACIÓN, CON CONDICIONES PARTICULARES</w:t>
      </w:r>
    </w:p>
    <w:p w14:paraId="1FAC8648"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77" w:name="ver_30125120"/>
      <w:bookmarkEnd w:id="2177"/>
    </w:p>
    <w:p w14:paraId="38A84DF3" w14:textId="77E7D486"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2.3.7.2.2.3.1. Áreas de prestación, con condiciones particulares. Corresponde al área de prestación de la persona prestadora en suelo urbano de un municipio o distrito que cuenta con una población urbana mayor a 25.000 y hasta 400.000 habitantes según la información censal y tenga un índice de Necesidades Básicas Insatisfechas (NBI) en cabecera municipal mayor al 30%, de acuerdo con la información del Departamento Administrativo Nacional de Estadística (DANE). </w:t>
      </w:r>
    </w:p>
    <w:p w14:paraId="13D111B1"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2BC33C4B"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El área de prestación, con condiciones particulares, también corresponde a aquellos municipios que cuentan con una población urbana menor a 25.000 habitantes según la información censal del Departamento Administrativo Nacional de Estadística (DANE) y que se vinculen al área de prestación de un municipio o distrito de los anteriormente señalados. </w:t>
      </w:r>
    </w:p>
    <w:p w14:paraId="7BECDAFD"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información del Departamento Administrativo Nacional de Estadística (DANE) a la que hace referencia este artículo, debe corresponder con la información disponible más reciente al momento de presentación de la solicitud. </w:t>
      </w:r>
    </w:p>
    <w:p w14:paraId="489A22A2"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78" w:name="ver_30125121"/>
      <w:bookmarkEnd w:id="2178"/>
    </w:p>
    <w:p w14:paraId="5C2F6B1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2.3.7.2.2.3.2. Solicitud de un esquema diferencial en áreas de prestación, con condiciones particulares. Las personas prestadoras, los municipios o distritos, interesados en implementar un esquema diferencial en un área de prestación, con condiciones particulares, deberán presentar una solicitud por escrito ante la Comisión de Regulación de Agua Potable y Saneamiento Básico con los siguientes requisitos mínimos:  </w:t>
      </w:r>
    </w:p>
    <w:p w14:paraId="222CC4E0"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A898597" w14:textId="1A74A193" w:rsidR="00FC79C1" w:rsidRDefault="00FC79C1" w:rsidP="00E95447">
      <w:pPr>
        <w:numPr>
          <w:ilvl w:val="0"/>
          <w:numId w:val="44"/>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Indicar el servicio o servicios que serán objeto del esquema diferencial.</w:t>
      </w:r>
    </w:p>
    <w:p w14:paraId="07673CE7" w14:textId="77777777" w:rsidR="00E95447" w:rsidRPr="009342F9" w:rsidRDefault="00E95447" w:rsidP="00E95447">
      <w:pPr>
        <w:spacing w:after="0" w:line="240" w:lineRule="auto"/>
        <w:ind w:left="360"/>
        <w:jc w:val="both"/>
        <w:rPr>
          <w:rFonts w:ascii="Arial" w:eastAsia="Times New Roman" w:hAnsi="Arial" w:cs="Arial"/>
          <w:color w:val="000000"/>
          <w:lang w:eastAsia="es-CO"/>
        </w:rPr>
      </w:pPr>
    </w:p>
    <w:p w14:paraId="78D6BEE1" w14:textId="77777777" w:rsidR="00FC79C1" w:rsidRPr="009342F9" w:rsidRDefault="00FC79C1" w:rsidP="00E95447">
      <w:pPr>
        <w:numPr>
          <w:ilvl w:val="0"/>
          <w:numId w:val="44"/>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Convenio suscrito entre la persona prestadora y la entidad territorial, donde se determinen las obligaciones de las partes en la aplicación del esquema diferencial.</w:t>
      </w:r>
    </w:p>
    <w:p w14:paraId="6165B373"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5A22A68" w14:textId="77777777" w:rsidR="00FC79C1" w:rsidRPr="009342F9" w:rsidRDefault="00FC79C1" w:rsidP="00E95447">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En aquellos casos en que la prestación de los servicios públicos de acueducto, alcantarillado o aseo, estén a cargo del municipio como prestador directo, y no proceda la celebración del convenio, el Alcalde Municipal o Distrital fijará mediante acto administrativo, las condiciones especiales en que se prestará el servicio.  </w:t>
      </w:r>
    </w:p>
    <w:p w14:paraId="09419347"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BBC6D0" w14:textId="56A07443" w:rsidR="00FC79C1" w:rsidRPr="009342F9" w:rsidRDefault="00FC79C1" w:rsidP="00E95447">
      <w:p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Cuando exista un contrato de operación y se proyecte la aplicación de un esquema diferencial en donde se comprometan recursos públicos, se deberán realizar las modificaciones que se requieran al contrato de operación existente donde se incorporen las metas establecidas en el plan de gestión señalado en el artículo 2.3.7.2.2.3.8. de la presente subsección.  </w:t>
      </w:r>
    </w:p>
    <w:p w14:paraId="64991AAF"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45C6DFFF" w14:textId="77777777" w:rsidR="00FC79C1" w:rsidRPr="009342F9" w:rsidRDefault="00FC79C1" w:rsidP="00E95447">
      <w:pPr>
        <w:numPr>
          <w:ilvl w:val="0"/>
          <w:numId w:val="45"/>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El plan de gestión al que se refiere el artículo 2.3.7.2.2.3.8. de la presente subsección, en donde se definan las metas, indicadores, plazos, objetivos, acciones y fuentes de financiación para el cumplimiento de las condiciones diferenciales definidas en el artículo 2.3.7.2.2.3.6. de la presente subsección y de los estándares de prestación de los servicios públicos definidos por la regulación.</w:t>
      </w:r>
    </w:p>
    <w:p w14:paraId="798C0995"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C589211" w14:textId="77777777" w:rsidR="00FC79C1" w:rsidRPr="009342F9" w:rsidRDefault="00FC79C1" w:rsidP="00E95447">
      <w:pPr>
        <w:numPr>
          <w:ilvl w:val="0"/>
          <w:numId w:val="46"/>
        </w:numPr>
        <w:spacing w:after="0" w:line="240" w:lineRule="auto"/>
        <w:ind w:left="360"/>
        <w:jc w:val="both"/>
        <w:rPr>
          <w:rFonts w:ascii="Arial" w:eastAsia="Times New Roman" w:hAnsi="Arial" w:cs="Arial"/>
          <w:color w:val="000000"/>
          <w:lang w:eastAsia="es-CO"/>
        </w:rPr>
      </w:pPr>
      <w:r w:rsidRPr="009342F9">
        <w:rPr>
          <w:rFonts w:ascii="Arial" w:eastAsia="Times New Roman" w:hAnsi="Arial" w:cs="Arial"/>
          <w:color w:val="000000"/>
          <w:lang w:eastAsia="es-CO"/>
        </w:rPr>
        <w:t>El contrato de condiciones uniformes que se aplicará en el esquema diferencial.</w:t>
      </w:r>
    </w:p>
    <w:p w14:paraId="3CE8503F"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75B51F6"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5641260" w14:textId="77777777" w:rsidR="00FC79C1" w:rsidRPr="009342F9" w:rsidRDefault="00FC79C1" w:rsidP="0015442F">
      <w:pPr>
        <w:numPr>
          <w:ilvl w:val="0"/>
          <w:numId w:val="47"/>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Estudio de costos y tarifas a aplicar en el área de prestación, con condiciones particulares para cada servicio que será sujeto del esquema diferencial, el cual deberá ajustarse de acuerdo con la regulación que para el efecto defina la Comisión de Regulación de Agua Potable y Saneamiento Básico.</w:t>
      </w:r>
    </w:p>
    <w:p w14:paraId="2B21B5B5"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744A982" w14:textId="77777777" w:rsidR="00FC79C1" w:rsidRPr="009342F9" w:rsidRDefault="00FC79C1" w:rsidP="00E95447">
      <w:pPr>
        <w:spacing w:after="0" w:line="240" w:lineRule="auto"/>
        <w:ind w:left="708"/>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Mientras la Comisión de Regulación de Agua Potable y Saneamiento Básico expide la regulación para este esquema, el prestador deberá aplicar la metodología tarifaria vigente, los </w:t>
      </w:r>
      <w:proofErr w:type="gramStart"/>
      <w:r w:rsidRPr="009342F9">
        <w:rPr>
          <w:rFonts w:ascii="Arial" w:eastAsia="Times New Roman" w:hAnsi="Arial" w:cs="Arial"/>
          <w:color w:val="000000"/>
          <w:lang w:eastAsia="es-CO"/>
        </w:rPr>
        <w:t>cuales</w:t>
      </w:r>
      <w:proofErr w:type="gramEnd"/>
      <w:r w:rsidRPr="009342F9">
        <w:rPr>
          <w:rFonts w:ascii="Arial" w:eastAsia="Times New Roman" w:hAnsi="Arial" w:cs="Arial"/>
          <w:color w:val="000000"/>
          <w:lang w:eastAsia="es-CO"/>
        </w:rPr>
        <w:t xml:space="preserve"> en todo caso, no deberán superar los costos de referencia, teniendo en cuenta para ello las condiciones diferenciales de prestación.  </w:t>
      </w:r>
    </w:p>
    <w:p w14:paraId="3027C861"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13EF727" w14:textId="77777777" w:rsidR="00FC79C1" w:rsidRPr="009342F9" w:rsidRDefault="00FC79C1" w:rsidP="0015442F">
      <w:pPr>
        <w:numPr>
          <w:ilvl w:val="0"/>
          <w:numId w:val="48"/>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demás requisitos de metodología y documentación de soporte que establezca la Comisión de Regulación de Agua Potable y Saneamiento Básico.</w:t>
      </w:r>
    </w:p>
    <w:p w14:paraId="679C32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E43FCA9"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79" w:name="ver_30125128"/>
      <w:bookmarkEnd w:id="2179"/>
    </w:p>
    <w:p w14:paraId="4140C885"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2.3.7.2.2.3.3. Aceptación de la solicitud del esquema diferencial en áreas de prestación, con condiciones particulares. La aceptación de la solicitud por parte de la Comisión de Regulación de Agua Potable y Saneamiento Básico para la aplicación del esquema diferencial se hará mediante acto administrativo en el cual se constatará como mínimo:  </w:t>
      </w:r>
    </w:p>
    <w:p w14:paraId="6D596A29"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4A8A8D" w14:textId="77777777" w:rsidR="00FC79C1" w:rsidRPr="009342F9" w:rsidRDefault="00FC79C1" w:rsidP="0015442F">
      <w:pPr>
        <w:numPr>
          <w:ilvl w:val="0"/>
          <w:numId w:val="49"/>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quien presente la solicitud sea la persona prestadora de los servicios públicos de acueducto, alcantarillado o aseo sujetos al esquema diferencial o los municipios a los que se refiere el inciso 2° del artículo 2.3.7.2.2.3.1. de la presente subsección.</w:t>
      </w:r>
    </w:p>
    <w:p w14:paraId="38B20D2D"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B05BE7" w14:textId="77777777" w:rsidR="00FC79C1" w:rsidRPr="009342F9" w:rsidRDefault="00FC79C1" w:rsidP="0015442F">
      <w:pPr>
        <w:numPr>
          <w:ilvl w:val="0"/>
          <w:numId w:val="50"/>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el convenio al que se refiere el numeral 2 del artículo anterior, se encuentre suscrito por parte del Alcalde Municipal o Distrital y el Representante Legal de la persona prestadora y en él se identifiquen las obligaciones de las partes.</w:t>
      </w:r>
    </w:p>
    <w:p w14:paraId="1159E1EE" w14:textId="16451895" w:rsidR="00FC79C1" w:rsidRPr="009342F9" w:rsidRDefault="00FC79C1" w:rsidP="00E95447">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03D1E89" w14:textId="77777777" w:rsidR="00FC79C1" w:rsidRPr="009342F9" w:rsidRDefault="00FC79C1" w:rsidP="00E95447">
      <w:pPr>
        <w:spacing w:after="0" w:line="240" w:lineRule="auto"/>
        <w:ind w:left="708"/>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En aquellos casos en que la prestación de los servicios públicos de acueducto, alcantarillado o </w:t>
      </w:r>
      <w:proofErr w:type="gramStart"/>
      <w:r w:rsidRPr="009342F9">
        <w:rPr>
          <w:rFonts w:ascii="Arial" w:eastAsia="Times New Roman" w:hAnsi="Arial" w:cs="Arial"/>
          <w:color w:val="000000"/>
          <w:lang w:eastAsia="es-CO"/>
        </w:rPr>
        <w:t>aseo,</w:t>
      </w:r>
      <w:proofErr w:type="gramEnd"/>
      <w:r w:rsidRPr="009342F9">
        <w:rPr>
          <w:rFonts w:ascii="Arial" w:eastAsia="Times New Roman" w:hAnsi="Arial" w:cs="Arial"/>
          <w:color w:val="000000"/>
          <w:lang w:eastAsia="es-CO"/>
        </w:rPr>
        <w:t xml:space="preserve"> esté a cargo del municipio o distrito como prestador directo, estas estén definidas en el acto administrativo expedido por el Alcalde Municipal o Distrital.  </w:t>
      </w:r>
    </w:p>
    <w:p w14:paraId="03C934A8"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8F5BE10" w14:textId="77777777" w:rsidR="00FC79C1" w:rsidRPr="009342F9" w:rsidRDefault="00FC79C1" w:rsidP="00E95447">
      <w:pPr>
        <w:spacing w:after="0" w:line="240" w:lineRule="auto"/>
        <w:ind w:left="708"/>
        <w:jc w:val="both"/>
        <w:rPr>
          <w:rFonts w:ascii="Arial" w:eastAsia="Times New Roman" w:hAnsi="Arial" w:cs="Arial"/>
          <w:color w:val="000000"/>
          <w:lang w:eastAsia="es-CO"/>
        </w:rPr>
      </w:pPr>
      <w:r w:rsidRPr="009342F9">
        <w:rPr>
          <w:rFonts w:ascii="Arial" w:eastAsia="Times New Roman" w:hAnsi="Arial" w:cs="Arial"/>
          <w:color w:val="000000"/>
          <w:lang w:eastAsia="es-CO"/>
        </w:rPr>
        <w:t>Que cuando exista un contrato de operación y se proyecte la aplicación de un esquema diferencial en donde se comprometan recursos públicos, se hayan realizado las modificaciones al contrato de operación existente donde se incorporen las metas establecidas en el plan de gestión señalado en el artículo 2.3.7.2.2.3.8. de la presente subsección.  </w:t>
      </w:r>
    </w:p>
    <w:p w14:paraId="66894C05"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C363E59" w14:textId="77777777" w:rsidR="00FC79C1" w:rsidRPr="009342F9" w:rsidRDefault="00FC79C1" w:rsidP="0015442F">
      <w:pPr>
        <w:numPr>
          <w:ilvl w:val="0"/>
          <w:numId w:val="51"/>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el plan de gestión al que se refiere el artículo 2.3.7.2.2.3.8. de la presente subsección, se encuentre suscrito por el Representante Legal de la persona prestadora y se identifiquen las metas, indicadores, plazos, objetivos, acciones y fuentes de financiación para el cumplimiento de las condiciones diferenciales definidas en el artículo 2.3.7.2.2.3.6. de la presente subsección y de los estándares de prestación de los servicios públicos definidos por la regulación.</w:t>
      </w:r>
    </w:p>
    <w:p w14:paraId="0802B0B4"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A41B118" w14:textId="77777777" w:rsidR="00FC79C1" w:rsidRPr="009342F9" w:rsidRDefault="00FC79C1" w:rsidP="0015442F">
      <w:pPr>
        <w:numPr>
          <w:ilvl w:val="0"/>
          <w:numId w:val="52"/>
        </w:numPr>
        <w:spacing w:after="0" w:line="240" w:lineRule="auto"/>
        <w:jc w:val="both"/>
        <w:rPr>
          <w:rFonts w:ascii="Arial" w:eastAsia="Times New Roman" w:hAnsi="Arial" w:cs="Arial"/>
          <w:color w:val="000000"/>
          <w:lang w:eastAsia="es-CO"/>
        </w:rPr>
      </w:pPr>
      <w:proofErr w:type="gramStart"/>
      <w:r w:rsidRPr="009342F9">
        <w:rPr>
          <w:rFonts w:ascii="Arial" w:eastAsia="Times New Roman" w:hAnsi="Arial" w:cs="Arial"/>
          <w:color w:val="000000"/>
          <w:lang w:eastAsia="es-CO"/>
        </w:rPr>
        <w:t>Que</w:t>
      </w:r>
      <w:proofErr w:type="gramEnd"/>
      <w:r w:rsidRPr="009342F9">
        <w:rPr>
          <w:rFonts w:ascii="Arial" w:eastAsia="Times New Roman" w:hAnsi="Arial" w:cs="Arial"/>
          <w:color w:val="000000"/>
          <w:lang w:eastAsia="es-CO"/>
        </w:rPr>
        <w:t xml:space="preserve"> en el contrato de condiciones uniformes, al que se refiere el numeral 4 del artículo anterior, se contemplen las condiciones en las que se prestará el servicio.</w:t>
      </w:r>
    </w:p>
    <w:p w14:paraId="7533DF6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620E4BA8"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97952C2" w14:textId="77777777" w:rsidR="00FC79C1" w:rsidRPr="009342F9" w:rsidRDefault="00FC79C1" w:rsidP="0015442F">
      <w:pPr>
        <w:numPr>
          <w:ilvl w:val="0"/>
          <w:numId w:val="53"/>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el estudio de costos y tarifas, al que se refiere el numeral 5 del artículo anterior, se ajuste a la regulación que para el efecto expida la Comisión de Regulación de Agua Potable y Saneamiento Básico.</w:t>
      </w:r>
    </w:p>
    <w:p w14:paraId="1E68B771"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2523129" w14:textId="77777777" w:rsidR="00FC79C1" w:rsidRPr="009342F9" w:rsidRDefault="00FC79C1" w:rsidP="00E95447">
      <w:pPr>
        <w:spacing w:after="0" w:line="240" w:lineRule="auto"/>
        <w:ind w:left="708"/>
        <w:jc w:val="both"/>
        <w:rPr>
          <w:rFonts w:ascii="Arial" w:eastAsia="Times New Roman" w:hAnsi="Arial" w:cs="Arial"/>
          <w:color w:val="000000"/>
          <w:lang w:eastAsia="es-CO"/>
        </w:rPr>
      </w:pPr>
      <w:r w:rsidRPr="009342F9">
        <w:rPr>
          <w:rFonts w:ascii="Arial" w:eastAsia="Times New Roman" w:hAnsi="Arial" w:cs="Arial"/>
          <w:color w:val="000000"/>
          <w:lang w:eastAsia="es-CO"/>
        </w:rPr>
        <w:t>Que mientras la Comisión de Regulación de Agua Potable y Saneamiento Básico expide la regulación para este esquema se aplique lo previsto en el inciso segundo del numeral 5 del artículo 2.3.7.2.2.3.2. de la presente subsección.  </w:t>
      </w:r>
    </w:p>
    <w:p w14:paraId="1634B3D6"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7EE3C638" w14:textId="77777777" w:rsidR="00FC79C1" w:rsidRPr="009342F9" w:rsidRDefault="00FC79C1" w:rsidP="0015442F">
      <w:pPr>
        <w:numPr>
          <w:ilvl w:val="0"/>
          <w:numId w:val="54"/>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Que se cumple con los demás requisitos de metodología y documentación de soporte establecidos por la Comisión de Regulación de Agua Potable y Saneamiento Básico.</w:t>
      </w:r>
    </w:p>
    <w:p w14:paraId="03385C5E" w14:textId="77777777" w:rsidR="00FC79C1" w:rsidRPr="009342F9" w:rsidRDefault="00FC79C1" w:rsidP="00FC79C1">
      <w:pPr>
        <w:spacing w:after="0" w:line="240" w:lineRule="auto"/>
        <w:ind w:left="27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43C25BE"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1°. El esquema diferencial adoptado para cada uno de los servicios públicos de acueducto, alcantarillado o aseo en las áreas de prestación, con condiciones particulares, no podrá afectar los estándares de prestación definidos por la regulación en las demás áreas o municipios atendidos por el prestador, que no sean objeto de aplicación de dicho esquema.  </w:t>
      </w:r>
    </w:p>
    <w:p w14:paraId="0CC22DAF" w14:textId="60A19E70"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80" w:name="ver_30125129"/>
      <w:bookmarkEnd w:id="2180"/>
    </w:p>
    <w:p w14:paraId="105F550A"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2.3.7.2.2.3.4. Modificación y prórroga de las condiciones diferenciales en zonas de difícil acceso. Las metas, indicadores, plazos, objetivos y acciones para el cumplimiento de las condiciones diferenciales definidas en el artículo 2.3.7.2.2.3.6. de la presente subsección, podrán ser modificadas y prorrogadas antes del vencimiento del plazo señalado para la terminación del esquema diferencial por la Comisión de Regulación de Agua Potable y Saneamiento Básico, de oficio o por previa solicitud sustentada por parte de la persona prestadora. En este caso, la persona prestadora deberá ajustar el plan de gestión al que se refiere el artículo 2.3.7.2.2.3.8. de la presente subsección.  </w:t>
      </w:r>
    </w:p>
    <w:p w14:paraId="344E1888"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30FE037"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Una vez modificadas y prorrogadas las metas, indicadores, plazos, objetivos y acciones para el cumplimiento de las condiciones diferenciales definidas en el artículo 2.3.7.2.2.3.6. de la presente subsección, la persona prestadora deberá reportar esta circunstancia en el Sistema Único de Información (SUI) administrado por la Superintendencia de Servicios Públicos Domiciliarios.  </w:t>
      </w:r>
    </w:p>
    <w:p w14:paraId="0113FC1D" w14:textId="334819FC"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81" w:name="ver_30125130"/>
      <w:bookmarkEnd w:id="2181"/>
    </w:p>
    <w:p w14:paraId="76BBA054"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2.3.7.2.2.3.5. Terminación del esquema diferencial en áreas de prestación, con condiciones particulares. El esquema diferencial termina cuando se superan las condiciones del servicio que dieron origen a la prestación en condiciones diferenciales dentro del plazo fijado o cuando culmine el plazo del plan que contiene las metas y gradualidad para el logro de los estándares señalados por la regulación. En todo caso, la persona prestadora deberá informarlo a la Superintendencia de Servicios Públicos Domiciliarios y a la Comisión de Regulación de Agua Potable y Saneamiento Básico.  </w:t>
      </w:r>
    </w:p>
    <w:p w14:paraId="1702A568"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5B9046FE"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Comisión de Regulación de Agua Potable y Saneamiento Básico podrá dar por terminado el esquema diferencial cuando encuentre que no se ha logrado el cumplimiento de las metas, indicadores, plazos, objetivos y acciones señalados en el plan de gestión.  </w:t>
      </w:r>
    </w:p>
    <w:p w14:paraId="490071AA"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115561C"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La Superintendencia de Servicios Públicos Domiciliarios en ejercicio de sus funciones de inspección, vigilancia y control cuando observe que no se están cumpliendo las obligaciones a cargo de esta en la aplicación del esquema diferencial podrá imponer las sanciones y demás acciones para corregir la actuación del prestador.  </w:t>
      </w:r>
    </w:p>
    <w:p w14:paraId="7B6ECA33" w14:textId="7E5B5AA0" w:rsidR="00FC79C1" w:rsidRPr="009342F9" w:rsidRDefault="00FC79C1" w:rsidP="0015442F">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82" w:name="ver_30125131"/>
      <w:bookmarkEnd w:id="2182"/>
    </w:p>
    <w:p w14:paraId="644FF2F2"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2.3.7.2.2.3.6. Condiciones de los esquemas diferenciales para los servicios de acueducto, alcantarillado o aseo en un área de prestación, con condiciones particulares. La persona prestadora de los servicios públicos de acueducto, alcantarillado o aseo que opere en un área de prestación, con condiciones particulares, podrá sujetarse a las siguientes condiciones diferenciales, durante el plazo del esquema diferencial:  </w:t>
      </w:r>
    </w:p>
    <w:p w14:paraId="6A2827D2"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218C9170" w14:textId="73CCD21C" w:rsidR="00FC79C1" w:rsidRDefault="00FC79C1" w:rsidP="0015442F">
      <w:pPr>
        <w:numPr>
          <w:ilvl w:val="0"/>
          <w:numId w:val="55"/>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Servicio de acueducto y alcantarillado:</w:t>
      </w:r>
    </w:p>
    <w:p w14:paraId="13A56F0A" w14:textId="77777777" w:rsidR="00E95447" w:rsidRPr="009342F9" w:rsidRDefault="00E95447" w:rsidP="00E95447">
      <w:pPr>
        <w:spacing w:after="0" w:line="240" w:lineRule="auto"/>
        <w:ind w:left="720"/>
        <w:jc w:val="both"/>
        <w:rPr>
          <w:rFonts w:ascii="Arial" w:eastAsia="Times New Roman" w:hAnsi="Arial" w:cs="Arial"/>
          <w:color w:val="000000"/>
          <w:lang w:eastAsia="es-CO"/>
        </w:rPr>
      </w:pPr>
    </w:p>
    <w:p w14:paraId="28B4299D" w14:textId="77777777" w:rsidR="00FC79C1" w:rsidRPr="009342F9" w:rsidRDefault="00FC79C1" w:rsidP="00E95447">
      <w:pPr>
        <w:spacing w:after="0" w:line="240" w:lineRule="auto"/>
        <w:ind w:left="1080"/>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Continuidad. La persona prestadora del servicio público de acueducto que no pueda suministrar agua de manera continua, podrá suministrarla garantizando un volumen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las condiciones técnicas del sistema, el cual deberá incrementarse hasta lograr por lo menos el suministro del consumo básico establecido por la Comisión de Regulación de Agua Potable y Saneamiento Básico, en concordancia con el plan de gestión señalado en el artículo 2.3.7.2.2.3.8. de la presente subsección y el convenio suscrito entre la persona prestadora y la entidad territorial.</w:t>
      </w:r>
    </w:p>
    <w:p w14:paraId="6E435394" w14:textId="77777777" w:rsidR="00E95447" w:rsidRDefault="00E95447" w:rsidP="00E95447">
      <w:pPr>
        <w:spacing w:after="0" w:line="240" w:lineRule="auto"/>
        <w:ind w:left="1080"/>
        <w:jc w:val="both"/>
        <w:rPr>
          <w:rFonts w:ascii="Arial" w:eastAsia="Times New Roman" w:hAnsi="Arial" w:cs="Arial"/>
          <w:color w:val="000000"/>
          <w:lang w:eastAsia="es-CO"/>
        </w:rPr>
      </w:pPr>
    </w:p>
    <w:p w14:paraId="22AD4128" w14:textId="27EA4F46" w:rsidR="00FC79C1" w:rsidRDefault="00FC79C1" w:rsidP="00E95447">
      <w:pPr>
        <w:spacing w:after="0" w:line="240" w:lineRule="auto"/>
        <w:ind w:left="1080"/>
        <w:jc w:val="both"/>
        <w:rPr>
          <w:rFonts w:ascii="Arial" w:eastAsia="Times New Roman" w:hAnsi="Arial" w:cs="Arial"/>
          <w:color w:val="000000"/>
          <w:lang w:eastAsia="es-CO"/>
        </w:rPr>
      </w:pPr>
      <w:proofErr w:type="spellStart"/>
      <w:r w:rsidRPr="009342F9">
        <w:rPr>
          <w:rFonts w:ascii="Arial" w:eastAsia="Times New Roman" w:hAnsi="Arial" w:cs="Arial"/>
          <w:color w:val="000000"/>
          <w:lang w:eastAsia="es-CO"/>
        </w:rPr>
        <w:t>Micromedición</w:t>
      </w:r>
      <w:proofErr w:type="spellEnd"/>
      <w:r w:rsidRPr="009342F9">
        <w:rPr>
          <w:rFonts w:ascii="Arial" w:eastAsia="Times New Roman" w:hAnsi="Arial" w:cs="Arial"/>
          <w:color w:val="000000"/>
          <w:lang w:eastAsia="es-CO"/>
        </w:rPr>
        <w:t xml:space="preserve">. La persona prestadora del servicio público de acueducto que no cuente con </w:t>
      </w:r>
      <w:proofErr w:type="spellStart"/>
      <w:r w:rsidRPr="009342F9">
        <w:rPr>
          <w:rFonts w:ascii="Arial" w:eastAsia="Times New Roman" w:hAnsi="Arial" w:cs="Arial"/>
          <w:color w:val="000000"/>
          <w:lang w:eastAsia="es-CO"/>
        </w:rPr>
        <w:t>micromedición</w:t>
      </w:r>
      <w:proofErr w:type="spellEnd"/>
      <w:r w:rsidRPr="009342F9">
        <w:rPr>
          <w:rFonts w:ascii="Arial" w:eastAsia="Times New Roman" w:hAnsi="Arial" w:cs="Arial"/>
          <w:color w:val="000000"/>
          <w:lang w:eastAsia="es-CO"/>
        </w:rPr>
        <w:t xml:space="preserve"> individual en un área de prestación, con condiciones particulares, podrá realizar la estimación de los consumos de los suscriptores que carecen de medidor, mediante parámetros alternativos definidos por la Comisión de Regulación de Agua Potable y Saneamiento Básico, para efectos de la facturación.</w:t>
      </w:r>
    </w:p>
    <w:p w14:paraId="62F009AB" w14:textId="77777777" w:rsidR="00E95447" w:rsidRPr="009342F9" w:rsidRDefault="00E95447" w:rsidP="00E95447">
      <w:pPr>
        <w:spacing w:after="0" w:line="240" w:lineRule="auto"/>
        <w:ind w:left="1080"/>
        <w:jc w:val="both"/>
        <w:rPr>
          <w:rFonts w:ascii="Arial" w:eastAsia="Times New Roman" w:hAnsi="Arial" w:cs="Arial"/>
          <w:color w:val="000000"/>
          <w:lang w:eastAsia="es-CO"/>
        </w:rPr>
      </w:pPr>
    </w:p>
    <w:p w14:paraId="6BA95C31" w14:textId="2DAFCBC6" w:rsidR="00FC79C1" w:rsidRDefault="00FC79C1" w:rsidP="0015442F">
      <w:pPr>
        <w:numPr>
          <w:ilvl w:val="0"/>
          <w:numId w:val="56"/>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Servicio público de aseo. La persona prestadora del servicio público de aseo o sus actividades complementarias, establecerá en el programa de prestación del servicio que trata el artículo 2.3.2.2.1.10 del presente decreto, la gradualidad para la incorporación de las diferentes actividades del servicio de acuerdo con las condiciones municipales o distritales.</w:t>
      </w:r>
    </w:p>
    <w:p w14:paraId="4C293EED" w14:textId="77777777" w:rsidR="00E95447" w:rsidRPr="009342F9" w:rsidRDefault="00E95447" w:rsidP="00E95447">
      <w:pPr>
        <w:spacing w:after="0" w:line="240" w:lineRule="auto"/>
        <w:ind w:left="720"/>
        <w:jc w:val="both"/>
        <w:rPr>
          <w:rFonts w:ascii="Arial" w:eastAsia="Times New Roman" w:hAnsi="Arial" w:cs="Arial"/>
          <w:color w:val="000000"/>
          <w:lang w:eastAsia="es-CO"/>
        </w:rPr>
      </w:pPr>
    </w:p>
    <w:p w14:paraId="5B42BAA3" w14:textId="655FD553" w:rsidR="00FC79C1" w:rsidRDefault="00FC79C1" w:rsidP="0015442F">
      <w:pPr>
        <w:numPr>
          <w:ilvl w:val="0"/>
          <w:numId w:val="56"/>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Aspectos tarifarios. Las tarifas que aplicará la persona prestadora de los servicios públicos de acueducto, alcantarillado o aseo, deberán adoptarse conforme a la regulación que expida la Comisión de Regulación de Agua Potable y Saneamiento Básico para este caso y lo previsto en el inciso segundo del numeral 5 del artículo 2.3.7.2.2.3.3. de la presente subsección.</w:t>
      </w:r>
    </w:p>
    <w:p w14:paraId="2887B914" w14:textId="77777777" w:rsidR="00E95447" w:rsidRPr="009342F9" w:rsidRDefault="00E95447" w:rsidP="00E95447">
      <w:pPr>
        <w:spacing w:after="0" w:line="240" w:lineRule="auto"/>
        <w:ind w:left="720"/>
        <w:jc w:val="both"/>
        <w:rPr>
          <w:rFonts w:ascii="Arial" w:eastAsia="Times New Roman" w:hAnsi="Arial" w:cs="Arial"/>
          <w:color w:val="000000"/>
          <w:lang w:eastAsia="es-CO"/>
        </w:rPr>
      </w:pPr>
    </w:p>
    <w:p w14:paraId="29FEDC5A" w14:textId="77777777" w:rsidR="00FC79C1" w:rsidRPr="009342F9" w:rsidRDefault="00FC79C1" w:rsidP="0015442F">
      <w:pPr>
        <w:numPr>
          <w:ilvl w:val="0"/>
          <w:numId w:val="56"/>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Condiciones diferenciales en los contratos de servicios públicos. Las personas prestadoras incorporarán en sus contratos de servicios públicos las condiciones de este esquema diferencial, conforme a lo establecido en la presente subsección, sin perjuicio de lo contenido en la regulación sobre contrato de servicios públicos y sus condiciones uniformes, en lo dispuesto en el artículo 128 de la Ley 142 de 1994 y en las demás disposiciones aplicables.</w:t>
      </w:r>
    </w:p>
    <w:p w14:paraId="20B8820F" w14:textId="11B0B71F"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83" w:name="ver_30125132"/>
      <w:bookmarkEnd w:id="2183"/>
    </w:p>
    <w:p w14:paraId="616231CB"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2.3.7.2.2.3.7. Contrato de servicios públicos para el esquema diferencial en áreas de prestación, con condiciones particulares. La persona prestadora deberá adoptar un contrato de servicios públicos para el esquema diferencial en áreas de prestación, con condiciones particulares, en el cual incluirá las condiciones diferenciales respectivas. </w:t>
      </w:r>
    </w:p>
    <w:p w14:paraId="0F1D295E"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84" w:name="ver_30125133"/>
      <w:bookmarkEnd w:id="2184"/>
    </w:p>
    <w:p w14:paraId="6CC8AED9"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2.3.7.2.2.3.8. Planes de gestión en áreas de prestación, con condiciones </w:t>
      </w:r>
      <w:proofErr w:type="spellStart"/>
      <w:proofErr w:type="gramStart"/>
      <w:r w:rsidRPr="009342F9">
        <w:rPr>
          <w:rFonts w:ascii="Arial" w:eastAsia="Times New Roman" w:hAnsi="Arial" w:cs="Arial"/>
          <w:color w:val="000000"/>
          <w:lang w:eastAsia="es-CO"/>
        </w:rPr>
        <w:t>particulares.La</w:t>
      </w:r>
      <w:proofErr w:type="spellEnd"/>
      <w:proofErr w:type="gramEnd"/>
      <w:r w:rsidRPr="009342F9">
        <w:rPr>
          <w:rFonts w:ascii="Arial" w:eastAsia="Times New Roman" w:hAnsi="Arial" w:cs="Arial"/>
          <w:color w:val="000000"/>
          <w:lang w:eastAsia="es-CO"/>
        </w:rPr>
        <w:t xml:space="preserve"> persona prestadora deberá establecer un plan de gestión en donde se definan las metas, indicadores, plazos, objetivos, acciones y fuentes de financiación para el cumplimiento de las condiciones diferenciales definidas en el artículo 2.3.7.2.2.3.6. de la presente subsección y los estándares de prestación de los servicios públicos definidos por la regulación. Dicho plan deberá contener como mínimo:  </w:t>
      </w:r>
    </w:p>
    <w:p w14:paraId="69E8A168"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C850640" w14:textId="77777777" w:rsidR="00FC79C1" w:rsidRPr="009342F9" w:rsidRDefault="00FC79C1" w:rsidP="0015442F">
      <w:pPr>
        <w:numPr>
          <w:ilvl w:val="0"/>
          <w:numId w:val="57"/>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Plan de obras e inversiones y,</w:t>
      </w:r>
    </w:p>
    <w:p w14:paraId="364D7534" w14:textId="436DD1A4" w:rsidR="00FC79C1" w:rsidRPr="009342F9" w:rsidRDefault="00FC79C1" w:rsidP="0015442F">
      <w:pPr>
        <w:numPr>
          <w:ilvl w:val="0"/>
          <w:numId w:val="57"/>
        </w:num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Plan de aseguramiento de la prestación de los servicios públicos para el cumplimiento de los estándares de prestación de dichos servicios.</w:t>
      </w:r>
    </w:p>
    <w:p w14:paraId="792C409C" w14:textId="77777777" w:rsidR="0015442F" w:rsidRPr="009342F9" w:rsidRDefault="0015442F" w:rsidP="0015442F">
      <w:pPr>
        <w:spacing w:after="0" w:line="240" w:lineRule="auto"/>
        <w:jc w:val="both"/>
        <w:rPr>
          <w:rFonts w:ascii="Arial" w:eastAsia="Times New Roman" w:hAnsi="Arial" w:cs="Arial"/>
          <w:color w:val="000000"/>
          <w:lang w:eastAsia="es-CO"/>
        </w:rPr>
      </w:pPr>
    </w:p>
    <w:p w14:paraId="54962F52" w14:textId="77B1C054" w:rsidR="00FC79C1" w:rsidRPr="009342F9" w:rsidRDefault="00FC79C1" w:rsidP="0015442F">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Los municipios, distritos y departamentos en cumplimiento de sus obligaciones constitucionales y legales priorizarán el apoyo técnico y financiero para la estructuración e implementación de las acciones derivadas de los planes de gestión en áreas de prestación, con condiciones particulares.  </w:t>
      </w:r>
    </w:p>
    <w:p w14:paraId="0A4D2DB5" w14:textId="31B7A8AB"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bookmarkStart w:id="2185" w:name="ver_30125134"/>
      <w:bookmarkEnd w:id="2185"/>
    </w:p>
    <w:p w14:paraId="4DDF2A35" w14:textId="79D40BA1"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2.3.7.2.2.3.9. Registro del esquema diferencial en el Sistema Único de Información (SUI). Una vez aceptada la aplicación del esquema diferencial, la persona prestadora deberá registrarlo en el Sistema Único de Información (SUI), en las condiciones y plazos que establezca la Superintendencia de Servicios Públicos Domiciliarios, para su correspondiente inspección, vigilancia y control. </w:t>
      </w:r>
    </w:p>
    <w:p w14:paraId="56CF17BF" w14:textId="77777777" w:rsidR="00E95447" w:rsidRPr="009342F9" w:rsidRDefault="00E95447" w:rsidP="00FC79C1">
      <w:pPr>
        <w:spacing w:after="0" w:line="240" w:lineRule="auto"/>
        <w:jc w:val="both"/>
        <w:rPr>
          <w:rFonts w:ascii="Arial" w:eastAsia="Times New Roman" w:hAnsi="Arial" w:cs="Arial"/>
          <w:color w:val="000000"/>
          <w:lang w:eastAsia="es-CO"/>
        </w:rPr>
      </w:pPr>
    </w:p>
    <w:p w14:paraId="0563089A" w14:textId="77777777" w:rsidR="00FC79C1" w:rsidRPr="00E95447" w:rsidRDefault="00FC79C1" w:rsidP="00E95447">
      <w:pPr>
        <w:spacing w:after="0" w:line="240" w:lineRule="auto"/>
        <w:jc w:val="center"/>
        <w:rPr>
          <w:rFonts w:ascii="Arial" w:eastAsia="Times New Roman" w:hAnsi="Arial" w:cs="Arial"/>
          <w:b/>
          <w:bCs/>
          <w:color w:val="000000"/>
          <w:lang w:eastAsia="es-CO"/>
        </w:rPr>
      </w:pPr>
      <w:bookmarkStart w:id="2186" w:name="ver_30125135"/>
      <w:bookmarkEnd w:id="2186"/>
      <w:r w:rsidRPr="00E95447">
        <w:rPr>
          <w:rFonts w:ascii="Arial" w:eastAsia="Times New Roman" w:hAnsi="Arial" w:cs="Arial"/>
          <w:b/>
          <w:bCs/>
          <w:color w:val="000000"/>
          <w:lang w:eastAsia="es-CO"/>
        </w:rPr>
        <w:t>SECCIÓN 3 DISPOSICIONES GENERALES</w:t>
      </w:r>
    </w:p>
    <w:p w14:paraId="434DAB2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87" w:name="ver_30125136"/>
      <w:bookmarkEnd w:id="2187"/>
    </w:p>
    <w:p w14:paraId="15ABBB48" w14:textId="5DF96B27" w:rsidR="00FC79C1"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Artículo 2.3.7.2.3.1. Acceso a subsidios para esquemas diferenciales. Conforme a la normatividad vigente en materia de subsidios, los usuarios residenciales ubicados en un esquema diferencial podrán recibir subsidios de parte de la entidad territorial, para cada uno de los servicios de acueducto, alcantarillado o aseo, en el porcentaje correspondiente </w:t>
      </w:r>
      <w:proofErr w:type="gramStart"/>
      <w:r w:rsidRPr="009342F9">
        <w:rPr>
          <w:rFonts w:ascii="Arial" w:eastAsia="Times New Roman" w:hAnsi="Arial" w:cs="Arial"/>
          <w:color w:val="000000"/>
          <w:lang w:eastAsia="es-CO"/>
        </w:rPr>
        <w:t>de acuerdo al</w:t>
      </w:r>
      <w:proofErr w:type="gramEnd"/>
      <w:r w:rsidRPr="009342F9">
        <w:rPr>
          <w:rFonts w:ascii="Arial" w:eastAsia="Times New Roman" w:hAnsi="Arial" w:cs="Arial"/>
          <w:color w:val="000000"/>
          <w:lang w:eastAsia="es-CO"/>
        </w:rPr>
        <w:t xml:space="preserve"> estrato al que pertenezcan. </w:t>
      </w:r>
    </w:p>
    <w:p w14:paraId="4490A311" w14:textId="77777777" w:rsidR="00E95447" w:rsidRPr="009342F9" w:rsidRDefault="00E95447" w:rsidP="00FC79C1">
      <w:pPr>
        <w:spacing w:after="0" w:line="240" w:lineRule="auto"/>
        <w:jc w:val="both"/>
        <w:rPr>
          <w:rFonts w:ascii="Arial" w:eastAsia="Times New Roman" w:hAnsi="Arial" w:cs="Arial"/>
          <w:color w:val="000000"/>
          <w:lang w:eastAsia="es-CO"/>
        </w:rPr>
      </w:pPr>
    </w:p>
    <w:p w14:paraId="783C70E6" w14:textId="7BCC97B1" w:rsidR="00FC79C1"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Parágrafo 1°. Para el esquema diferencial en áreas de difícil gestión, para efectos de la facturación y el otorgamiento de los subsidios por parte de la entidad territorial, los inmuebles residenciales se considerarán de estrato 1, mientras la entidad territorial </w:t>
      </w:r>
      <w:proofErr w:type="gramStart"/>
      <w:r w:rsidRPr="009342F9">
        <w:rPr>
          <w:rFonts w:ascii="Arial" w:eastAsia="Times New Roman" w:hAnsi="Arial" w:cs="Arial"/>
          <w:color w:val="000000"/>
          <w:lang w:eastAsia="es-CO"/>
        </w:rPr>
        <w:t>de acuerdo a</w:t>
      </w:r>
      <w:proofErr w:type="gramEnd"/>
      <w:r w:rsidRPr="009342F9">
        <w:rPr>
          <w:rFonts w:ascii="Arial" w:eastAsia="Times New Roman" w:hAnsi="Arial" w:cs="Arial"/>
          <w:color w:val="000000"/>
          <w:lang w:eastAsia="es-CO"/>
        </w:rPr>
        <w:t xml:space="preserve"> sus competencias legales asigne de manera provisional o definitiva el estrato correspondiente para el otorgamiento de subsidios. </w:t>
      </w:r>
    </w:p>
    <w:p w14:paraId="72E45D4E" w14:textId="77777777" w:rsidR="00E95447" w:rsidRPr="009342F9" w:rsidRDefault="00E95447" w:rsidP="00FC79C1">
      <w:pPr>
        <w:spacing w:after="0" w:line="240" w:lineRule="auto"/>
        <w:ind w:left="-14"/>
        <w:jc w:val="both"/>
        <w:rPr>
          <w:rFonts w:ascii="Arial" w:eastAsia="Times New Roman" w:hAnsi="Arial" w:cs="Arial"/>
          <w:color w:val="000000"/>
          <w:lang w:eastAsia="es-CO"/>
        </w:rPr>
      </w:pPr>
    </w:p>
    <w:p w14:paraId="41C42D27" w14:textId="77777777"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Parágrafo 2°. Los usuarios no residenciales estarán sujetos a la aplicación de la normatividad vigente sobre aportes solidarios. </w:t>
      </w:r>
    </w:p>
    <w:p w14:paraId="1E0505EA"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88" w:name="ver_30125137"/>
      <w:bookmarkEnd w:id="2188"/>
    </w:p>
    <w:p w14:paraId="41C0A631" w14:textId="6DCE75AB" w:rsidR="00FC79C1" w:rsidRPr="009342F9" w:rsidRDefault="00FC79C1" w:rsidP="00FC79C1">
      <w:pPr>
        <w:spacing w:after="0" w:line="240" w:lineRule="auto"/>
        <w:ind w:left="-14"/>
        <w:jc w:val="both"/>
        <w:rPr>
          <w:rFonts w:ascii="Arial" w:eastAsia="Times New Roman" w:hAnsi="Arial" w:cs="Arial"/>
          <w:color w:val="000000"/>
          <w:lang w:eastAsia="es-CO"/>
        </w:rPr>
      </w:pPr>
      <w:r w:rsidRPr="009342F9">
        <w:rPr>
          <w:rFonts w:ascii="Arial" w:eastAsia="Times New Roman" w:hAnsi="Arial" w:cs="Arial"/>
          <w:color w:val="000000"/>
          <w:lang w:eastAsia="es-CO"/>
        </w:rPr>
        <w:t>Artículo 2.3.7.2.3.2. Inspección, vigilancia y control a esquemas diferenciales. La Superintendencia de Servicios Públicos Domiciliarios en ejercicio de sus competencias inspeccionará, vigilará y controlará el cumplimiento de las condiciones diferenciales definidas en cada uno de los esquemas diferenciales señalados en el presente capítulo. </w:t>
      </w:r>
    </w:p>
    <w:p w14:paraId="24852140" w14:textId="77777777" w:rsidR="0015442F" w:rsidRPr="009342F9" w:rsidRDefault="0015442F" w:rsidP="00FC79C1">
      <w:pPr>
        <w:spacing w:after="0" w:line="240" w:lineRule="auto"/>
        <w:ind w:left="-14"/>
        <w:jc w:val="both"/>
        <w:rPr>
          <w:rFonts w:ascii="Arial" w:eastAsia="Times New Roman" w:hAnsi="Arial" w:cs="Arial"/>
          <w:color w:val="000000"/>
          <w:lang w:eastAsia="es-CO"/>
        </w:rPr>
      </w:pPr>
    </w:p>
    <w:p w14:paraId="16B48AE2"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189" w:name="ver_30125144"/>
      <w:bookmarkEnd w:id="2189"/>
      <w:r w:rsidRPr="009342F9">
        <w:rPr>
          <w:rFonts w:ascii="Arial" w:eastAsia="Times New Roman" w:hAnsi="Arial" w:cs="Arial"/>
          <w:b/>
          <w:bCs/>
          <w:color w:val="000000"/>
          <w:lang w:eastAsia="es-CO"/>
        </w:rPr>
        <w:t>LIBRO 3.</w:t>
      </w:r>
    </w:p>
    <w:p w14:paraId="2740B4DA"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DISPOSICIONES FINALES</w:t>
      </w:r>
    </w:p>
    <w:p w14:paraId="46A94616" w14:textId="77777777" w:rsidR="00517D8A" w:rsidRDefault="00517D8A" w:rsidP="0015442F">
      <w:pPr>
        <w:spacing w:after="0" w:line="240" w:lineRule="auto"/>
        <w:jc w:val="center"/>
        <w:rPr>
          <w:rFonts w:ascii="Arial" w:eastAsia="Times New Roman" w:hAnsi="Arial" w:cs="Arial"/>
          <w:b/>
          <w:bCs/>
          <w:color w:val="000000"/>
          <w:lang w:eastAsia="es-CO"/>
        </w:rPr>
      </w:pPr>
    </w:p>
    <w:p w14:paraId="7866E43C" w14:textId="76B2DBDB"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PARTE 1</w:t>
      </w:r>
    </w:p>
    <w:p w14:paraId="1E4ED838"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Derogatoria y Vigencia</w:t>
      </w:r>
    </w:p>
    <w:p w14:paraId="03D61BC7" w14:textId="77777777" w:rsidR="00517D8A" w:rsidRDefault="00517D8A" w:rsidP="0015442F">
      <w:pPr>
        <w:spacing w:after="0" w:line="240" w:lineRule="auto"/>
        <w:jc w:val="center"/>
        <w:rPr>
          <w:rFonts w:ascii="Arial" w:eastAsia="Times New Roman" w:hAnsi="Arial" w:cs="Arial"/>
          <w:b/>
          <w:bCs/>
          <w:color w:val="000000"/>
          <w:lang w:eastAsia="es-CO"/>
        </w:rPr>
      </w:pPr>
    </w:p>
    <w:p w14:paraId="51C9B116" w14:textId="66F298A0"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TÍTULO 1</w:t>
      </w:r>
    </w:p>
    <w:p w14:paraId="419B838A" w14:textId="77777777" w:rsidR="00FC79C1" w:rsidRPr="009342F9" w:rsidRDefault="00FC79C1" w:rsidP="0015442F">
      <w:pPr>
        <w:spacing w:after="0" w:line="240" w:lineRule="auto"/>
        <w:jc w:val="center"/>
        <w:rPr>
          <w:rFonts w:ascii="Arial" w:eastAsia="Times New Roman" w:hAnsi="Arial" w:cs="Arial"/>
          <w:b/>
          <w:bCs/>
          <w:color w:val="000000"/>
          <w:lang w:eastAsia="es-CO"/>
        </w:rPr>
      </w:pPr>
      <w:r w:rsidRPr="009342F9">
        <w:rPr>
          <w:rFonts w:ascii="Arial" w:eastAsia="Times New Roman" w:hAnsi="Arial" w:cs="Arial"/>
          <w:b/>
          <w:bCs/>
          <w:color w:val="000000"/>
          <w:lang w:eastAsia="es-CO"/>
        </w:rPr>
        <w:t>VIGENCIA Y DEROGATORIA</w:t>
      </w:r>
    </w:p>
    <w:p w14:paraId="06122A37" w14:textId="77777777" w:rsidR="00FC79C1" w:rsidRPr="009342F9" w:rsidRDefault="00FC79C1" w:rsidP="0015442F">
      <w:pPr>
        <w:spacing w:after="0" w:line="240" w:lineRule="auto"/>
        <w:jc w:val="center"/>
        <w:rPr>
          <w:rFonts w:ascii="Arial" w:eastAsia="Times New Roman" w:hAnsi="Arial" w:cs="Arial"/>
          <w:b/>
          <w:bCs/>
          <w:color w:val="000000"/>
          <w:lang w:eastAsia="es-CO"/>
        </w:rPr>
      </w:pPr>
      <w:bookmarkStart w:id="2190" w:name="ver_30076231"/>
      <w:bookmarkEnd w:id="2190"/>
    </w:p>
    <w:p w14:paraId="01EA34BC"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3.1.1. Derogatoria Integral. Este decreto regula íntegramente las materias contempladas en él. Por consiguiente, de conformidad con el artículo 3° de la Ley 153 de 1887, quedan derogadas todas las disposiciones de naturaleza reglamentaria relativas al sector Vivienda, Ciudad y Territorio que versan sobre las mismas materias, con excepción, exclusivamente, de los siguientes asuntos: </w:t>
      </w:r>
    </w:p>
    <w:p w14:paraId="10F5BEF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AC5CE2"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1) No quedan cobijados por la derogatoria anterior los decretos relativos a la creación y conformación de comisiones intersectoriales, comisiones interinstitucionales, consejos, comités, sistemas administrativos y demás asuntos relacionados con la estructura, configuración y conformación de las entidades y organismos del sector administrativo. </w:t>
      </w:r>
    </w:p>
    <w:p w14:paraId="75740F55"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07D29C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2) Tampoco quedan cobijados por la derogatoria anterior los decretos que desarrollan leyes marco. </w:t>
      </w:r>
    </w:p>
    <w:p w14:paraId="5CB8F23D"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3E31EF6B"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xml:space="preserve">3) Igualmente, quedan excluidas de esta derogatoria las normas de naturaleza reglamentaria de este sector administrativo que, a la fecha de expedición del presente decreto, se encuentren suspendidas por la Jurisdicción </w:t>
      </w:r>
      <w:proofErr w:type="gramStart"/>
      <w:r w:rsidRPr="009342F9">
        <w:rPr>
          <w:rFonts w:ascii="Arial" w:eastAsia="Times New Roman" w:hAnsi="Arial" w:cs="Arial"/>
          <w:color w:val="000000"/>
          <w:lang w:eastAsia="es-CO"/>
        </w:rPr>
        <w:t>Contencioso Administrativa</w:t>
      </w:r>
      <w:proofErr w:type="gramEnd"/>
      <w:r w:rsidRPr="009342F9">
        <w:rPr>
          <w:rFonts w:ascii="Arial" w:eastAsia="Times New Roman" w:hAnsi="Arial" w:cs="Arial"/>
          <w:color w:val="000000"/>
          <w:lang w:eastAsia="es-CO"/>
        </w:rPr>
        <w:t>, las cuales serán compiladas en este decreto, en caso de recuperar su eficacia jurídica. </w:t>
      </w:r>
    </w:p>
    <w:p w14:paraId="1CBAB856"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423E7443"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4) Así mismo quedan vigentes y en consecuencia se exceptúan de esta derogatoria los decretos 926 de 2010, 2525 de 2010, 092 de 2011 y 340 de 2012 relacionados con normas técnicas sobre construcciones sismo resistentes. </w:t>
      </w:r>
    </w:p>
    <w:p w14:paraId="70FF10F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0439EF41" w14:textId="77777777"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Los actos administrativos expedidos con fundamento en las disposiciones compiladas en el presente decreto mantendrán su vigencia y ejecutoriedad bajo el entendido de que sus fundamentos jurídicos permanecen en el presente decreto compilatorio. </w:t>
      </w:r>
    </w:p>
    <w:p w14:paraId="3D9C5446"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91" w:name="ver_30076232"/>
      <w:bookmarkEnd w:id="2191"/>
    </w:p>
    <w:p w14:paraId="3159DC18" w14:textId="0DBE59C1" w:rsidR="00FC79C1" w:rsidRPr="009342F9"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Artículo 3.1.2. Vigencia. El presente decreto rige a partir de su publicación en el Diario Oficial.  </w:t>
      </w:r>
    </w:p>
    <w:p w14:paraId="5A85F57D" w14:textId="77777777" w:rsidR="0015442F" w:rsidRPr="009342F9" w:rsidRDefault="0015442F" w:rsidP="00FC79C1">
      <w:pPr>
        <w:spacing w:after="0" w:line="240" w:lineRule="auto"/>
        <w:jc w:val="both"/>
        <w:rPr>
          <w:rFonts w:ascii="Arial" w:eastAsia="Times New Roman" w:hAnsi="Arial" w:cs="Arial"/>
          <w:color w:val="000000"/>
          <w:lang w:eastAsia="es-CO"/>
        </w:rPr>
      </w:pPr>
    </w:p>
    <w:p w14:paraId="5F5D5650" w14:textId="77777777" w:rsidR="00FC79C1" w:rsidRPr="009342F9" w:rsidRDefault="00FC79C1" w:rsidP="00FC79C1">
      <w:pPr>
        <w:spacing w:after="0" w:line="240" w:lineRule="auto"/>
        <w:jc w:val="both"/>
        <w:rPr>
          <w:rFonts w:ascii="Arial" w:eastAsia="Times New Roman" w:hAnsi="Arial" w:cs="Arial"/>
          <w:color w:val="000000"/>
          <w:lang w:eastAsia="es-CO"/>
        </w:rPr>
      </w:pPr>
      <w:bookmarkStart w:id="2192" w:name="ver_30076233"/>
      <w:bookmarkEnd w:id="2192"/>
      <w:r w:rsidRPr="009342F9">
        <w:rPr>
          <w:rFonts w:ascii="Arial" w:eastAsia="Times New Roman" w:hAnsi="Arial" w:cs="Arial"/>
          <w:color w:val="000000"/>
          <w:lang w:eastAsia="es-CO"/>
        </w:rPr>
        <w:t>Publíquese y cúmplase. </w:t>
      </w:r>
    </w:p>
    <w:p w14:paraId="1AC533D9" w14:textId="77777777" w:rsidR="00FC79C1" w:rsidRPr="00E95447" w:rsidRDefault="00FC79C1" w:rsidP="00FC79C1">
      <w:pPr>
        <w:spacing w:after="0" w:line="240" w:lineRule="auto"/>
        <w:jc w:val="both"/>
        <w:rPr>
          <w:rFonts w:ascii="Arial" w:eastAsia="Times New Roman" w:hAnsi="Arial" w:cs="Arial"/>
          <w:color w:val="000000"/>
          <w:lang w:eastAsia="es-CO"/>
        </w:rPr>
      </w:pPr>
      <w:r w:rsidRPr="009342F9">
        <w:rPr>
          <w:rFonts w:ascii="Arial" w:eastAsia="Times New Roman" w:hAnsi="Arial" w:cs="Arial"/>
          <w:color w:val="000000"/>
          <w:lang w:eastAsia="es-CO"/>
        </w:rPr>
        <w:t>  </w:t>
      </w:r>
    </w:p>
    <w:p w14:paraId="1A62DE2E" w14:textId="22595F1B" w:rsidR="00FC79C1" w:rsidRPr="00E95447" w:rsidRDefault="00FC79C1" w:rsidP="0015442F">
      <w:pPr>
        <w:spacing w:after="0" w:line="240" w:lineRule="auto"/>
        <w:jc w:val="center"/>
        <w:rPr>
          <w:rFonts w:ascii="Arial" w:eastAsia="Times New Roman" w:hAnsi="Arial" w:cs="Arial"/>
          <w:color w:val="000000"/>
          <w:lang w:eastAsia="es-CO"/>
        </w:rPr>
      </w:pPr>
      <w:r w:rsidRPr="00E95447">
        <w:rPr>
          <w:rFonts w:ascii="Arial" w:eastAsia="Times New Roman" w:hAnsi="Arial" w:cs="Arial"/>
          <w:color w:val="000000"/>
          <w:lang w:eastAsia="es-CO"/>
        </w:rPr>
        <w:t>Dado en Bogotá, D. C., a 26 de mayo de 2015.</w:t>
      </w:r>
    </w:p>
    <w:p w14:paraId="34DD7FDB" w14:textId="43793DCD" w:rsidR="00FC79C1" w:rsidRPr="00E95447" w:rsidRDefault="00FC79C1" w:rsidP="0015442F">
      <w:pPr>
        <w:spacing w:after="0" w:line="240" w:lineRule="auto"/>
        <w:jc w:val="center"/>
        <w:rPr>
          <w:rFonts w:ascii="Arial" w:eastAsia="Times New Roman" w:hAnsi="Arial" w:cs="Arial"/>
          <w:color w:val="000000"/>
          <w:lang w:eastAsia="es-CO"/>
        </w:rPr>
      </w:pPr>
      <w:r w:rsidRPr="00E95447">
        <w:rPr>
          <w:rFonts w:ascii="Arial" w:eastAsia="Times New Roman" w:hAnsi="Arial" w:cs="Arial"/>
          <w:color w:val="000000"/>
          <w:lang w:eastAsia="es-CO"/>
        </w:rPr>
        <w:t>JUAN MANUEL SANTOS CALDERÓN</w:t>
      </w:r>
    </w:p>
    <w:p w14:paraId="0A25E339" w14:textId="6F5A2EAC" w:rsidR="00FC79C1" w:rsidRPr="00E95447" w:rsidRDefault="00FC79C1" w:rsidP="0015442F">
      <w:pPr>
        <w:spacing w:after="0" w:line="240" w:lineRule="auto"/>
        <w:jc w:val="center"/>
        <w:rPr>
          <w:rFonts w:ascii="Arial" w:eastAsia="Times New Roman" w:hAnsi="Arial" w:cs="Arial"/>
          <w:color w:val="000000"/>
          <w:lang w:eastAsia="es-CO"/>
        </w:rPr>
      </w:pPr>
      <w:r w:rsidRPr="00E95447">
        <w:rPr>
          <w:rFonts w:ascii="Arial" w:eastAsia="Times New Roman" w:hAnsi="Arial" w:cs="Arial"/>
          <w:color w:val="000000"/>
          <w:lang w:eastAsia="es-CO"/>
        </w:rPr>
        <w:t>El Ministro de Vivienda, Ciudad y Territorio,</w:t>
      </w:r>
    </w:p>
    <w:p w14:paraId="6A8AC298" w14:textId="71BD7F02" w:rsidR="00FC79C1" w:rsidRPr="00E95447" w:rsidRDefault="00FC79C1" w:rsidP="0015442F">
      <w:pPr>
        <w:spacing w:after="0" w:line="240" w:lineRule="auto"/>
        <w:jc w:val="center"/>
        <w:rPr>
          <w:rFonts w:ascii="Arial" w:eastAsia="Times New Roman" w:hAnsi="Arial" w:cs="Arial"/>
          <w:color w:val="000000"/>
          <w:lang w:eastAsia="es-CO"/>
        </w:rPr>
      </w:pPr>
      <w:r w:rsidRPr="00E95447">
        <w:rPr>
          <w:rFonts w:ascii="Arial" w:eastAsia="Times New Roman" w:hAnsi="Arial" w:cs="Arial"/>
          <w:color w:val="000000"/>
          <w:lang w:eastAsia="es-CO"/>
        </w:rPr>
        <w:t>Luis Felipe Henao Cardona.</w:t>
      </w:r>
    </w:p>
    <w:p w14:paraId="2D44A3D0" w14:textId="4BFEEB65" w:rsidR="00D667A4" w:rsidRPr="009342F9" w:rsidRDefault="00D667A4" w:rsidP="0015442F">
      <w:pPr>
        <w:spacing w:after="0" w:line="240" w:lineRule="auto"/>
        <w:jc w:val="center"/>
        <w:rPr>
          <w:rFonts w:ascii="Arial" w:hAnsi="Arial" w:cs="Arial"/>
          <w:b/>
          <w:bCs/>
        </w:rPr>
      </w:pPr>
    </w:p>
    <w:sectPr w:rsidR="00D667A4" w:rsidRPr="009342F9" w:rsidSect="00B63A3F">
      <w:pgSz w:w="12240" w:h="15840"/>
      <w:pgMar w:top="1418" w:right="1418" w:bottom="1418"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altName w:val="游明朝"/>
    <w:panose1 w:val="00000000000000000000"/>
    <w:charset w:val="8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27794"/>
    <w:multiLevelType w:val="multilevel"/>
    <w:tmpl w:val="8A9E40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4346B2F"/>
    <w:multiLevelType w:val="multilevel"/>
    <w:tmpl w:val="53AC60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431C1C"/>
    <w:multiLevelType w:val="multilevel"/>
    <w:tmpl w:val="4B9057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1D3082"/>
    <w:multiLevelType w:val="multilevel"/>
    <w:tmpl w:val="67CC80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C38616E"/>
    <w:multiLevelType w:val="multilevel"/>
    <w:tmpl w:val="273EC5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4704EB3"/>
    <w:multiLevelType w:val="multilevel"/>
    <w:tmpl w:val="E2709F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6957DA7"/>
    <w:multiLevelType w:val="multilevel"/>
    <w:tmpl w:val="A84CFA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251F58"/>
    <w:multiLevelType w:val="multilevel"/>
    <w:tmpl w:val="6D18D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252386"/>
    <w:multiLevelType w:val="multilevel"/>
    <w:tmpl w:val="183286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80653F"/>
    <w:multiLevelType w:val="hybridMultilevel"/>
    <w:tmpl w:val="E54883C2"/>
    <w:lvl w:ilvl="0" w:tplc="37AC2738">
      <w:start w:val="1"/>
      <w:numFmt w:val="decimal"/>
      <w:lvlText w:val="%1."/>
      <w:lvlJc w:val="left"/>
      <w:pPr>
        <w:ind w:left="309" w:hanging="204"/>
      </w:pPr>
      <w:rPr>
        <w:rFonts w:ascii="Arial" w:eastAsia="Arial" w:hAnsi="Arial" w:cs="Arial" w:hint="default"/>
        <w:w w:val="102"/>
        <w:sz w:val="17"/>
        <w:szCs w:val="17"/>
        <w:lang w:val="es-ES" w:eastAsia="en-US" w:bidi="ar-SA"/>
      </w:rPr>
    </w:lvl>
    <w:lvl w:ilvl="1" w:tplc="D62CFCB4">
      <w:numFmt w:val="bullet"/>
      <w:lvlText w:val="•"/>
      <w:lvlJc w:val="left"/>
      <w:pPr>
        <w:ind w:left="1380" w:hanging="204"/>
      </w:pPr>
      <w:rPr>
        <w:rFonts w:hint="default"/>
        <w:lang w:val="es-ES" w:eastAsia="en-US" w:bidi="ar-SA"/>
      </w:rPr>
    </w:lvl>
    <w:lvl w:ilvl="2" w:tplc="2C88A492">
      <w:numFmt w:val="bullet"/>
      <w:lvlText w:val="•"/>
      <w:lvlJc w:val="left"/>
      <w:pPr>
        <w:ind w:left="2460" w:hanging="204"/>
      </w:pPr>
      <w:rPr>
        <w:rFonts w:hint="default"/>
        <w:lang w:val="es-ES" w:eastAsia="en-US" w:bidi="ar-SA"/>
      </w:rPr>
    </w:lvl>
    <w:lvl w:ilvl="3" w:tplc="0F1ACB2C">
      <w:numFmt w:val="bullet"/>
      <w:lvlText w:val="•"/>
      <w:lvlJc w:val="left"/>
      <w:pPr>
        <w:ind w:left="3540" w:hanging="204"/>
      </w:pPr>
      <w:rPr>
        <w:rFonts w:hint="default"/>
        <w:lang w:val="es-ES" w:eastAsia="en-US" w:bidi="ar-SA"/>
      </w:rPr>
    </w:lvl>
    <w:lvl w:ilvl="4" w:tplc="14683D88">
      <w:numFmt w:val="bullet"/>
      <w:lvlText w:val="•"/>
      <w:lvlJc w:val="left"/>
      <w:pPr>
        <w:ind w:left="4620" w:hanging="204"/>
      </w:pPr>
      <w:rPr>
        <w:rFonts w:hint="default"/>
        <w:lang w:val="es-ES" w:eastAsia="en-US" w:bidi="ar-SA"/>
      </w:rPr>
    </w:lvl>
    <w:lvl w:ilvl="5" w:tplc="0CEC0EC6">
      <w:numFmt w:val="bullet"/>
      <w:lvlText w:val="•"/>
      <w:lvlJc w:val="left"/>
      <w:pPr>
        <w:ind w:left="5700" w:hanging="204"/>
      </w:pPr>
      <w:rPr>
        <w:rFonts w:hint="default"/>
        <w:lang w:val="es-ES" w:eastAsia="en-US" w:bidi="ar-SA"/>
      </w:rPr>
    </w:lvl>
    <w:lvl w:ilvl="6" w:tplc="FE4A1B94">
      <w:numFmt w:val="bullet"/>
      <w:lvlText w:val="•"/>
      <w:lvlJc w:val="left"/>
      <w:pPr>
        <w:ind w:left="6780" w:hanging="204"/>
      </w:pPr>
      <w:rPr>
        <w:rFonts w:hint="default"/>
        <w:lang w:val="es-ES" w:eastAsia="en-US" w:bidi="ar-SA"/>
      </w:rPr>
    </w:lvl>
    <w:lvl w:ilvl="7" w:tplc="775C759C">
      <w:numFmt w:val="bullet"/>
      <w:lvlText w:val="•"/>
      <w:lvlJc w:val="left"/>
      <w:pPr>
        <w:ind w:left="7860" w:hanging="204"/>
      </w:pPr>
      <w:rPr>
        <w:rFonts w:hint="default"/>
        <w:lang w:val="es-ES" w:eastAsia="en-US" w:bidi="ar-SA"/>
      </w:rPr>
    </w:lvl>
    <w:lvl w:ilvl="8" w:tplc="63289262">
      <w:numFmt w:val="bullet"/>
      <w:lvlText w:val="•"/>
      <w:lvlJc w:val="left"/>
      <w:pPr>
        <w:ind w:left="8940" w:hanging="204"/>
      </w:pPr>
      <w:rPr>
        <w:rFonts w:hint="default"/>
        <w:lang w:val="es-ES" w:eastAsia="en-US" w:bidi="ar-SA"/>
      </w:rPr>
    </w:lvl>
  </w:abstractNum>
  <w:abstractNum w:abstractNumId="10" w15:restartNumberingAfterBreak="0">
    <w:nsid w:val="22CD45FD"/>
    <w:multiLevelType w:val="multilevel"/>
    <w:tmpl w:val="92A088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43B27CE"/>
    <w:multiLevelType w:val="multilevel"/>
    <w:tmpl w:val="A094CA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63F0169"/>
    <w:multiLevelType w:val="multilevel"/>
    <w:tmpl w:val="6EF2AC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8144679"/>
    <w:multiLevelType w:val="multilevel"/>
    <w:tmpl w:val="8F287F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DE73010"/>
    <w:multiLevelType w:val="multilevel"/>
    <w:tmpl w:val="2048AA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9700FA"/>
    <w:multiLevelType w:val="multilevel"/>
    <w:tmpl w:val="5A947B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3464593"/>
    <w:multiLevelType w:val="multilevel"/>
    <w:tmpl w:val="A56C9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273D5B"/>
    <w:multiLevelType w:val="multilevel"/>
    <w:tmpl w:val="22764E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6D346A"/>
    <w:multiLevelType w:val="multilevel"/>
    <w:tmpl w:val="0EE4C2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93E5111"/>
    <w:multiLevelType w:val="multilevel"/>
    <w:tmpl w:val="8758CB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C1F362B"/>
    <w:multiLevelType w:val="multilevel"/>
    <w:tmpl w:val="B4C6B3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408F6E5C"/>
    <w:multiLevelType w:val="multilevel"/>
    <w:tmpl w:val="340C0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4CE43A9"/>
    <w:multiLevelType w:val="multilevel"/>
    <w:tmpl w:val="BAFE2B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5C85ED2"/>
    <w:multiLevelType w:val="multilevel"/>
    <w:tmpl w:val="CB506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64453DB"/>
    <w:multiLevelType w:val="multilevel"/>
    <w:tmpl w:val="66CADC7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9E75ACF"/>
    <w:multiLevelType w:val="multilevel"/>
    <w:tmpl w:val="FFCE2D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4C99460D"/>
    <w:multiLevelType w:val="multilevel"/>
    <w:tmpl w:val="6024A1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4F220BE6"/>
    <w:multiLevelType w:val="multilevel"/>
    <w:tmpl w:val="654C6B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F9D0670"/>
    <w:multiLevelType w:val="multilevel"/>
    <w:tmpl w:val="5FC44A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3D01E48"/>
    <w:multiLevelType w:val="multilevel"/>
    <w:tmpl w:val="CB041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4A74A6D"/>
    <w:multiLevelType w:val="multilevel"/>
    <w:tmpl w:val="E1DC3D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7C6007D"/>
    <w:multiLevelType w:val="multilevel"/>
    <w:tmpl w:val="D69CDD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AF23483"/>
    <w:multiLevelType w:val="multilevel"/>
    <w:tmpl w:val="94445F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F4238B7"/>
    <w:multiLevelType w:val="multilevel"/>
    <w:tmpl w:val="11BEF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6131621A"/>
    <w:multiLevelType w:val="multilevel"/>
    <w:tmpl w:val="8BD85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1595A21"/>
    <w:multiLevelType w:val="multilevel"/>
    <w:tmpl w:val="C2362A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61D564EB"/>
    <w:multiLevelType w:val="multilevel"/>
    <w:tmpl w:val="8F04F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67836B47"/>
    <w:multiLevelType w:val="multilevel"/>
    <w:tmpl w:val="A5320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69B87870"/>
    <w:multiLevelType w:val="multilevel"/>
    <w:tmpl w:val="7C74ED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6DD5582F"/>
    <w:multiLevelType w:val="multilevel"/>
    <w:tmpl w:val="9A624B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729E60C9"/>
    <w:multiLevelType w:val="multilevel"/>
    <w:tmpl w:val="76DC60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736F2E4D"/>
    <w:multiLevelType w:val="multilevel"/>
    <w:tmpl w:val="0826F8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4B22F53"/>
    <w:multiLevelType w:val="multilevel"/>
    <w:tmpl w:val="9AFC35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7630536D"/>
    <w:multiLevelType w:val="multilevel"/>
    <w:tmpl w:val="7B4EF3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63228A0"/>
    <w:multiLevelType w:val="multilevel"/>
    <w:tmpl w:val="5E8692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789A772A"/>
    <w:multiLevelType w:val="multilevel"/>
    <w:tmpl w:val="ACF6D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7AF60860"/>
    <w:multiLevelType w:val="multilevel"/>
    <w:tmpl w:val="FAFE71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7B8C06E0"/>
    <w:multiLevelType w:val="multilevel"/>
    <w:tmpl w:val="BB86A9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F024456"/>
    <w:multiLevelType w:val="multilevel"/>
    <w:tmpl w:val="AA0C120C"/>
    <w:lvl w:ilvl="0">
      <w:start w:val="1"/>
      <w:numFmt w:val="decimal"/>
      <w:lvlText w:val="%1."/>
      <w:lvlJc w:val="left"/>
      <w:pPr>
        <w:tabs>
          <w:tab w:val="num" w:pos="720"/>
        </w:tabs>
        <w:ind w:left="720" w:hanging="360"/>
      </w:pPr>
      <w:rPr>
        <w:rFonts w:ascii="Arial" w:eastAsia="Times New Roman"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3"/>
  </w:num>
  <w:num w:numId="2">
    <w:abstractNumId w:val="33"/>
    <w:lvlOverride w:ilvl="0">
      <w:startOverride w:val="2"/>
    </w:lvlOverride>
  </w:num>
  <w:num w:numId="3">
    <w:abstractNumId w:val="18"/>
    <w:lvlOverride w:ilvl="0">
      <w:startOverride w:val="3"/>
    </w:lvlOverride>
  </w:num>
  <w:num w:numId="4">
    <w:abstractNumId w:val="16"/>
    <w:lvlOverride w:ilvl="0">
      <w:startOverride w:val="4"/>
    </w:lvlOverride>
  </w:num>
  <w:num w:numId="5">
    <w:abstractNumId w:val="20"/>
    <w:lvlOverride w:ilvl="0">
      <w:startOverride w:val="5"/>
    </w:lvlOverride>
  </w:num>
  <w:num w:numId="6">
    <w:abstractNumId w:val="20"/>
    <w:lvlOverride w:ilvl="0">
      <w:startOverride w:val="6"/>
    </w:lvlOverride>
  </w:num>
  <w:num w:numId="7">
    <w:abstractNumId w:val="23"/>
    <w:lvlOverride w:ilvl="0">
      <w:startOverride w:val="7"/>
    </w:lvlOverride>
  </w:num>
  <w:num w:numId="8">
    <w:abstractNumId w:val="39"/>
    <w:lvlOverride w:ilvl="0">
      <w:startOverride w:val="8"/>
    </w:lvlOverride>
  </w:num>
  <w:num w:numId="9">
    <w:abstractNumId w:val="8"/>
  </w:num>
  <w:num w:numId="10">
    <w:abstractNumId w:val="3"/>
  </w:num>
  <w:num w:numId="11">
    <w:abstractNumId w:val="4"/>
    <w:lvlOverride w:ilvl="0">
      <w:startOverride w:val="5"/>
    </w:lvlOverride>
  </w:num>
  <w:num w:numId="12">
    <w:abstractNumId w:val="40"/>
    <w:lvlOverride w:ilvl="0">
      <w:startOverride w:val="6"/>
    </w:lvlOverride>
  </w:num>
  <w:num w:numId="13">
    <w:abstractNumId w:val="40"/>
    <w:lvlOverride w:ilvl="0">
      <w:startOverride w:val="7"/>
    </w:lvlOverride>
  </w:num>
  <w:num w:numId="14">
    <w:abstractNumId w:val="2"/>
    <w:lvlOverride w:ilvl="0">
      <w:startOverride w:val="8"/>
    </w:lvlOverride>
  </w:num>
  <w:num w:numId="15">
    <w:abstractNumId w:val="28"/>
  </w:num>
  <w:num w:numId="16">
    <w:abstractNumId w:val="31"/>
    <w:lvlOverride w:ilvl="0">
      <w:startOverride w:val="5"/>
    </w:lvlOverride>
  </w:num>
  <w:num w:numId="17">
    <w:abstractNumId w:val="5"/>
    <w:lvlOverride w:ilvl="0">
      <w:startOverride w:val="6"/>
    </w:lvlOverride>
  </w:num>
  <w:num w:numId="18">
    <w:abstractNumId w:val="5"/>
    <w:lvlOverride w:ilvl="0">
      <w:startOverride w:val="7"/>
    </w:lvlOverride>
  </w:num>
  <w:num w:numId="19">
    <w:abstractNumId w:val="5"/>
    <w:lvlOverride w:ilvl="0">
      <w:startOverride w:val="8"/>
    </w:lvlOverride>
  </w:num>
  <w:num w:numId="20">
    <w:abstractNumId w:val="5"/>
    <w:lvlOverride w:ilvl="0">
      <w:startOverride w:val="9"/>
    </w:lvlOverride>
  </w:num>
  <w:num w:numId="21">
    <w:abstractNumId w:val="35"/>
  </w:num>
  <w:num w:numId="22">
    <w:abstractNumId w:val="48"/>
  </w:num>
  <w:num w:numId="23">
    <w:abstractNumId w:val="19"/>
  </w:num>
  <w:num w:numId="24">
    <w:abstractNumId w:val="47"/>
    <w:lvlOverride w:ilvl="0">
      <w:startOverride w:val="2"/>
    </w:lvlOverride>
  </w:num>
  <w:num w:numId="25">
    <w:abstractNumId w:val="26"/>
  </w:num>
  <w:num w:numId="26">
    <w:abstractNumId w:val="37"/>
    <w:lvlOverride w:ilvl="0">
      <w:startOverride w:val="3"/>
    </w:lvlOverride>
  </w:num>
  <w:num w:numId="27">
    <w:abstractNumId w:val="37"/>
    <w:lvlOverride w:ilvl="0">
      <w:startOverride w:val="4"/>
    </w:lvlOverride>
  </w:num>
  <w:num w:numId="28">
    <w:abstractNumId w:val="37"/>
    <w:lvlOverride w:ilvl="0">
      <w:startOverride w:val="5"/>
    </w:lvlOverride>
  </w:num>
  <w:num w:numId="29">
    <w:abstractNumId w:val="15"/>
    <w:lvlOverride w:ilvl="0">
      <w:startOverride w:val="6"/>
    </w:lvlOverride>
  </w:num>
  <w:num w:numId="30">
    <w:abstractNumId w:val="7"/>
  </w:num>
  <w:num w:numId="31">
    <w:abstractNumId w:val="27"/>
    <w:lvlOverride w:ilvl="0">
      <w:startOverride w:val="2"/>
    </w:lvlOverride>
  </w:num>
  <w:num w:numId="32">
    <w:abstractNumId w:val="46"/>
    <w:lvlOverride w:ilvl="0">
      <w:startOverride w:val="3"/>
    </w:lvlOverride>
  </w:num>
  <w:num w:numId="33">
    <w:abstractNumId w:val="36"/>
    <w:lvlOverride w:ilvl="0">
      <w:startOverride w:val="4"/>
    </w:lvlOverride>
  </w:num>
  <w:num w:numId="34">
    <w:abstractNumId w:val="11"/>
    <w:lvlOverride w:ilvl="0">
      <w:startOverride w:val="5"/>
    </w:lvlOverride>
  </w:num>
  <w:num w:numId="35">
    <w:abstractNumId w:val="0"/>
    <w:lvlOverride w:ilvl="0">
      <w:startOverride w:val="6"/>
    </w:lvlOverride>
  </w:num>
  <w:num w:numId="36">
    <w:abstractNumId w:val="24"/>
  </w:num>
  <w:num w:numId="37">
    <w:abstractNumId w:val="24"/>
    <w:lvlOverride w:ilvl="1">
      <w:startOverride w:val="1"/>
    </w:lvlOverride>
  </w:num>
  <w:num w:numId="38">
    <w:abstractNumId w:val="12"/>
    <w:lvlOverride w:ilvl="0">
      <w:startOverride w:val="2"/>
    </w:lvlOverride>
  </w:num>
  <w:num w:numId="39">
    <w:abstractNumId w:val="6"/>
    <w:lvlOverride w:ilvl="0">
      <w:startOverride w:val="2"/>
    </w:lvlOverride>
  </w:num>
  <w:num w:numId="40">
    <w:abstractNumId w:val="29"/>
    <w:lvlOverride w:ilvl="0">
      <w:startOverride w:val="2"/>
    </w:lvlOverride>
  </w:num>
  <w:num w:numId="41">
    <w:abstractNumId w:val="42"/>
    <w:lvlOverride w:ilvl="0">
      <w:startOverride w:val="3"/>
    </w:lvlOverride>
  </w:num>
  <w:num w:numId="42">
    <w:abstractNumId w:val="38"/>
    <w:lvlOverride w:ilvl="0">
      <w:startOverride w:val="4"/>
    </w:lvlOverride>
  </w:num>
  <w:num w:numId="43">
    <w:abstractNumId w:val="25"/>
  </w:num>
  <w:num w:numId="44">
    <w:abstractNumId w:val="1"/>
  </w:num>
  <w:num w:numId="45">
    <w:abstractNumId w:val="44"/>
    <w:lvlOverride w:ilvl="0">
      <w:startOverride w:val="3"/>
    </w:lvlOverride>
  </w:num>
  <w:num w:numId="46">
    <w:abstractNumId w:val="10"/>
    <w:lvlOverride w:ilvl="0">
      <w:startOverride w:val="4"/>
    </w:lvlOverride>
  </w:num>
  <w:num w:numId="47">
    <w:abstractNumId w:val="21"/>
    <w:lvlOverride w:ilvl="0">
      <w:startOverride w:val="5"/>
    </w:lvlOverride>
  </w:num>
  <w:num w:numId="48">
    <w:abstractNumId w:val="32"/>
    <w:lvlOverride w:ilvl="0">
      <w:startOverride w:val="6"/>
    </w:lvlOverride>
  </w:num>
  <w:num w:numId="49">
    <w:abstractNumId w:val="17"/>
  </w:num>
  <w:num w:numId="50">
    <w:abstractNumId w:val="45"/>
    <w:lvlOverride w:ilvl="0">
      <w:startOverride w:val="2"/>
    </w:lvlOverride>
  </w:num>
  <w:num w:numId="51">
    <w:abstractNumId w:val="34"/>
    <w:lvlOverride w:ilvl="0">
      <w:startOverride w:val="3"/>
    </w:lvlOverride>
  </w:num>
  <w:num w:numId="52">
    <w:abstractNumId w:val="30"/>
    <w:lvlOverride w:ilvl="0">
      <w:startOverride w:val="4"/>
    </w:lvlOverride>
  </w:num>
  <w:num w:numId="53">
    <w:abstractNumId w:val="41"/>
    <w:lvlOverride w:ilvl="0">
      <w:startOverride w:val="5"/>
    </w:lvlOverride>
  </w:num>
  <w:num w:numId="54">
    <w:abstractNumId w:val="22"/>
    <w:lvlOverride w:ilvl="0">
      <w:startOverride w:val="6"/>
    </w:lvlOverride>
  </w:num>
  <w:num w:numId="55">
    <w:abstractNumId w:val="14"/>
  </w:num>
  <w:num w:numId="56">
    <w:abstractNumId w:val="14"/>
    <w:lvlOverride w:ilvl="1">
      <w:startOverride w:val="1"/>
    </w:lvlOverride>
  </w:num>
  <w:num w:numId="57">
    <w:abstractNumId w:val="13"/>
  </w:num>
  <w:num w:numId="58">
    <w:abstractNumId w:val="9"/>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79C1"/>
    <w:rsid w:val="000443A9"/>
    <w:rsid w:val="0009578D"/>
    <w:rsid w:val="000A72FF"/>
    <w:rsid w:val="000B3E77"/>
    <w:rsid w:val="000D26CD"/>
    <w:rsid w:val="000D2B8A"/>
    <w:rsid w:val="00106C26"/>
    <w:rsid w:val="0012676B"/>
    <w:rsid w:val="00137660"/>
    <w:rsid w:val="0015034A"/>
    <w:rsid w:val="0015442F"/>
    <w:rsid w:val="0015707B"/>
    <w:rsid w:val="00176ACC"/>
    <w:rsid w:val="001A4E5B"/>
    <w:rsid w:val="001B62FD"/>
    <w:rsid w:val="001E1D91"/>
    <w:rsid w:val="0021587D"/>
    <w:rsid w:val="00264AD8"/>
    <w:rsid w:val="00287A00"/>
    <w:rsid w:val="0029338B"/>
    <w:rsid w:val="002A08F3"/>
    <w:rsid w:val="002A2BC4"/>
    <w:rsid w:val="002B70CD"/>
    <w:rsid w:val="002B75F7"/>
    <w:rsid w:val="003017FD"/>
    <w:rsid w:val="00302F72"/>
    <w:rsid w:val="00316384"/>
    <w:rsid w:val="00317D10"/>
    <w:rsid w:val="003251A7"/>
    <w:rsid w:val="003662D3"/>
    <w:rsid w:val="00377DAA"/>
    <w:rsid w:val="003A7066"/>
    <w:rsid w:val="003A7D54"/>
    <w:rsid w:val="003C72F3"/>
    <w:rsid w:val="003E2F1C"/>
    <w:rsid w:val="003F63E6"/>
    <w:rsid w:val="004079A3"/>
    <w:rsid w:val="00452CA3"/>
    <w:rsid w:val="004743A4"/>
    <w:rsid w:val="00487A29"/>
    <w:rsid w:val="00491748"/>
    <w:rsid w:val="004A4ED6"/>
    <w:rsid w:val="004E2147"/>
    <w:rsid w:val="004E425A"/>
    <w:rsid w:val="004E79A7"/>
    <w:rsid w:val="00517D8A"/>
    <w:rsid w:val="00524495"/>
    <w:rsid w:val="00531AF5"/>
    <w:rsid w:val="005565AB"/>
    <w:rsid w:val="0059131F"/>
    <w:rsid w:val="005A1FCF"/>
    <w:rsid w:val="005C501F"/>
    <w:rsid w:val="005C5EEB"/>
    <w:rsid w:val="006044BF"/>
    <w:rsid w:val="006162BD"/>
    <w:rsid w:val="006237D5"/>
    <w:rsid w:val="00631E13"/>
    <w:rsid w:val="00653BB0"/>
    <w:rsid w:val="0066689E"/>
    <w:rsid w:val="00672CC5"/>
    <w:rsid w:val="00683694"/>
    <w:rsid w:val="006A76D3"/>
    <w:rsid w:val="006B25F9"/>
    <w:rsid w:val="006C03C2"/>
    <w:rsid w:val="006E2607"/>
    <w:rsid w:val="007039AE"/>
    <w:rsid w:val="007111A1"/>
    <w:rsid w:val="00723293"/>
    <w:rsid w:val="00725032"/>
    <w:rsid w:val="00762899"/>
    <w:rsid w:val="007C38C8"/>
    <w:rsid w:val="007C5A48"/>
    <w:rsid w:val="007C7D44"/>
    <w:rsid w:val="008220FB"/>
    <w:rsid w:val="00847FA1"/>
    <w:rsid w:val="00872F25"/>
    <w:rsid w:val="008773E6"/>
    <w:rsid w:val="008A536D"/>
    <w:rsid w:val="008D71AB"/>
    <w:rsid w:val="009342F9"/>
    <w:rsid w:val="00965E4C"/>
    <w:rsid w:val="009A3227"/>
    <w:rsid w:val="009C22F2"/>
    <w:rsid w:val="00A24F96"/>
    <w:rsid w:val="00A27815"/>
    <w:rsid w:val="00A57EE6"/>
    <w:rsid w:val="00A61D20"/>
    <w:rsid w:val="00A7403B"/>
    <w:rsid w:val="00AA07E8"/>
    <w:rsid w:val="00AA5FD1"/>
    <w:rsid w:val="00AB531D"/>
    <w:rsid w:val="00AB7126"/>
    <w:rsid w:val="00AC2E8D"/>
    <w:rsid w:val="00AD0669"/>
    <w:rsid w:val="00AD58C2"/>
    <w:rsid w:val="00AF1E3B"/>
    <w:rsid w:val="00AF4EF6"/>
    <w:rsid w:val="00AF54B1"/>
    <w:rsid w:val="00B00C41"/>
    <w:rsid w:val="00B3621E"/>
    <w:rsid w:val="00B476AA"/>
    <w:rsid w:val="00B63A3F"/>
    <w:rsid w:val="00B86CD1"/>
    <w:rsid w:val="00B91BA0"/>
    <w:rsid w:val="00BA5705"/>
    <w:rsid w:val="00BC1E8B"/>
    <w:rsid w:val="00BD03DD"/>
    <w:rsid w:val="00C2229B"/>
    <w:rsid w:val="00C27507"/>
    <w:rsid w:val="00C8117B"/>
    <w:rsid w:val="00C821B4"/>
    <w:rsid w:val="00CC2259"/>
    <w:rsid w:val="00CC325A"/>
    <w:rsid w:val="00D02DC1"/>
    <w:rsid w:val="00D0428F"/>
    <w:rsid w:val="00D04AB5"/>
    <w:rsid w:val="00D07FCE"/>
    <w:rsid w:val="00D25E1B"/>
    <w:rsid w:val="00D33608"/>
    <w:rsid w:val="00D4095E"/>
    <w:rsid w:val="00D41493"/>
    <w:rsid w:val="00D42757"/>
    <w:rsid w:val="00D569FF"/>
    <w:rsid w:val="00D667A4"/>
    <w:rsid w:val="00DA0745"/>
    <w:rsid w:val="00DD5703"/>
    <w:rsid w:val="00DE4105"/>
    <w:rsid w:val="00DF7F30"/>
    <w:rsid w:val="00E35FDD"/>
    <w:rsid w:val="00E476D9"/>
    <w:rsid w:val="00E63A77"/>
    <w:rsid w:val="00E94347"/>
    <w:rsid w:val="00E95447"/>
    <w:rsid w:val="00EC38A7"/>
    <w:rsid w:val="00ED3B66"/>
    <w:rsid w:val="00ED7506"/>
    <w:rsid w:val="00EE4153"/>
    <w:rsid w:val="00F0102D"/>
    <w:rsid w:val="00F647A1"/>
    <w:rsid w:val="00F65A39"/>
    <w:rsid w:val="00F739F4"/>
    <w:rsid w:val="00F74103"/>
    <w:rsid w:val="00F87F8B"/>
    <w:rsid w:val="00FB6CBF"/>
    <w:rsid w:val="00FC2FED"/>
    <w:rsid w:val="00FC5DB8"/>
    <w:rsid w:val="00FC79C1"/>
    <w:rsid w:val="00FF226E"/>
    <w:rsid w:val="0819AB7C"/>
    <w:rsid w:val="0CEF5355"/>
    <w:rsid w:val="0D323E20"/>
    <w:rsid w:val="175D19F7"/>
    <w:rsid w:val="189FF168"/>
    <w:rsid w:val="1AB9CBB0"/>
    <w:rsid w:val="218B8C3B"/>
    <w:rsid w:val="231E957E"/>
    <w:rsid w:val="279E2229"/>
    <w:rsid w:val="2CBEFC49"/>
    <w:rsid w:val="3C79BE54"/>
    <w:rsid w:val="3DD719FF"/>
    <w:rsid w:val="3E24935F"/>
    <w:rsid w:val="4109EC5C"/>
    <w:rsid w:val="429AF363"/>
    <w:rsid w:val="43016C1B"/>
    <w:rsid w:val="44761284"/>
    <w:rsid w:val="46D29FB6"/>
    <w:rsid w:val="46EF9201"/>
    <w:rsid w:val="48ABE02E"/>
    <w:rsid w:val="532F79A2"/>
    <w:rsid w:val="53C0C9FE"/>
    <w:rsid w:val="558ADB0B"/>
    <w:rsid w:val="5EE8C017"/>
    <w:rsid w:val="62811359"/>
    <w:rsid w:val="63427264"/>
    <w:rsid w:val="6FC6EF31"/>
    <w:rsid w:val="78DACA52"/>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C33EC0"/>
  <w15:chartTrackingRefBased/>
  <w15:docId w15:val="{F8BC2B4B-7328-4014-B621-C96530CFFE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FC79C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yperlink">
    <w:name w:val="Hyperlink"/>
    <w:basedOn w:val="DefaultParagraphFont"/>
    <w:uiPriority w:val="99"/>
    <w:unhideWhenUsed/>
    <w:rsid w:val="00FC79C1"/>
    <w:rPr>
      <w:color w:val="0000FF"/>
      <w:u w:val="single"/>
    </w:rPr>
  </w:style>
  <w:style w:type="paragraph" w:styleId="NormalWeb">
    <w:name w:val="Normal (Web)"/>
    <w:basedOn w:val="Normal"/>
    <w:uiPriority w:val="99"/>
    <w:semiHidden/>
    <w:unhideWhenUsed/>
    <w:rsid w:val="00FC79C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octoggle">
    <w:name w:val="toctoggle"/>
    <w:basedOn w:val="DefaultParagraphFont"/>
    <w:rsid w:val="00FC79C1"/>
  </w:style>
  <w:style w:type="character" w:styleId="Strong">
    <w:name w:val="Strong"/>
    <w:basedOn w:val="DefaultParagraphFont"/>
    <w:uiPriority w:val="22"/>
    <w:qFormat/>
    <w:rsid w:val="00FC79C1"/>
    <w:rPr>
      <w:b/>
      <w:bCs/>
    </w:rPr>
  </w:style>
  <w:style w:type="paragraph" w:customStyle="1" w:styleId="parrafo-division">
    <w:name w:val="parrafo-division"/>
    <w:basedOn w:val="Normal"/>
    <w:rsid w:val="00FC79C1"/>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Emphasis">
    <w:name w:val="Emphasis"/>
    <w:basedOn w:val="DefaultParagraphFont"/>
    <w:uiPriority w:val="20"/>
    <w:qFormat/>
    <w:rsid w:val="00FC79C1"/>
    <w:rPr>
      <w:i/>
      <w:iCs/>
    </w:rPr>
  </w:style>
  <w:style w:type="paragraph" w:styleId="ListParagraph">
    <w:name w:val="List Paragraph"/>
    <w:basedOn w:val="Normal"/>
    <w:uiPriority w:val="1"/>
    <w:qFormat/>
    <w:rsid w:val="005A1FCF"/>
    <w:pPr>
      <w:ind w:left="720"/>
      <w:contextualSpacing/>
    </w:pPr>
  </w:style>
  <w:style w:type="paragraph" w:styleId="BodyText">
    <w:name w:val="Body Text"/>
    <w:basedOn w:val="Normal"/>
    <w:link w:val="BodyTextChar"/>
    <w:uiPriority w:val="1"/>
    <w:qFormat/>
    <w:rsid w:val="00F647A1"/>
    <w:pPr>
      <w:widowControl w:val="0"/>
      <w:autoSpaceDE w:val="0"/>
      <w:autoSpaceDN w:val="0"/>
      <w:spacing w:after="0" w:line="240" w:lineRule="auto"/>
    </w:pPr>
    <w:rPr>
      <w:rFonts w:ascii="Arial" w:eastAsia="Arial" w:hAnsi="Arial" w:cs="Arial"/>
      <w:sz w:val="17"/>
      <w:szCs w:val="17"/>
      <w:lang w:val="es-ES"/>
    </w:rPr>
  </w:style>
  <w:style w:type="character" w:customStyle="1" w:styleId="BodyTextChar">
    <w:name w:val="Body Text Char"/>
    <w:basedOn w:val="DefaultParagraphFont"/>
    <w:link w:val="BodyText"/>
    <w:uiPriority w:val="1"/>
    <w:rsid w:val="00F647A1"/>
    <w:rPr>
      <w:rFonts w:ascii="Arial" w:eastAsia="Arial" w:hAnsi="Arial" w:cs="Arial"/>
      <w:sz w:val="17"/>
      <w:szCs w:val="17"/>
      <w:lang w:val="es-ES"/>
    </w:rPr>
  </w:style>
  <w:style w:type="character" w:customStyle="1" w:styleId="normaltextrun">
    <w:name w:val="normaltextrun"/>
    <w:basedOn w:val="DefaultParagraphFont"/>
    <w:rsid w:val="00B91BA0"/>
  </w:style>
  <w:style w:type="paragraph" w:styleId="BalloonText">
    <w:name w:val="Balloon Text"/>
    <w:basedOn w:val="Normal"/>
    <w:link w:val="BalloonTextChar"/>
    <w:uiPriority w:val="99"/>
    <w:semiHidden/>
    <w:unhideWhenUsed/>
    <w:rsid w:val="00A61D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1D20"/>
    <w:rPr>
      <w:rFonts w:ascii="Segoe UI" w:hAnsi="Segoe UI" w:cs="Segoe UI"/>
      <w:sz w:val="18"/>
      <w:szCs w:val="18"/>
    </w:rPr>
  </w:style>
  <w:style w:type="character" w:styleId="UnresolvedMention">
    <w:name w:val="Unresolved Mention"/>
    <w:basedOn w:val="DefaultParagraphFont"/>
    <w:uiPriority w:val="99"/>
    <w:semiHidden/>
    <w:unhideWhenUsed/>
    <w:rsid w:val="00A61D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5165266">
      <w:bodyDiv w:val="1"/>
      <w:marLeft w:val="0"/>
      <w:marRight w:val="0"/>
      <w:marTop w:val="0"/>
      <w:marBottom w:val="0"/>
      <w:divBdr>
        <w:top w:val="none" w:sz="0" w:space="0" w:color="auto"/>
        <w:left w:val="none" w:sz="0" w:space="0" w:color="auto"/>
        <w:bottom w:val="none" w:sz="0" w:space="0" w:color="auto"/>
        <w:right w:val="none" w:sz="0" w:space="0" w:color="auto"/>
      </w:divBdr>
    </w:div>
    <w:div w:id="1108432423">
      <w:bodyDiv w:val="1"/>
      <w:marLeft w:val="0"/>
      <w:marRight w:val="0"/>
      <w:marTop w:val="0"/>
      <w:marBottom w:val="0"/>
      <w:divBdr>
        <w:top w:val="none" w:sz="0" w:space="0" w:color="auto"/>
        <w:left w:val="none" w:sz="0" w:space="0" w:color="auto"/>
        <w:bottom w:val="none" w:sz="0" w:space="0" w:color="auto"/>
        <w:right w:val="none" w:sz="0" w:space="0" w:color="auto"/>
      </w:divBdr>
      <w:divsChild>
        <w:div w:id="299724289">
          <w:marLeft w:val="0"/>
          <w:marRight w:val="0"/>
          <w:marTop w:val="0"/>
          <w:marBottom w:val="0"/>
          <w:divBdr>
            <w:top w:val="none" w:sz="0" w:space="0" w:color="auto"/>
            <w:left w:val="none" w:sz="0" w:space="0" w:color="auto"/>
            <w:bottom w:val="none" w:sz="0" w:space="0" w:color="auto"/>
            <w:right w:val="none" w:sz="0" w:space="0" w:color="auto"/>
          </w:divBdr>
          <w:divsChild>
            <w:div w:id="1398161">
              <w:marLeft w:val="0"/>
              <w:marRight w:val="0"/>
              <w:marTop w:val="0"/>
              <w:marBottom w:val="0"/>
              <w:divBdr>
                <w:top w:val="none" w:sz="0" w:space="0" w:color="auto"/>
                <w:left w:val="none" w:sz="0" w:space="0" w:color="auto"/>
                <w:bottom w:val="none" w:sz="0" w:space="0" w:color="auto"/>
                <w:right w:val="none" w:sz="0" w:space="0" w:color="auto"/>
              </w:divBdr>
              <w:divsChild>
                <w:div w:id="1571111957">
                  <w:marLeft w:val="0"/>
                  <w:marRight w:val="0"/>
                  <w:marTop w:val="0"/>
                  <w:marBottom w:val="0"/>
                  <w:divBdr>
                    <w:top w:val="none" w:sz="0" w:space="0" w:color="auto"/>
                    <w:left w:val="none" w:sz="0" w:space="0" w:color="auto"/>
                    <w:bottom w:val="none" w:sz="0" w:space="0" w:color="auto"/>
                    <w:right w:val="none" w:sz="0" w:space="0" w:color="auto"/>
                  </w:divBdr>
                </w:div>
              </w:divsChild>
            </w:div>
            <w:div w:id="2981813">
              <w:marLeft w:val="0"/>
              <w:marRight w:val="0"/>
              <w:marTop w:val="0"/>
              <w:marBottom w:val="0"/>
              <w:divBdr>
                <w:top w:val="none" w:sz="0" w:space="0" w:color="auto"/>
                <w:left w:val="none" w:sz="0" w:space="0" w:color="auto"/>
                <w:bottom w:val="none" w:sz="0" w:space="0" w:color="auto"/>
                <w:right w:val="none" w:sz="0" w:space="0" w:color="auto"/>
              </w:divBdr>
              <w:divsChild>
                <w:div w:id="188880497">
                  <w:marLeft w:val="0"/>
                  <w:marRight w:val="0"/>
                  <w:marTop w:val="0"/>
                  <w:marBottom w:val="0"/>
                  <w:divBdr>
                    <w:top w:val="none" w:sz="0" w:space="0" w:color="auto"/>
                    <w:left w:val="none" w:sz="0" w:space="0" w:color="auto"/>
                    <w:bottom w:val="none" w:sz="0" w:space="0" w:color="auto"/>
                    <w:right w:val="none" w:sz="0" w:space="0" w:color="auto"/>
                  </w:divBdr>
                </w:div>
              </w:divsChild>
            </w:div>
            <w:div w:id="4094315">
              <w:marLeft w:val="0"/>
              <w:marRight w:val="0"/>
              <w:marTop w:val="300"/>
              <w:marBottom w:val="300"/>
              <w:divBdr>
                <w:top w:val="none" w:sz="0" w:space="0" w:color="auto"/>
                <w:left w:val="none" w:sz="0" w:space="0" w:color="auto"/>
                <w:bottom w:val="none" w:sz="0" w:space="0" w:color="auto"/>
                <w:right w:val="none" w:sz="0" w:space="0" w:color="auto"/>
              </w:divBdr>
            </w:div>
            <w:div w:id="4793733">
              <w:marLeft w:val="0"/>
              <w:marRight w:val="0"/>
              <w:marTop w:val="0"/>
              <w:marBottom w:val="0"/>
              <w:divBdr>
                <w:top w:val="none" w:sz="0" w:space="0" w:color="auto"/>
                <w:left w:val="none" w:sz="0" w:space="0" w:color="auto"/>
                <w:bottom w:val="none" w:sz="0" w:space="0" w:color="auto"/>
                <w:right w:val="none" w:sz="0" w:space="0" w:color="auto"/>
              </w:divBdr>
              <w:divsChild>
                <w:div w:id="1819373622">
                  <w:marLeft w:val="0"/>
                  <w:marRight w:val="0"/>
                  <w:marTop w:val="0"/>
                  <w:marBottom w:val="0"/>
                  <w:divBdr>
                    <w:top w:val="none" w:sz="0" w:space="0" w:color="auto"/>
                    <w:left w:val="none" w:sz="0" w:space="0" w:color="auto"/>
                    <w:bottom w:val="none" w:sz="0" w:space="0" w:color="auto"/>
                    <w:right w:val="none" w:sz="0" w:space="0" w:color="auto"/>
                  </w:divBdr>
                </w:div>
              </w:divsChild>
            </w:div>
            <w:div w:id="5834705">
              <w:marLeft w:val="0"/>
              <w:marRight w:val="0"/>
              <w:marTop w:val="0"/>
              <w:marBottom w:val="0"/>
              <w:divBdr>
                <w:top w:val="none" w:sz="0" w:space="0" w:color="auto"/>
                <w:left w:val="none" w:sz="0" w:space="0" w:color="auto"/>
                <w:bottom w:val="none" w:sz="0" w:space="0" w:color="auto"/>
                <w:right w:val="none" w:sz="0" w:space="0" w:color="auto"/>
              </w:divBdr>
              <w:divsChild>
                <w:div w:id="1810127942">
                  <w:marLeft w:val="0"/>
                  <w:marRight w:val="0"/>
                  <w:marTop w:val="0"/>
                  <w:marBottom w:val="0"/>
                  <w:divBdr>
                    <w:top w:val="none" w:sz="0" w:space="0" w:color="auto"/>
                    <w:left w:val="none" w:sz="0" w:space="0" w:color="auto"/>
                    <w:bottom w:val="none" w:sz="0" w:space="0" w:color="auto"/>
                    <w:right w:val="none" w:sz="0" w:space="0" w:color="auto"/>
                  </w:divBdr>
                </w:div>
              </w:divsChild>
            </w:div>
            <w:div w:id="9528863">
              <w:marLeft w:val="0"/>
              <w:marRight w:val="0"/>
              <w:marTop w:val="0"/>
              <w:marBottom w:val="0"/>
              <w:divBdr>
                <w:top w:val="none" w:sz="0" w:space="0" w:color="auto"/>
                <w:left w:val="none" w:sz="0" w:space="0" w:color="auto"/>
                <w:bottom w:val="none" w:sz="0" w:space="0" w:color="auto"/>
                <w:right w:val="none" w:sz="0" w:space="0" w:color="auto"/>
              </w:divBdr>
              <w:divsChild>
                <w:div w:id="1482116028">
                  <w:marLeft w:val="0"/>
                  <w:marRight w:val="0"/>
                  <w:marTop w:val="0"/>
                  <w:marBottom w:val="0"/>
                  <w:divBdr>
                    <w:top w:val="none" w:sz="0" w:space="0" w:color="auto"/>
                    <w:left w:val="none" w:sz="0" w:space="0" w:color="auto"/>
                    <w:bottom w:val="none" w:sz="0" w:space="0" w:color="auto"/>
                    <w:right w:val="none" w:sz="0" w:space="0" w:color="auto"/>
                  </w:divBdr>
                </w:div>
              </w:divsChild>
            </w:div>
            <w:div w:id="11419874">
              <w:marLeft w:val="0"/>
              <w:marRight w:val="0"/>
              <w:marTop w:val="0"/>
              <w:marBottom w:val="0"/>
              <w:divBdr>
                <w:top w:val="none" w:sz="0" w:space="0" w:color="auto"/>
                <w:left w:val="none" w:sz="0" w:space="0" w:color="auto"/>
                <w:bottom w:val="none" w:sz="0" w:space="0" w:color="auto"/>
                <w:right w:val="none" w:sz="0" w:space="0" w:color="auto"/>
              </w:divBdr>
              <w:divsChild>
                <w:div w:id="172113928">
                  <w:marLeft w:val="0"/>
                  <w:marRight w:val="0"/>
                  <w:marTop w:val="0"/>
                  <w:marBottom w:val="0"/>
                  <w:divBdr>
                    <w:top w:val="none" w:sz="0" w:space="0" w:color="auto"/>
                    <w:left w:val="none" w:sz="0" w:space="0" w:color="auto"/>
                    <w:bottom w:val="none" w:sz="0" w:space="0" w:color="auto"/>
                    <w:right w:val="none" w:sz="0" w:space="0" w:color="auto"/>
                  </w:divBdr>
                </w:div>
              </w:divsChild>
            </w:div>
            <w:div w:id="11422199">
              <w:marLeft w:val="0"/>
              <w:marRight w:val="0"/>
              <w:marTop w:val="0"/>
              <w:marBottom w:val="0"/>
              <w:divBdr>
                <w:top w:val="none" w:sz="0" w:space="0" w:color="auto"/>
                <w:left w:val="none" w:sz="0" w:space="0" w:color="auto"/>
                <w:bottom w:val="none" w:sz="0" w:space="0" w:color="auto"/>
                <w:right w:val="none" w:sz="0" w:space="0" w:color="auto"/>
              </w:divBdr>
              <w:divsChild>
                <w:div w:id="1976251139">
                  <w:marLeft w:val="0"/>
                  <w:marRight w:val="0"/>
                  <w:marTop w:val="0"/>
                  <w:marBottom w:val="0"/>
                  <w:divBdr>
                    <w:top w:val="none" w:sz="0" w:space="0" w:color="auto"/>
                    <w:left w:val="none" w:sz="0" w:space="0" w:color="auto"/>
                    <w:bottom w:val="none" w:sz="0" w:space="0" w:color="auto"/>
                    <w:right w:val="none" w:sz="0" w:space="0" w:color="auto"/>
                  </w:divBdr>
                </w:div>
              </w:divsChild>
            </w:div>
            <w:div w:id="12265030">
              <w:marLeft w:val="0"/>
              <w:marRight w:val="0"/>
              <w:marTop w:val="0"/>
              <w:marBottom w:val="0"/>
              <w:divBdr>
                <w:top w:val="none" w:sz="0" w:space="0" w:color="auto"/>
                <w:left w:val="none" w:sz="0" w:space="0" w:color="auto"/>
                <w:bottom w:val="none" w:sz="0" w:space="0" w:color="auto"/>
                <w:right w:val="none" w:sz="0" w:space="0" w:color="auto"/>
              </w:divBdr>
              <w:divsChild>
                <w:div w:id="571549285">
                  <w:marLeft w:val="0"/>
                  <w:marRight w:val="0"/>
                  <w:marTop w:val="0"/>
                  <w:marBottom w:val="0"/>
                  <w:divBdr>
                    <w:top w:val="none" w:sz="0" w:space="0" w:color="auto"/>
                    <w:left w:val="none" w:sz="0" w:space="0" w:color="auto"/>
                    <w:bottom w:val="none" w:sz="0" w:space="0" w:color="auto"/>
                    <w:right w:val="none" w:sz="0" w:space="0" w:color="auto"/>
                  </w:divBdr>
                </w:div>
              </w:divsChild>
            </w:div>
            <w:div w:id="13580767">
              <w:marLeft w:val="0"/>
              <w:marRight w:val="0"/>
              <w:marTop w:val="0"/>
              <w:marBottom w:val="0"/>
              <w:divBdr>
                <w:top w:val="none" w:sz="0" w:space="0" w:color="auto"/>
                <w:left w:val="none" w:sz="0" w:space="0" w:color="auto"/>
                <w:bottom w:val="none" w:sz="0" w:space="0" w:color="auto"/>
                <w:right w:val="none" w:sz="0" w:space="0" w:color="auto"/>
              </w:divBdr>
              <w:divsChild>
                <w:div w:id="882906450">
                  <w:marLeft w:val="0"/>
                  <w:marRight w:val="0"/>
                  <w:marTop w:val="0"/>
                  <w:marBottom w:val="0"/>
                  <w:divBdr>
                    <w:top w:val="none" w:sz="0" w:space="0" w:color="auto"/>
                    <w:left w:val="none" w:sz="0" w:space="0" w:color="auto"/>
                    <w:bottom w:val="none" w:sz="0" w:space="0" w:color="auto"/>
                    <w:right w:val="none" w:sz="0" w:space="0" w:color="auto"/>
                  </w:divBdr>
                </w:div>
              </w:divsChild>
            </w:div>
            <w:div w:id="13768946">
              <w:marLeft w:val="0"/>
              <w:marRight w:val="0"/>
              <w:marTop w:val="0"/>
              <w:marBottom w:val="0"/>
              <w:divBdr>
                <w:top w:val="none" w:sz="0" w:space="0" w:color="auto"/>
                <w:left w:val="none" w:sz="0" w:space="0" w:color="auto"/>
                <w:bottom w:val="none" w:sz="0" w:space="0" w:color="auto"/>
                <w:right w:val="none" w:sz="0" w:space="0" w:color="auto"/>
              </w:divBdr>
              <w:divsChild>
                <w:div w:id="550383452">
                  <w:marLeft w:val="0"/>
                  <w:marRight w:val="0"/>
                  <w:marTop w:val="0"/>
                  <w:marBottom w:val="0"/>
                  <w:divBdr>
                    <w:top w:val="none" w:sz="0" w:space="0" w:color="auto"/>
                    <w:left w:val="none" w:sz="0" w:space="0" w:color="auto"/>
                    <w:bottom w:val="none" w:sz="0" w:space="0" w:color="auto"/>
                    <w:right w:val="none" w:sz="0" w:space="0" w:color="auto"/>
                  </w:divBdr>
                </w:div>
              </w:divsChild>
            </w:div>
            <w:div w:id="15622605">
              <w:marLeft w:val="0"/>
              <w:marRight w:val="0"/>
              <w:marTop w:val="0"/>
              <w:marBottom w:val="0"/>
              <w:divBdr>
                <w:top w:val="none" w:sz="0" w:space="0" w:color="auto"/>
                <w:left w:val="none" w:sz="0" w:space="0" w:color="auto"/>
                <w:bottom w:val="none" w:sz="0" w:space="0" w:color="auto"/>
                <w:right w:val="none" w:sz="0" w:space="0" w:color="auto"/>
              </w:divBdr>
              <w:divsChild>
                <w:div w:id="537664627">
                  <w:marLeft w:val="0"/>
                  <w:marRight w:val="0"/>
                  <w:marTop w:val="0"/>
                  <w:marBottom w:val="0"/>
                  <w:divBdr>
                    <w:top w:val="none" w:sz="0" w:space="0" w:color="auto"/>
                    <w:left w:val="none" w:sz="0" w:space="0" w:color="auto"/>
                    <w:bottom w:val="none" w:sz="0" w:space="0" w:color="auto"/>
                    <w:right w:val="none" w:sz="0" w:space="0" w:color="auto"/>
                  </w:divBdr>
                </w:div>
              </w:divsChild>
            </w:div>
            <w:div w:id="16084463">
              <w:marLeft w:val="0"/>
              <w:marRight w:val="0"/>
              <w:marTop w:val="0"/>
              <w:marBottom w:val="0"/>
              <w:divBdr>
                <w:top w:val="none" w:sz="0" w:space="0" w:color="auto"/>
                <w:left w:val="none" w:sz="0" w:space="0" w:color="auto"/>
                <w:bottom w:val="none" w:sz="0" w:space="0" w:color="auto"/>
                <w:right w:val="none" w:sz="0" w:space="0" w:color="auto"/>
              </w:divBdr>
              <w:divsChild>
                <w:div w:id="42102181">
                  <w:marLeft w:val="0"/>
                  <w:marRight w:val="0"/>
                  <w:marTop w:val="0"/>
                  <w:marBottom w:val="0"/>
                  <w:divBdr>
                    <w:top w:val="none" w:sz="0" w:space="0" w:color="auto"/>
                    <w:left w:val="none" w:sz="0" w:space="0" w:color="auto"/>
                    <w:bottom w:val="none" w:sz="0" w:space="0" w:color="auto"/>
                    <w:right w:val="none" w:sz="0" w:space="0" w:color="auto"/>
                  </w:divBdr>
                </w:div>
              </w:divsChild>
            </w:div>
            <w:div w:id="16393228">
              <w:marLeft w:val="0"/>
              <w:marRight w:val="0"/>
              <w:marTop w:val="300"/>
              <w:marBottom w:val="300"/>
              <w:divBdr>
                <w:top w:val="none" w:sz="0" w:space="0" w:color="auto"/>
                <w:left w:val="none" w:sz="0" w:space="0" w:color="auto"/>
                <w:bottom w:val="none" w:sz="0" w:space="0" w:color="auto"/>
                <w:right w:val="none" w:sz="0" w:space="0" w:color="auto"/>
              </w:divBdr>
            </w:div>
            <w:div w:id="17394253">
              <w:marLeft w:val="0"/>
              <w:marRight w:val="0"/>
              <w:marTop w:val="0"/>
              <w:marBottom w:val="0"/>
              <w:divBdr>
                <w:top w:val="none" w:sz="0" w:space="0" w:color="auto"/>
                <w:left w:val="none" w:sz="0" w:space="0" w:color="auto"/>
                <w:bottom w:val="none" w:sz="0" w:space="0" w:color="auto"/>
                <w:right w:val="none" w:sz="0" w:space="0" w:color="auto"/>
              </w:divBdr>
              <w:divsChild>
                <w:div w:id="1810591211">
                  <w:marLeft w:val="0"/>
                  <w:marRight w:val="0"/>
                  <w:marTop w:val="0"/>
                  <w:marBottom w:val="0"/>
                  <w:divBdr>
                    <w:top w:val="none" w:sz="0" w:space="0" w:color="auto"/>
                    <w:left w:val="none" w:sz="0" w:space="0" w:color="auto"/>
                    <w:bottom w:val="none" w:sz="0" w:space="0" w:color="auto"/>
                    <w:right w:val="none" w:sz="0" w:space="0" w:color="auto"/>
                  </w:divBdr>
                </w:div>
              </w:divsChild>
            </w:div>
            <w:div w:id="17432610">
              <w:marLeft w:val="0"/>
              <w:marRight w:val="0"/>
              <w:marTop w:val="0"/>
              <w:marBottom w:val="0"/>
              <w:divBdr>
                <w:top w:val="none" w:sz="0" w:space="0" w:color="auto"/>
                <w:left w:val="none" w:sz="0" w:space="0" w:color="auto"/>
                <w:bottom w:val="none" w:sz="0" w:space="0" w:color="auto"/>
                <w:right w:val="none" w:sz="0" w:space="0" w:color="auto"/>
              </w:divBdr>
              <w:divsChild>
                <w:div w:id="2128237354">
                  <w:marLeft w:val="0"/>
                  <w:marRight w:val="0"/>
                  <w:marTop w:val="0"/>
                  <w:marBottom w:val="0"/>
                  <w:divBdr>
                    <w:top w:val="none" w:sz="0" w:space="0" w:color="auto"/>
                    <w:left w:val="none" w:sz="0" w:space="0" w:color="auto"/>
                    <w:bottom w:val="none" w:sz="0" w:space="0" w:color="auto"/>
                    <w:right w:val="none" w:sz="0" w:space="0" w:color="auto"/>
                  </w:divBdr>
                </w:div>
              </w:divsChild>
            </w:div>
            <w:div w:id="17435661">
              <w:marLeft w:val="0"/>
              <w:marRight w:val="0"/>
              <w:marTop w:val="300"/>
              <w:marBottom w:val="300"/>
              <w:divBdr>
                <w:top w:val="none" w:sz="0" w:space="0" w:color="auto"/>
                <w:left w:val="none" w:sz="0" w:space="0" w:color="auto"/>
                <w:bottom w:val="none" w:sz="0" w:space="0" w:color="auto"/>
                <w:right w:val="none" w:sz="0" w:space="0" w:color="auto"/>
              </w:divBdr>
            </w:div>
            <w:div w:id="17969485">
              <w:marLeft w:val="0"/>
              <w:marRight w:val="0"/>
              <w:marTop w:val="0"/>
              <w:marBottom w:val="0"/>
              <w:divBdr>
                <w:top w:val="none" w:sz="0" w:space="0" w:color="auto"/>
                <w:left w:val="none" w:sz="0" w:space="0" w:color="auto"/>
                <w:bottom w:val="none" w:sz="0" w:space="0" w:color="auto"/>
                <w:right w:val="none" w:sz="0" w:space="0" w:color="auto"/>
              </w:divBdr>
              <w:divsChild>
                <w:div w:id="103155165">
                  <w:marLeft w:val="0"/>
                  <w:marRight w:val="0"/>
                  <w:marTop w:val="0"/>
                  <w:marBottom w:val="0"/>
                  <w:divBdr>
                    <w:top w:val="none" w:sz="0" w:space="0" w:color="auto"/>
                    <w:left w:val="none" w:sz="0" w:space="0" w:color="auto"/>
                    <w:bottom w:val="none" w:sz="0" w:space="0" w:color="auto"/>
                    <w:right w:val="none" w:sz="0" w:space="0" w:color="auto"/>
                  </w:divBdr>
                </w:div>
              </w:divsChild>
            </w:div>
            <w:div w:id="18436255">
              <w:marLeft w:val="0"/>
              <w:marRight w:val="0"/>
              <w:marTop w:val="0"/>
              <w:marBottom w:val="0"/>
              <w:divBdr>
                <w:top w:val="none" w:sz="0" w:space="0" w:color="auto"/>
                <w:left w:val="none" w:sz="0" w:space="0" w:color="auto"/>
                <w:bottom w:val="none" w:sz="0" w:space="0" w:color="auto"/>
                <w:right w:val="none" w:sz="0" w:space="0" w:color="auto"/>
              </w:divBdr>
              <w:divsChild>
                <w:div w:id="1846675383">
                  <w:marLeft w:val="0"/>
                  <w:marRight w:val="0"/>
                  <w:marTop w:val="0"/>
                  <w:marBottom w:val="0"/>
                  <w:divBdr>
                    <w:top w:val="none" w:sz="0" w:space="0" w:color="auto"/>
                    <w:left w:val="none" w:sz="0" w:space="0" w:color="auto"/>
                    <w:bottom w:val="none" w:sz="0" w:space="0" w:color="auto"/>
                    <w:right w:val="none" w:sz="0" w:space="0" w:color="auto"/>
                  </w:divBdr>
                </w:div>
              </w:divsChild>
            </w:div>
            <w:div w:id="22755887">
              <w:marLeft w:val="0"/>
              <w:marRight w:val="0"/>
              <w:marTop w:val="0"/>
              <w:marBottom w:val="0"/>
              <w:divBdr>
                <w:top w:val="none" w:sz="0" w:space="0" w:color="auto"/>
                <w:left w:val="none" w:sz="0" w:space="0" w:color="auto"/>
                <w:bottom w:val="none" w:sz="0" w:space="0" w:color="auto"/>
                <w:right w:val="none" w:sz="0" w:space="0" w:color="auto"/>
              </w:divBdr>
              <w:divsChild>
                <w:div w:id="1897472796">
                  <w:marLeft w:val="0"/>
                  <w:marRight w:val="0"/>
                  <w:marTop w:val="0"/>
                  <w:marBottom w:val="0"/>
                  <w:divBdr>
                    <w:top w:val="none" w:sz="0" w:space="0" w:color="auto"/>
                    <w:left w:val="none" w:sz="0" w:space="0" w:color="auto"/>
                    <w:bottom w:val="none" w:sz="0" w:space="0" w:color="auto"/>
                    <w:right w:val="none" w:sz="0" w:space="0" w:color="auto"/>
                  </w:divBdr>
                </w:div>
              </w:divsChild>
            </w:div>
            <w:div w:id="23095355">
              <w:marLeft w:val="0"/>
              <w:marRight w:val="0"/>
              <w:marTop w:val="0"/>
              <w:marBottom w:val="0"/>
              <w:divBdr>
                <w:top w:val="none" w:sz="0" w:space="0" w:color="auto"/>
                <w:left w:val="none" w:sz="0" w:space="0" w:color="auto"/>
                <w:bottom w:val="none" w:sz="0" w:space="0" w:color="auto"/>
                <w:right w:val="none" w:sz="0" w:space="0" w:color="auto"/>
              </w:divBdr>
              <w:divsChild>
                <w:div w:id="957755615">
                  <w:marLeft w:val="0"/>
                  <w:marRight w:val="0"/>
                  <w:marTop w:val="0"/>
                  <w:marBottom w:val="0"/>
                  <w:divBdr>
                    <w:top w:val="none" w:sz="0" w:space="0" w:color="auto"/>
                    <w:left w:val="none" w:sz="0" w:space="0" w:color="auto"/>
                    <w:bottom w:val="none" w:sz="0" w:space="0" w:color="auto"/>
                    <w:right w:val="none" w:sz="0" w:space="0" w:color="auto"/>
                  </w:divBdr>
                </w:div>
              </w:divsChild>
            </w:div>
            <w:div w:id="23869704">
              <w:marLeft w:val="0"/>
              <w:marRight w:val="0"/>
              <w:marTop w:val="0"/>
              <w:marBottom w:val="0"/>
              <w:divBdr>
                <w:top w:val="none" w:sz="0" w:space="0" w:color="auto"/>
                <w:left w:val="none" w:sz="0" w:space="0" w:color="auto"/>
                <w:bottom w:val="none" w:sz="0" w:space="0" w:color="auto"/>
                <w:right w:val="none" w:sz="0" w:space="0" w:color="auto"/>
              </w:divBdr>
              <w:divsChild>
                <w:div w:id="379210784">
                  <w:marLeft w:val="0"/>
                  <w:marRight w:val="0"/>
                  <w:marTop w:val="0"/>
                  <w:marBottom w:val="0"/>
                  <w:divBdr>
                    <w:top w:val="none" w:sz="0" w:space="0" w:color="auto"/>
                    <w:left w:val="none" w:sz="0" w:space="0" w:color="auto"/>
                    <w:bottom w:val="none" w:sz="0" w:space="0" w:color="auto"/>
                    <w:right w:val="none" w:sz="0" w:space="0" w:color="auto"/>
                  </w:divBdr>
                </w:div>
              </w:divsChild>
            </w:div>
            <w:div w:id="24252556">
              <w:marLeft w:val="0"/>
              <w:marRight w:val="0"/>
              <w:marTop w:val="300"/>
              <w:marBottom w:val="300"/>
              <w:divBdr>
                <w:top w:val="none" w:sz="0" w:space="0" w:color="auto"/>
                <w:left w:val="none" w:sz="0" w:space="0" w:color="auto"/>
                <w:bottom w:val="none" w:sz="0" w:space="0" w:color="auto"/>
                <w:right w:val="none" w:sz="0" w:space="0" w:color="auto"/>
              </w:divBdr>
            </w:div>
            <w:div w:id="24838649">
              <w:marLeft w:val="0"/>
              <w:marRight w:val="0"/>
              <w:marTop w:val="0"/>
              <w:marBottom w:val="0"/>
              <w:divBdr>
                <w:top w:val="none" w:sz="0" w:space="0" w:color="auto"/>
                <w:left w:val="none" w:sz="0" w:space="0" w:color="auto"/>
                <w:bottom w:val="none" w:sz="0" w:space="0" w:color="auto"/>
                <w:right w:val="none" w:sz="0" w:space="0" w:color="auto"/>
              </w:divBdr>
              <w:divsChild>
                <w:div w:id="667901622">
                  <w:marLeft w:val="0"/>
                  <w:marRight w:val="0"/>
                  <w:marTop w:val="0"/>
                  <w:marBottom w:val="0"/>
                  <w:divBdr>
                    <w:top w:val="none" w:sz="0" w:space="0" w:color="auto"/>
                    <w:left w:val="none" w:sz="0" w:space="0" w:color="auto"/>
                    <w:bottom w:val="none" w:sz="0" w:space="0" w:color="auto"/>
                    <w:right w:val="none" w:sz="0" w:space="0" w:color="auto"/>
                  </w:divBdr>
                </w:div>
              </w:divsChild>
            </w:div>
            <w:div w:id="26151815">
              <w:marLeft w:val="0"/>
              <w:marRight w:val="0"/>
              <w:marTop w:val="0"/>
              <w:marBottom w:val="0"/>
              <w:divBdr>
                <w:top w:val="none" w:sz="0" w:space="0" w:color="auto"/>
                <w:left w:val="none" w:sz="0" w:space="0" w:color="auto"/>
                <w:bottom w:val="none" w:sz="0" w:space="0" w:color="auto"/>
                <w:right w:val="none" w:sz="0" w:space="0" w:color="auto"/>
              </w:divBdr>
              <w:divsChild>
                <w:div w:id="1349407336">
                  <w:marLeft w:val="0"/>
                  <w:marRight w:val="0"/>
                  <w:marTop w:val="0"/>
                  <w:marBottom w:val="0"/>
                  <w:divBdr>
                    <w:top w:val="none" w:sz="0" w:space="0" w:color="auto"/>
                    <w:left w:val="none" w:sz="0" w:space="0" w:color="auto"/>
                    <w:bottom w:val="none" w:sz="0" w:space="0" w:color="auto"/>
                    <w:right w:val="none" w:sz="0" w:space="0" w:color="auto"/>
                  </w:divBdr>
                </w:div>
              </w:divsChild>
            </w:div>
            <w:div w:id="27224078">
              <w:marLeft w:val="0"/>
              <w:marRight w:val="0"/>
              <w:marTop w:val="0"/>
              <w:marBottom w:val="0"/>
              <w:divBdr>
                <w:top w:val="none" w:sz="0" w:space="0" w:color="auto"/>
                <w:left w:val="none" w:sz="0" w:space="0" w:color="auto"/>
                <w:bottom w:val="none" w:sz="0" w:space="0" w:color="auto"/>
                <w:right w:val="none" w:sz="0" w:space="0" w:color="auto"/>
              </w:divBdr>
              <w:divsChild>
                <w:div w:id="551162404">
                  <w:marLeft w:val="0"/>
                  <w:marRight w:val="0"/>
                  <w:marTop w:val="0"/>
                  <w:marBottom w:val="0"/>
                  <w:divBdr>
                    <w:top w:val="none" w:sz="0" w:space="0" w:color="auto"/>
                    <w:left w:val="none" w:sz="0" w:space="0" w:color="auto"/>
                    <w:bottom w:val="none" w:sz="0" w:space="0" w:color="auto"/>
                    <w:right w:val="none" w:sz="0" w:space="0" w:color="auto"/>
                  </w:divBdr>
                </w:div>
              </w:divsChild>
            </w:div>
            <w:div w:id="27341013">
              <w:marLeft w:val="0"/>
              <w:marRight w:val="0"/>
              <w:marTop w:val="300"/>
              <w:marBottom w:val="300"/>
              <w:divBdr>
                <w:top w:val="none" w:sz="0" w:space="0" w:color="auto"/>
                <w:left w:val="none" w:sz="0" w:space="0" w:color="auto"/>
                <w:bottom w:val="none" w:sz="0" w:space="0" w:color="auto"/>
                <w:right w:val="none" w:sz="0" w:space="0" w:color="auto"/>
              </w:divBdr>
            </w:div>
            <w:div w:id="27490990">
              <w:marLeft w:val="0"/>
              <w:marRight w:val="0"/>
              <w:marTop w:val="0"/>
              <w:marBottom w:val="0"/>
              <w:divBdr>
                <w:top w:val="none" w:sz="0" w:space="0" w:color="auto"/>
                <w:left w:val="none" w:sz="0" w:space="0" w:color="auto"/>
                <w:bottom w:val="none" w:sz="0" w:space="0" w:color="auto"/>
                <w:right w:val="none" w:sz="0" w:space="0" w:color="auto"/>
              </w:divBdr>
              <w:divsChild>
                <w:div w:id="147597815">
                  <w:marLeft w:val="0"/>
                  <w:marRight w:val="0"/>
                  <w:marTop w:val="0"/>
                  <w:marBottom w:val="0"/>
                  <w:divBdr>
                    <w:top w:val="none" w:sz="0" w:space="0" w:color="auto"/>
                    <w:left w:val="none" w:sz="0" w:space="0" w:color="auto"/>
                    <w:bottom w:val="none" w:sz="0" w:space="0" w:color="auto"/>
                    <w:right w:val="none" w:sz="0" w:space="0" w:color="auto"/>
                  </w:divBdr>
                </w:div>
              </w:divsChild>
            </w:div>
            <w:div w:id="28574252">
              <w:marLeft w:val="0"/>
              <w:marRight w:val="0"/>
              <w:marTop w:val="0"/>
              <w:marBottom w:val="0"/>
              <w:divBdr>
                <w:top w:val="none" w:sz="0" w:space="0" w:color="auto"/>
                <w:left w:val="none" w:sz="0" w:space="0" w:color="auto"/>
                <w:bottom w:val="none" w:sz="0" w:space="0" w:color="auto"/>
                <w:right w:val="none" w:sz="0" w:space="0" w:color="auto"/>
              </w:divBdr>
              <w:divsChild>
                <w:div w:id="685211450">
                  <w:marLeft w:val="0"/>
                  <w:marRight w:val="0"/>
                  <w:marTop w:val="0"/>
                  <w:marBottom w:val="0"/>
                  <w:divBdr>
                    <w:top w:val="none" w:sz="0" w:space="0" w:color="auto"/>
                    <w:left w:val="none" w:sz="0" w:space="0" w:color="auto"/>
                    <w:bottom w:val="none" w:sz="0" w:space="0" w:color="auto"/>
                    <w:right w:val="none" w:sz="0" w:space="0" w:color="auto"/>
                  </w:divBdr>
                </w:div>
              </w:divsChild>
            </w:div>
            <w:div w:id="28797974">
              <w:marLeft w:val="0"/>
              <w:marRight w:val="0"/>
              <w:marTop w:val="0"/>
              <w:marBottom w:val="0"/>
              <w:divBdr>
                <w:top w:val="none" w:sz="0" w:space="0" w:color="auto"/>
                <w:left w:val="none" w:sz="0" w:space="0" w:color="auto"/>
                <w:bottom w:val="none" w:sz="0" w:space="0" w:color="auto"/>
                <w:right w:val="none" w:sz="0" w:space="0" w:color="auto"/>
              </w:divBdr>
              <w:divsChild>
                <w:div w:id="1849128541">
                  <w:marLeft w:val="0"/>
                  <w:marRight w:val="0"/>
                  <w:marTop w:val="0"/>
                  <w:marBottom w:val="0"/>
                  <w:divBdr>
                    <w:top w:val="none" w:sz="0" w:space="0" w:color="auto"/>
                    <w:left w:val="none" w:sz="0" w:space="0" w:color="auto"/>
                    <w:bottom w:val="none" w:sz="0" w:space="0" w:color="auto"/>
                    <w:right w:val="none" w:sz="0" w:space="0" w:color="auto"/>
                  </w:divBdr>
                </w:div>
              </w:divsChild>
            </w:div>
            <w:div w:id="30154426">
              <w:marLeft w:val="0"/>
              <w:marRight w:val="0"/>
              <w:marTop w:val="0"/>
              <w:marBottom w:val="0"/>
              <w:divBdr>
                <w:top w:val="none" w:sz="0" w:space="0" w:color="auto"/>
                <w:left w:val="none" w:sz="0" w:space="0" w:color="auto"/>
                <w:bottom w:val="none" w:sz="0" w:space="0" w:color="auto"/>
                <w:right w:val="none" w:sz="0" w:space="0" w:color="auto"/>
              </w:divBdr>
              <w:divsChild>
                <w:div w:id="1193229716">
                  <w:marLeft w:val="0"/>
                  <w:marRight w:val="0"/>
                  <w:marTop w:val="0"/>
                  <w:marBottom w:val="0"/>
                  <w:divBdr>
                    <w:top w:val="none" w:sz="0" w:space="0" w:color="auto"/>
                    <w:left w:val="none" w:sz="0" w:space="0" w:color="auto"/>
                    <w:bottom w:val="none" w:sz="0" w:space="0" w:color="auto"/>
                    <w:right w:val="none" w:sz="0" w:space="0" w:color="auto"/>
                  </w:divBdr>
                </w:div>
              </w:divsChild>
            </w:div>
            <w:div w:id="31616564">
              <w:marLeft w:val="0"/>
              <w:marRight w:val="0"/>
              <w:marTop w:val="0"/>
              <w:marBottom w:val="0"/>
              <w:divBdr>
                <w:top w:val="none" w:sz="0" w:space="0" w:color="auto"/>
                <w:left w:val="none" w:sz="0" w:space="0" w:color="auto"/>
                <w:bottom w:val="none" w:sz="0" w:space="0" w:color="auto"/>
                <w:right w:val="none" w:sz="0" w:space="0" w:color="auto"/>
              </w:divBdr>
              <w:divsChild>
                <w:div w:id="72632278">
                  <w:marLeft w:val="0"/>
                  <w:marRight w:val="0"/>
                  <w:marTop w:val="0"/>
                  <w:marBottom w:val="0"/>
                  <w:divBdr>
                    <w:top w:val="none" w:sz="0" w:space="0" w:color="auto"/>
                    <w:left w:val="none" w:sz="0" w:space="0" w:color="auto"/>
                    <w:bottom w:val="none" w:sz="0" w:space="0" w:color="auto"/>
                    <w:right w:val="none" w:sz="0" w:space="0" w:color="auto"/>
                  </w:divBdr>
                </w:div>
              </w:divsChild>
            </w:div>
            <w:div w:id="32506264">
              <w:marLeft w:val="0"/>
              <w:marRight w:val="0"/>
              <w:marTop w:val="300"/>
              <w:marBottom w:val="300"/>
              <w:divBdr>
                <w:top w:val="none" w:sz="0" w:space="0" w:color="auto"/>
                <w:left w:val="none" w:sz="0" w:space="0" w:color="auto"/>
                <w:bottom w:val="none" w:sz="0" w:space="0" w:color="auto"/>
                <w:right w:val="none" w:sz="0" w:space="0" w:color="auto"/>
              </w:divBdr>
            </w:div>
            <w:div w:id="32509430">
              <w:marLeft w:val="0"/>
              <w:marRight w:val="0"/>
              <w:marTop w:val="0"/>
              <w:marBottom w:val="0"/>
              <w:divBdr>
                <w:top w:val="none" w:sz="0" w:space="0" w:color="auto"/>
                <w:left w:val="none" w:sz="0" w:space="0" w:color="auto"/>
                <w:bottom w:val="none" w:sz="0" w:space="0" w:color="auto"/>
                <w:right w:val="none" w:sz="0" w:space="0" w:color="auto"/>
              </w:divBdr>
              <w:divsChild>
                <w:div w:id="2104260810">
                  <w:marLeft w:val="0"/>
                  <w:marRight w:val="0"/>
                  <w:marTop w:val="0"/>
                  <w:marBottom w:val="0"/>
                  <w:divBdr>
                    <w:top w:val="none" w:sz="0" w:space="0" w:color="auto"/>
                    <w:left w:val="none" w:sz="0" w:space="0" w:color="auto"/>
                    <w:bottom w:val="none" w:sz="0" w:space="0" w:color="auto"/>
                    <w:right w:val="none" w:sz="0" w:space="0" w:color="auto"/>
                  </w:divBdr>
                </w:div>
              </w:divsChild>
            </w:div>
            <w:div w:id="32580320">
              <w:marLeft w:val="0"/>
              <w:marRight w:val="0"/>
              <w:marTop w:val="0"/>
              <w:marBottom w:val="0"/>
              <w:divBdr>
                <w:top w:val="none" w:sz="0" w:space="0" w:color="auto"/>
                <w:left w:val="none" w:sz="0" w:space="0" w:color="auto"/>
                <w:bottom w:val="none" w:sz="0" w:space="0" w:color="auto"/>
                <w:right w:val="none" w:sz="0" w:space="0" w:color="auto"/>
              </w:divBdr>
              <w:divsChild>
                <w:div w:id="1086028308">
                  <w:marLeft w:val="0"/>
                  <w:marRight w:val="0"/>
                  <w:marTop w:val="0"/>
                  <w:marBottom w:val="0"/>
                  <w:divBdr>
                    <w:top w:val="none" w:sz="0" w:space="0" w:color="auto"/>
                    <w:left w:val="none" w:sz="0" w:space="0" w:color="auto"/>
                    <w:bottom w:val="none" w:sz="0" w:space="0" w:color="auto"/>
                    <w:right w:val="none" w:sz="0" w:space="0" w:color="auto"/>
                  </w:divBdr>
                </w:div>
              </w:divsChild>
            </w:div>
            <w:div w:id="32662130">
              <w:marLeft w:val="0"/>
              <w:marRight w:val="0"/>
              <w:marTop w:val="0"/>
              <w:marBottom w:val="0"/>
              <w:divBdr>
                <w:top w:val="none" w:sz="0" w:space="0" w:color="auto"/>
                <w:left w:val="none" w:sz="0" w:space="0" w:color="auto"/>
                <w:bottom w:val="none" w:sz="0" w:space="0" w:color="auto"/>
                <w:right w:val="none" w:sz="0" w:space="0" w:color="auto"/>
              </w:divBdr>
              <w:divsChild>
                <w:div w:id="840661924">
                  <w:marLeft w:val="0"/>
                  <w:marRight w:val="0"/>
                  <w:marTop w:val="0"/>
                  <w:marBottom w:val="0"/>
                  <w:divBdr>
                    <w:top w:val="none" w:sz="0" w:space="0" w:color="auto"/>
                    <w:left w:val="none" w:sz="0" w:space="0" w:color="auto"/>
                    <w:bottom w:val="none" w:sz="0" w:space="0" w:color="auto"/>
                    <w:right w:val="none" w:sz="0" w:space="0" w:color="auto"/>
                  </w:divBdr>
                </w:div>
              </w:divsChild>
            </w:div>
            <w:div w:id="33507402">
              <w:marLeft w:val="0"/>
              <w:marRight w:val="0"/>
              <w:marTop w:val="0"/>
              <w:marBottom w:val="0"/>
              <w:divBdr>
                <w:top w:val="none" w:sz="0" w:space="0" w:color="auto"/>
                <w:left w:val="none" w:sz="0" w:space="0" w:color="auto"/>
                <w:bottom w:val="none" w:sz="0" w:space="0" w:color="auto"/>
                <w:right w:val="none" w:sz="0" w:space="0" w:color="auto"/>
              </w:divBdr>
              <w:divsChild>
                <w:div w:id="1569150045">
                  <w:marLeft w:val="0"/>
                  <w:marRight w:val="0"/>
                  <w:marTop w:val="0"/>
                  <w:marBottom w:val="0"/>
                  <w:divBdr>
                    <w:top w:val="none" w:sz="0" w:space="0" w:color="auto"/>
                    <w:left w:val="none" w:sz="0" w:space="0" w:color="auto"/>
                    <w:bottom w:val="none" w:sz="0" w:space="0" w:color="auto"/>
                    <w:right w:val="none" w:sz="0" w:space="0" w:color="auto"/>
                  </w:divBdr>
                </w:div>
              </w:divsChild>
            </w:div>
            <w:div w:id="33582272">
              <w:marLeft w:val="0"/>
              <w:marRight w:val="0"/>
              <w:marTop w:val="0"/>
              <w:marBottom w:val="0"/>
              <w:divBdr>
                <w:top w:val="none" w:sz="0" w:space="0" w:color="auto"/>
                <w:left w:val="none" w:sz="0" w:space="0" w:color="auto"/>
                <w:bottom w:val="none" w:sz="0" w:space="0" w:color="auto"/>
                <w:right w:val="none" w:sz="0" w:space="0" w:color="auto"/>
              </w:divBdr>
              <w:divsChild>
                <w:div w:id="10759985">
                  <w:marLeft w:val="0"/>
                  <w:marRight w:val="0"/>
                  <w:marTop w:val="0"/>
                  <w:marBottom w:val="0"/>
                  <w:divBdr>
                    <w:top w:val="none" w:sz="0" w:space="0" w:color="auto"/>
                    <w:left w:val="none" w:sz="0" w:space="0" w:color="auto"/>
                    <w:bottom w:val="none" w:sz="0" w:space="0" w:color="auto"/>
                    <w:right w:val="none" w:sz="0" w:space="0" w:color="auto"/>
                  </w:divBdr>
                </w:div>
              </w:divsChild>
            </w:div>
            <w:div w:id="35931479">
              <w:marLeft w:val="0"/>
              <w:marRight w:val="0"/>
              <w:marTop w:val="0"/>
              <w:marBottom w:val="0"/>
              <w:divBdr>
                <w:top w:val="none" w:sz="0" w:space="0" w:color="auto"/>
                <w:left w:val="none" w:sz="0" w:space="0" w:color="auto"/>
                <w:bottom w:val="none" w:sz="0" w:space="0" w:color="auto"/>
                <w:right w:val="none" w:sz="0" w:space="0" w:color="auto"/>
              </w:divBdr>
              <w:divsChild>
                <w:div w:id="710152670">
                  <w:marLeft w:val="0"/>
                  <w:marRight w:val="0"/>
                  <w:marTop w:val="0"/>
                  <w:marBottom w:val="0"/>
                  <w:divBdr>
                    <w:top w:val="none" w:sz="0" w:space="0" w:color="auto"/>
                    <w:left w:val="none" w:sz="0" w:space="0" w:color="auto"/>
                    <w:bottom w:val="none" w:sz="0" w:space="0" w:color="auto"/>
                    <w:right w:val="none" w:sz="0" w:space="0" w:color="auto"/>
                  </w:divBdr>
                </w:div>
              </w:divsChild>
            </w:div>
            <w:div w:id="37046263">
              <w:marLeft w:val="0"/>
              <w:marRight w:val="0"/>
              <w:marTop w:val="0"/>
              <w:marBottom w:val="0"/>
              <w:divBdr>
                <w:top w:val="none" w:sz="0" w:space="0" w:color="auto"/>
                <w:left w:val="none" w:sz="0" w:space="0" w:color="auto"/>
                <w:bottom w:val="none" w:sz="0" w:space="0" w:color="auto"/>
                <w:right w:val="none" w:sz="0" w:space="0" w:color="auto"/>
              </w:divBdr>
              <w:divsChild>
                <w:div w:id="1314869637">
                  <w:marLeft w:val="0"/>
                  <w:marRight w:val="0"/>
                  <w:marTop w:val="0"/>
                  <w:marBottom w:val="0"/>
                  <w:divBdr>
                    <w:top w:val="none" w:sz="0" w:space="0" w:color="auto"/>
                    <w:left w:val="none" w:sz="0" w:space="0" w:color="auto"/>
                    <w:bottom w:val="none" w:sz="0" w:space="0" w:color="auto"/>
                    <w:right w:val="none" w:sz="0" w:space="0" w:color="auto"/>
                  </w:divBdr>
                </w:div>
              </w:divsChild>
            </w:div>
            <w:div w:id="37516486">
              <w:marLeft w:val="0"/>
              <w:marRight w:val="0"/>
              <w:marTop w:val="0"/>
              <w:marBottom w:val="0"/>
              <w:divBdr>
                <w:top w:val="none" w:sz="0" w:space="0" w:color="auto"/>
                <w:left w:val="none" w:sz="0" w:space="0" w:color="auto"/>
                <w:bottom w:val="none" w:sz="0" w:space="0" w:color="auto"/>
                <w:right w:val="none" w:sz="0" w:space="0" w:color="auto"/>
              </w:divBdr>
              <w:divsChild>
                <w:div w:id="380833956">
                  <w:marLeft w:val="0"/>
                  <w:marRight w:val="0"/>
                  <w:marTop w:val="0"/>
                  <w:marBottom w:val="0"/>
                  <w:divBdr>
                    <w:top w:val="none" w:sz="0" w:space="0" w:color="auto"/>
                    <w:left w:val="none" w:sz="0" w:space="0" w:color="auto"/>
                    <w:bottom w:val="none" w:sz="0" w:space="0" w:color="auto"/>
                    <w:right w:val="none" w:sz="0" w:space="0" w:color="auto"/>
                  </w:divBdr>
                </w:div>
              </w:divsChild>
            </w:div>
            <w:div w:id="38671173">
              <w:marLeft w:val="0"/>
              <w:marRight w:val="0"/>
              <w:marTop w:val="0"/>
              <w:marBottom w:val="0"/>
              <w:divBdr>
                <w:top w:val="none" w:sz="0" w:space="0" w:color="auto"/>
                <w:left w:val="none" w:sz="0" w:space="0" w:color="auto"/>
                <w:bottom w:val="none" w:sz="0" w:space="0" w:color="auto"/>
                <w:right w:val="none" w:sz="0" w:space="0" w:color="auto"/>
              </w:divBdr>
              <w:divsChild>
                <w:div w:id="922880624">
                  <w:marLeft w:val="0"/>
                  <w:marRight w:val="0"/>
                  <w:marTop w:val="0"/>
                  <w:marBottom w:val="0"/>
                  <w:divBdr>
                    <w:top w:val="none" w:sz="0" w:space="0" w:color="auto"/>
                    <w:left w:val="none" w:sz="0" w:space="0" w:color="auto"/>
                    <w:bottom w:val="none" w:sz="0" w:space="0" w:color="auto"/>
                    <w:right w:val="none" w:sz="0" w:space="0" w:color="auto"/>
                  </w:divBdr>
                </w:div>
              </w:divsChild>
            </w:div>
            <w:div w:id="39017631">
              <w:marLeft w:val="0"/>
              <w:marRight w:val="0"/>
              <w:marTop w:val="0"/>
              <w:marBottom w:val="0"/>
              <w:divBdr>
                <w:top w:val="none" w:sz="0" w:space="0" w:color="auto"/>
                <w:left w:val="none" w:sz="0" w:space="0" w:color="auto"/>
                <w:bottom w:val="none" w:sz="0" w:space="0" w:color="auto"/>
                <w:right w:val="none" w:sz="0" w:space="0" w:color="auto"/>
              </w:divBdr>
              <w:divsChild>
                <w:div w:id="1865970779">
                  <w:marLeft w:val="0"/>
                  <w:marRight w:val="0"/>
                  <w:marTop w:val="0"/>
                  <w:marBottom w:val="0"/>
                  <w:divBdr>
                    <w:top w:val="none" w:sz="0" w:space="0" w:color="auto"/>
                    <w:left w:val="none" w:sz="0" w:space="0" w:color="auto"/>
                    <w:bottom w:val="none" w:sz="0" w:space="0" w:color="auto"/>
                    <w:right w:val="none" w:sz="0" w:space="0" w:color="auto"/>
                  </w:divBdr>
                </w:div>
              </w:divsChild>
            </w:div>
            <w:div w:id="41174682">
              <w:marLeft w:val="0"/>
              <w:marRight w:val="0"/>
              <w:marTop w:val="0"/>
              <w:marBottom w:val="0"/>
              <w:divBdr>
                <w:top w:val="none" w:sz="0" w:space="0" w:color="auto"/>
                <w:left w:val="none" w:sz="0" w:space="0" w:color="auto"/>
                <w:bottom w:val="none" w:sz="0" w:space="0" w:color="auto"/>
                <w:right w:val="none" w:sz="0" w:space="0" w:color="auto"/>
              </w:divBdr>
              <w:divsChild>
                <w:div w:id="226958565">
                  <w:marLeft w:val="0"/>
                  <w:marRight w:val="0"/>
                  <w:marTop w:val="0"/>
                  <w:marBottom w:val="0"/>
                  <w:divBdr>
                    <w:top w:val="none" w:sz="0" w:space="0" w:color="auto"/>
                    <w:left w:val="none" w:sz="0" w:space="0" w:color="auto"/>
                    <w:bottom w:val="none" w:sz="0" w:space="0" w:color="auto"/>
                    <w:right w:val="none" w:sz="0" w:space="0" w:color="auto"/>
                  </w:divBdr>
                </w:div>
              </w:divsChild>
            </w:div>
            <w:div w:id="41291474">
              <w:marLeft w:val="0"/>
              <w:marRight w:val="0"/>
              <w:marTop w:val="300"/>
              <w:marBottom w:val="300"/>
              <w:divBdr>
                <w:top w:val="none" w:sz="0" w:space="0" w:color="auto"/>
                <w:left w:val="none" w:sz="0" w:space="0" w:color="auto"/>
                <w:bottom w:val="none" w:sz="0" w:space="0" w:color="auto"/>
                <w:right w:val="none" w:sz="0" w:space="0" w:color="auto"/>
              </w:divBdr>
            </w:div>
            <w:div w:id="41752578">
              <w:marLeft w:val="0"/>
              <w:marRight w:val="0"/>
              <w:marTop w:val="0"/>
              <w:marBottom w:val="0"/>
              <w:divBdr>
                <w:top w:val="none" w:sz="0" w:space="0" w:color="auto"/>
                <w:left w:val="none" w:sz="0" w:space="0" w:color="auto"/>
                <w:bottom w:val="none" w:sz="0" w:space="0" w:color="auto"/>
                <w:right w:val="none" w:sz="0" w:space="0" w:color="auto"/>
              </w:divBdr>
              <w:divsChild>
                <w:div w:id="1680623961">
                  <w:marLeft w:val="0"/>
                  <w:marRight w:val="0"/>
                  <w:marTop w:val="0"/>
                  <w:marBottom w:val="0"/>
                  <w:divBdr>
                    <w:top w:val="none" w:sz="0" w:space="0" w:color="auto"/>
                    <w:left w:val="none" w:sz="0" w:space="0" w:color="auto"/>
                    <w:bottom w:val="none" w:sz="0" w:space="0" w:color="auto"/>
                    <w:right w:val="none" w:sz="0" w:space="0" w:color="auto"/>
                  </w:divBdr>
                </w:div>
              </w:divsChild>
            </w:div>
            <w:div w:id="42363784">
              <w:marLeft w:val="0"/>
              <w:marRight w:val="0"/>
              <w:marTop w:val="300"/>
              <w:marBottom w:val="300"/>
              <w:divBdr>
                <w:top w:val="none" w:sz="0" w:space="0" w:color="auto"/>
                <w:left w:val="none" w:sz="0" w:space="0" w:color="auto"/>
                <w:bottom w:val="none" w:sz="0" w:space="0" w:color="auto"/>
                <w:right w:val="none" w:sz="0" w:space="0" w:color="auto"/>
              </w:divBdr>
            </w:div>
            <w:div w:id="42561794">
              <w:marLeft w:val="0"/>
              <w:marRight w:val="0"/>
              <w:marTop w:val="0"/>
              <w:marBottom w:val="0"/>
              <w:divBdr>
                <w:top w:val="none" w:sz="0" w:space="0" w:color="auto"/>
                <w:left w:val="none" w:sz="0" w:space="0" w:color="auto"/>
                <w:bottom w:val="none" w:sz="0" w:space="0" w:color="auto"/>
                <w:right w:val="none" w:sz="0" w:space="0" w:color="auto"/>
              </w:divBdr>
              <w:divsChild>
                <w:div w:id="839858126">
                  <w:marLeft w:val="0"/>
                  <w:marRight w:val="0"/>
                  <w:marTop w:val="0"/>
                  <w:marBottom w:val="0"/>
                  <w:divBdr>
                    <w:top w:val="none" w:sz="0" w:space="0" w:color="auto"/>
                    <w:left w:val="none" w:sz="0" w:space="0" w:color="auto"/>
                    <w:bottom w:val="none" w:sz="0" w:space="0" w:color="auto"/>
                    <w:right w:val="none" w:sz="0" w:space="0" w:color="auto"/>
                  </w:divBdr>
                </w:div>
              </w:divsChild>
            </w:div>
            <w:div w:id="44987751">
              <w:marLeft w:val="0"/>
              <w:marRight w:val="0"/>
              <w:marTop w:val="300"/>
              <w:marBottom w:val="300"/>
              <w:divBdr>
                <w:top w:val="none" w:sz="0" w:space="0" w:color="auto"/>
                <w:left w:val="none" w:sz="0" w:space="0" w:color="auto"/>
                <w:bottom w:val="none" w:sz="0" w:space="0" w:color="auto"/>
                <w:right w:val="none" w:sz="0" w:space="0" w:color="auto"/>
              </w:divBdr>
            </w:div>
            <w:div w:id="45614271">
              <w:marLeft w:val="0"/>
              <w:marRight w:val="0"/>
              <w:marTop w:val="0"/>
              <w:marBottom w:val="0"/>
              <w:divBdr>
                <w:top w:val="none" w:sz="0" w:space="0" w:color="auto"/>
                <w:left w:val="none" w:sz="0" w:space="0" w:color="auto"/>
                <w:bottom w:val="none" w:sz="0" w:space="0" w:color="auto"/>
                <w:right w:val="none" w:sz="0" w:space="0" w:color="auto"/>
              </w:divBdr>
              <w:divsChild>
                <w:div w:id="416561112">
                  <w:marLeft w:val="0"/>
                  <w:marRight w:val="0"/>
                  <w:marTop w:val="0"/>
                  <w:marBottom w:val="0"/>
                  <w:divBdr>
                    <w:top w:val="none" w:sz="0" w:space="0" w:color="auto"/>
                    <w:left w:val="none" w:sz="0" w:space="0" w:color="auto"/>
                    <w:bottom w:val="none" w:sz="0" w:space="0" w:color="auto"/>
                    <w:right w:val="none" w:sz="0" w:space="0" w:color="auto"/>
                  </w:divBdr>
                </w:div>
              </w:divsChild>
            </w:div>
            <w:div w:id="45764247">
              <w:marLeft w:val="0"/>
              <w:marRight w:val="0"/>
              <w:marTop w:val="0"/>
              <w:marBottom w:val="0"/>
              <w:divBdr>
                <w:top w:val="none" w:sz="0" w:space="0" w:color="auto"/>
                <w:left w:val="none" w:sz="0" w:space="0" w:color="auto"/>
                <w:bottom w:val="none" w:sz="0" w:space="0" w:color="auto"/>
                <w:right w:val="none" w:sz="0" w:space="0" w:color="auto"/>
              </w:divBdr>
              <w:divsChild>
                <w:div w:id="1691713074">
                  <w:marLeft w:val="0"/>
                  <w:marRight w:val="0"/>
                  <w:marTop w:val="0"/>
                  <w:marBottom w:val="0"/>
                  <w:divBdr>
                    <w:top w:val="none" w:sz="0" w:space="0" w:color="auto"/>
                    <w:left w:val="none" w:sz="0" w:space="0" w:color="auto"/>
                    <w:bottom w:val="none" w:sz="0" w:space="0" w:color="auto"/>
                    <w:right w:val="none" w:sz="0" w:space="0" w:color="auto"/>
                  </w:divBdr>
                </w:div>
              </w:divsChild>
            </w:div>
            <w:div w:id="47842223">
              <w:marLeft w:val="0"/>
              <w:marRight w:val="0"/>
              <w:marTop w:val="0"/>
              <w:marBottom w:val="0"/>
              <w:divBdr>
                <w:top w:val="none" w:sz="0" w:space="0" w:color="auto"/>
                <w:left w:val="none" w:sz="0" w:space="0" w:color="auto"/>
                <w:bottom w:val="none" w:sz="0" w:space="0" w:color="auto"/>
                <w:right w:val="none" w:sz="0" w:space="0" w:color="auto"/>
              </w:divBdr>
              <w:divsChild>
                <w:div w:id="1169558996">
                  <w:marLeft w:val="0"/>
                  <w:marRight w:val="0"/>
                  <w:marTop w:val="0"/>
                  <w:marBottom w:val="0"/>
                  <w:divBdr>
                    <w:top w:val="none" w:sz="0" w:space="0" w:color="auto"/>
                    <w:left w:val="none" w:sz="0" w:space="0" w:color="auto"/>
                    <w:bottom w:val="none" w:sz="0" w:space="0" w:color="auto"/>
                    <w:right w:val="none" w:sz="0" w:space="0" w:color="auto"/>
                  </w:divBdr>
                </w:div>
              </w:divsChild>
            </w:div>
            <w:div w:id="48455633">
              <w:marLeft w:val="0"/>
              <w:marRight w:val="0"/>
              <w:marTop w:val="0"/>
              <w:marBottom w:val="0"/>
              <w:divBdr>
                <w:top w:val="none" w:sz="0" w:space="0" w:color="auto"/>
                <w:left w:val="none" w:sz="0" w:space="0" w:color="auto"/>
                <w:bottom w:val="none" w:sz="0" w:space="0" w:color="auto"/>
                <w:right w:val="none" w:sz="0" w:space="0" w:color="auto"/>
              </w:divBdr>
              <w:divsChild>
                <w:div w:id="776023420">
                  <w:marLeft w:val="0"/>
                  <w:marRight w:val="0"/>
                  <w:marTop w:val="0"/>
                  <w:marBottom w:val="0"/>
                  <w:divBdr>
                    <w:top w:val="none" w:sz="0" w:space="0" w:color="auto"/>
                    <w:left w:val="none" w:sz="0" w:space="0" w:color="auto"/>
                    <w:bottom w:val="none" w:sz="0" w:space="0" w:color="auto"/>
                    <w:right w:val="none" w:sz="0" w:space="0" w:color="auto"/>
                  </w:divBdr>
                </w:div>
              </w:divsChild>
            </w:div>
            <w:div w:id="53546524">
              <w:marLeft w:val="0"/>
              <w:marRight w:val="0"/>
              <w:marTop w:val="0"/>
              <w:marBottom w:val="0"/>
              <w:divBdr>
                <w:top w:val="none" w:sz="0" w:space="0" w:color="auto"/>
                <w:left w:val="none" w:sz="0" w:space="0" w:color="auto"/>
                <w:bottom w:val="none" w:sz="0" w:space="0" w:color="auto"/>
                <w:right w:val="none" w:sz="0" w:space="0" w:color="auto"/>
              </w:divBdr>
              <w:divsChild>
                <w:div w:id="2123725282">
                  <w:marLeft w:val="0"/>
                  <w:marRight w:val="0"/>
                  <w:marTop w:val="0"/>
                  <w:marBottom w:val="0"/>
                  <w:divBdr>
                    <w:top w:val="none" w:sz="0" w:space="0" w:color="auto"/>
                    <w:left w:val="none" w:sz="0" w:space="0" w:color="auto"/>
                    <w:bottom w:val="none" w:sz="0" w:space="0" w:color="auto"/>
                    <w:right w:val="none" w:sz="0" w:space="0" w:color="auto"/>
                  </w:divBdr>
                </w:div>
              </w:divsChild>
            </w:div>
            <w:div w:id="53898458">
              <w:marLeft w:val="0"/>
              <w:marRight w:val="0"/>
              <w:marTop w:val="0"/>
              <w:marBottom w:val="0"/>
              <w:divBdr>
                <w:top w:val="none" w:sz="0" w:space="0" w:color="auto"/>
                <w:left w:val="none" w:sz="0" w:space="0" w:color="auto"/>
                <w:bottom w:val="none" w:sz="0" w:space="0" w:color="auto"/>
                <w:right w:val="none" w:sz="0" w:space="0" w:color="auto"/>
              </w:divBdr>
              <w:divsChild>
                <w:div w:id="1207526437">
                  <w:marLeft w:val="0"/>
                  <w:marRight w:val="0"/>
                  <w:marTop w:val="0"/>
                  <w:marBottom w:val="0"/>
                  <w:divBdr>
                    <w:top w:val="none" w:sz="0" w:space="0" w:color="auto"/>
                    <w:left w:val="none" w:sz="0" w:space="0" w:color="auto"/>
                    <w:bottom w:val="none" w:sz="0" w:space="0" w:color="auto"/>
                    <w:right w:val="none" w:sz="0" w:space="0" w:color="auto"/>
                  </w:divBdr>
                </w:div>
              </w:divsChild>
            </w:div>
            <w:div w:id="55322811">
              <w:marLeft w:val="0"/>
              <w:marRight w:val="0"/>
              <w:marTop w:val="0"/>
              <w:marBottom w:val="0"/>
              <w:divBdr>
                <w:top w:val="none" w:sz="0" w:space="0" w:color="auto"/>
                <w:left w:val="none" w:sz="0" w:space="0" w:color="auto"/>
                <w:bottom w:val="none" w:sz="0" w:space="0" w:color="auto"/>
                <w:right w:val="none" w:sz="0" w:space="0" w:color="auto"/>
              </w:divBdr>
              <w:divsChild>
                <w:div w:id="1925217539">
                  <w:marLeft w:val="0"/>
                  <w:marRight w:val="0"/>
                  <w:marTop w:val="0"/>
                  <w:marBottom w:val="0"/>
                  <w:divBdr>
                    <w:top w:val="none" w:sz="0" w:space="0" w:color="auto"/>
                    <w:left w:val="none" w:sz="0" w:space="0" w:color="auto"/>
                    <w:bottom w:val="none" w:sz="0" w:space="0" w:color="auto"/>
                    <w:right w:val="none" w:sz="0" w:space="0" w:color="auto"/>
                  </w:divBdr>
                </w:div>
              </w:divsChild>
            </w:div>
            <w:div w:id="56058227">
              <w:marLeft w:val="0"/>
              <w:marRight w:val="0"/>
              <w:marTop w:val="0"/>
              <w:marBottom w:val="0"/>
              <w:divBdr>
                <w:top w:val="none" w:sz="0" w:space="0" w:color="auto"/>
                <w:left w:val="none" w:sz="0" w:space="0" w:color="auto"/>
                <w:bottom w:val="none" w:sz="0" w:space="0" w:color="auto"/>
                <w:right w:val="none" w:sz="0" w:space="0" w:color="auto"/>
              </w:divBdr>
              <w:divsChild>
                <w:div w:id="1335566632">
                  <w:marLeft w:val="0"/>
                  <w:marRight w:val="0"/>
                  <w:marTop w:val="0"/>
                  <w:marBottom w:val="0"/>
                  <w:divBdr>
                    <w:top w:val="none" w:sz="0" w:space="0" w:color="auto"/>
                    <w:left w:val="none" w:sz="0" w:space="0" w:color="auto"/>
                    <w:bottom w:val="none" w:sz="0" w:space="0" w:color="auto"/>
                    <w:right w:val="none" w:sz="0" w:space="0" w:color="auto"/>
                  </w:divBdr>
                </w:div>
              </w:divsChild>
            </w:div>
            <w:div w:id="57871480">
              <w:marLeft w:val="0"/>
              <w:marRight w:val="0"/>
              <w:marTop w:val="0"/>
              <w:marBottom w:val="0"/>
              <w:divBdr>
                <w:top w:val="none" w:sz="0" w:space="0" w:color="auto"/>
                <w:left w:val="none" w:sz="0" w:space="0" w:color="auto"/>
                <w:bottom w:val="none" w:sz="0" w:space="0" w:color="auto"/>
                <w:right w:val="none" w:sz="0" w:space="0" w:color="auto"/>
              </w:divBdr>
              <w:divsChild>
                <w:div w:id="2071998144">
                  <w:marLeft w:val="0"/>
                  <w:marRight w:val="0"/>
                  <w:marTop w:val="0"/>
                  <w:marBottom w:val="0"/>
                  <w:divBdr>
                    <w:top w:val="none" w:sz="0" w:space="0" w:color="auto"/>
                    <w:left w:val="none" w:sz="0" w:space="0" w:color="auto"/>
                    <w:bottom w:val="none" w:sz="0" w:space="0" w:color="auto"/>
                    <w:right w:val="none" w:sz="0" w:space="0" w:color="auto"/>
                  </w:divBdr>
                </w:div>
              </w:divsChild>
            </w:div>
            <w:div w:id="59057527">
              <w:marLeft w:val="0"/>
              <w:marRight w:val="0"/>
              <w:marTop w:val="0"/>
              <w:marBottom w:val="0"/>
              <w:divBdr>
                <w:top w:val="none" w:sz="0" w:space="0" w:color="auto"/>
                <w:left w:val="none" w:sz="0" w:space="0" w:color="auto"/>
                <w:bottom w:val="none" w:sz="0" w:space="0" w:color="auto"/>
                <w:right w:val="none" w:sz="0" w:space="0" w:color="auto"/>
              </w:divBdr>
              <w:divsChild>
                <w:div w:id="1927760401">
                  <w:marLeft w:val="0"/>
                  <w:marRight w:val="0"/>
                  <w:marTop w:val="0"/>
                  <w:marBottom w:val="0"/>
                  <w:divBdr>
                    <w:top w:val="none" w:sz="0" w:space="0" w:color="auto"/>
                    <w:left w:val="none" w:sz="0" w:space="0" w:color="auto"/>
                    <w:bottom w:val="none" w:sz="0" w:space="0" w:color="auto"/>
                    <w:right w:val="none" w:sz="0" w:space="0" w:color="auto"/>
                  </w:divBdr>
                </w:div>
              </w:divsChild>
            </w:div>
            <w:div w:id="59326894">
              <w:marLeft w:val="0"/>
              <w:marRight w:val="0"/>
              <w:marTop w:val="300"/>
              <w:marBottom w:val="300"/>
              <w:divBdr>
                <w:top w:val="none" w:sz="0" w:space="0" w:color="auto"/>
                <w:left w:val="none" w:sz="0" w:space="0" w:color="auto"/>
                <w:bottom w:val="none" w:sz="0" w:space="0" w:color="auto"/>
                <w:right w:val="none" w:sz="0" w:space="0" w:color="auto"/>
              </w:divBdr>
            </w:div>
            <w:div w:id="63456832">
              <w:marLeft w:val="0"/>
              <w:marRight w:val="0"/>
              <w:marTop w:val="300"/>
              <w:marBottom w:val="300"/>
              <w:divBdr>
                <w:top w:val="none" w:sz="0" w:space="0" w:color="auto"/>
                <w:left w:val="none" w:sz="0" w:space="0" w:color="auto"/>
                <w:bottom w:val="none" w:sz="0" w:space="0" w:color="auto"/>
                <w:right w:val="none" w:sz="0" w:space="0" w:color="auto"/>
              </w:divBdr>
            </w:div>
            <w:div w:id="66146655">
              <w:marLeft w:val="0"/>
              <w:marRight w:val="0"/>
              <w:marTop w:val="0"/>
              <w:marBottom w:val="0"/>
              <w:divBdr>
                <w:top w:val="none" w:sz="0" w:space="0" w:color="auto"/>
                <w:left w:val="none" w:sz="0" w:space="0" w:color="auto"/>
                <w:bottom w:val="none" w:sz="0" w:space="0" w:color="auto"/>
                <w:right w:val="none" w:sz="0" w:space="0" w:color="auto"/>
              </w:divBdr>
              <w:divsChild>
                <w:div w:id="398600568">
                  <w:marLeft w:val="0"/>
                  <w:marRight w:val="0"/>
                  <w:marTop w:val="0"/>
                  <w:marBottom w:val="0"/>
                  <w:divBdr>
                    <w:top w:val="none" w:sz="0" w:space="0" w:color="auto"/>
                    <w:left w:val="none" w:sz="0" w:space="0" w:color="auto"/>
                    <w:bottom w:val="none" w:sz="0" w:space="0" w:color="auto"/>
                    <w:right w:val="none" w:sz="0" w:space="0" w:color="auto"/>
                  </w:divBdr>
                </w:div>
              </w:divsChild>
            </w:div>
            <w:div w:id="68189339">
              <w:marLeft w:val="0"/>
              <w:marRight w:val="0"/>
              <w:marTop w:val="0"/>
              <w:marBottom w:val="0"/>
              <w:divBdr>
                <w:top w:val="none" w:sz="0" w:space="0" w:color="auto"/>
                <w:left w:val="none" w:sz="0" w:space="0" w:color="auto"/>
                <w:bottom w:val="none" w:sz="0" w:space="0" w:color="auto"/>
                <w:right w:val="none" w:sz="0" w:space="0" w:color="auto"/>
              </w:divBdr>
              <w:divsChild>
                <w:div w:id="1499617129">
                  <w:marLeft w:val="0"/>
                  <w:marRight w:val="0"/>
                  <w:marTop w:val="0"/>
                  <w:marBottom w:val="0"/>
                  <w:divBdr>
                    <w:top w:val="none" w:sz="0" w:space="0" w:color="auto"/>
                    <w:left w:val="none" w:sz="0" w:space="0" w:color="auto"/>
                    <w:bottom w:val="none" w:sz="0" w:space="0" w:color="auto"/>
                    <w:right w:val="none" w:sz="0" w:space="0" w:color="auto"/>
                  </w:divBdr>
                </w:div>
              </w:divsChild>
            </w:div>
            <w:div w:id="68817525">
              <w:marLeft w:val="0"/>
              <w:marRight w:val="0"/>
              <w:marTop w:val="0"/>
              <w:marBottom w:val="0"/>
              <w:divBdr>
                <w:top w:val="none" w:sz="0" w:space="0" w:color="auto"/>
                <w:left w:val="none" w:sz="0" w:space="0" w:color="auto"/>
                <w:bottom w:val="none" w:sz="0" w:space="0" w:color="auto"/>
                <w:right w:val="none" w:sz="0" w:space="0" w:color="auto"/>
              </w:divBdr>
              <w:divsChild>
                <w:div w:id="1709531009">
                  <w:marLeft w:val="0"/>
                  <w:marRight w:val="0"/>
                  <w:marTop w:val="0"/>
                  <w:marBottom w:val="0"/>
                  <w:divBdr>
                    <w:top w:val="none" w:sz="0" w:space="0" w:color="auto"/>
                    <w:left w:val="none" w:sz="0" w:space="0" w:color="auto"/>
                    <w:bottom w:val="none" w:sz="0" w:space="0" w:color="auto"/>
                    <w:right w:val="none" w:sz="0" w:space="0" w:color="auto"/>
                  </w:divBdr>
                </w:div>
              </w:divsChild>
            </w:div>
            <w:div w:id="73942847">
              <w:marLeft w:val="0"/>
              <w:marRight w:val="0"/>
              <w:marTop w:val="0"/>
              <w:marBottom w:val="0"/>
              <w:divBdr>
                <w:top w:val="none" w:sz="0" w:space="0" w:color="auto"/>
                <w:left w:val="none" w:sz="0" w:space="0" w:color="auto"/>
                <w:bottom w:val="none" w:sz="0" w:space="0" w:color="auto"/>
                <w:right w:val="none" w:sz="0" w:space="0" w:color="auto"/>
              </w:divBdr>
              <w:divsChild>
                <w:div w:id="1682968617">
                  <w:marLeft w:val="0"/>
                  <w:marRight w:val="0"/>
                  <w:marTop w:val="0"/>
                  <w:marBottom w:val="0"/>
                  <w:divBdr>
                    <w:top w:val="none" w:sz="0" w:space="0" w:color="auto"/>
                    <w:left w:val="none" w:sz="0" w:space="0" w:color="auto"/>
                    <w:bottom w:val="none" w:sz="0" w:space="0" w:color="auto"/>
                    <w:right w:val="none" w:sz="0" w:space="0" w:color="auto"/>
                  </w:divBdr>
                </w:div>
              </w:divsChild>
            </w:div>
            <w:div w:id="74665214">
              <w:marLeft w:val="0"/>
              <w:marRight w:val="0"/>
              <w:marTop w:val="0"/>
              <w:marBottom w:val="0"/>
              <w:divBdr>
                <w:top w:val="none" w:sz="0" w:space="0" w:color="auto"/>
                <w:left w:val="none" w:sz="0" w:space="0" w:color="auto"/>
                <w:bottom w:val="none" w:sz="0" w:space="0" w:color="auto"/>
                <w:right w:val="none" w:sz="0" w:space="0" w:color="auto"/>
              </w:divBdr>
              <w:divsChild>
                <w:div w:id="204873296">
                  <w:marLeft w:val="0"/>
                  <w:marRight w:val="0"/>
                  <w:marTop w:val="0"/>
                  <w:marBottom w:val="0"/>
                  <w:divBdr>
                    <w:top w:val="none" w:sz="0" w:space="0" w:color="auto"/>
                    <w:left w:val="none" w:sz="0" w:space="0" w:color="auto"/>
                    <w:bottom w:val="none" w:sz="0" w:space="0" w:color="auto"/>
                    <w:right w:val="none" w:sz="0" w:space="0" w:color="auto"/>
                  </w:divBdr>
                </w:div>
              </w:divsChild>
            </w:div>
            <w:div w:id="74979673">
              <w:marLeft w:val="0"/>
              <w:marRight w:val="0"/>
              <w:marTop w:val="0"/>
              <w:marBottom w:val="0"/>
              <w:divBdr>
                <w:top w:val="none" w:sz="0" w:space="0" w:color="auto"/>
                <w:left w:val="none" w:sz="0" w:space="0" w:color="auto"/>
                <w:bottom w:val="none" w:sz="0" w:space="0" w:color="auto"/>
                <w:right w:val="none" w:sz="0" w:space="0" w:color="auto"/>
              </w:divBdr>
              <w:divsChild>
                <w:div w:id="611405152">
                  <w:marLeft w:val="0"/>
                  <w:marRight w:val="0"/>
                  <w:marTop w:val="0"/>
                  <w:marBottom w:val="0"/>
                  <w:divBdr>
                    <w:top w:val="none" w:sz="0" w:space="0" w:color="auto"/>
                    <w:left w:val="none" w:sz="0" w:space="0" w:color="auto"/>
                    <w:bottom w:val="none" w:sz="0" w:space="0" w:color="auto"/>
                    <w:right w:val="none" w:sz="0" w:space="0" w:color="auto"/>
                  </w:divBdr>
                </w:div>
              </w:divsChild>
            </w:div>
            <w:div w:id="75324754">
              <w:marLeft w:val="0"/>
              <w:marRight w:val="0"/>
              <w:marTop w:val="300"/>
              <w:marBottom w:val="300"/>
              <w:divBdr>
                <w:top w:val="none" w:sz="0" w:space="0" w:color="auto"/>
                <w:left w:val="none" w:sz="0" w:space="0" w:color="auto"/>
                <w:bottom w:val="none" w:sz="0" w:space="0" w:color="auto"/>
                <w:right w:val="none" w:sz="0" w:space="0" w:color="auto"/>
              </w:divBdr>
            </w:div>
            <w:div w:id="76875305">
              <w:marLeft w:val="0"/>
              <w:marRight w:val="0"/>
              <w:marTop w:val="0"/>
              <w:marBottom w:val="0"/>
              <w:divBdr>
                <w:top w:val="none" w:sz="0" w:space="0" w:color="auto"/>
                <w:left w:val="none" w:sz="0" w:space="0" w:color="auto"/>
                <w:bottom w:val="none" w:sz="0" w:space="0" w:color="auto"/>
                <w:right w:val="none" w:sz="0" w:space="0" w:color="auto"/>
              </w:divBdr>
              <w:divsChild>
                <w:div w:id="73627676">
                  <w:marLeft w:val="0"/>
                  <w:marRight w:val="0"/>
                  <w:marTop w:val="0"/>
                  <w:marBottom w:val="0"/>
                  <w:divBdr>
                    <w:top w:val="none" w:sz="0" w:space="0" w:color="auto"/>
                    <w:left w:val="none" w:sz="0" w:space="0" w:color="auto"/>
                    <w:bottom w:val="none" w:sz="0" w:space="0" w:color="auto"/>
                    <w:right w:val="none" w:sz="0" w:space="0" w:color="auto"/>
                  </w:divBdr>
                </w:div>
              </w:divsChild>
            </w:div>
            <w:div w:id="77875725">
              <w:marLeft w:val="0"/>
              <w:marRight w:val="0"/>
              <w:marTop w:val="0"/>
              <w:marBottom w:val="0"/>
              <w:divBdr>
                <w:top w:val="none" w:sz="0" w:space="0" w:color="auto"/>
                <w:left w:val="none" w:sz="0" w:space="0" w:color="auto"/>
                <w:bottom w:val="none" w:sz="0" w:space="0" w:color="auto"/>
                <w:right w:val="none" w:sz="0" w:space="0" w:color="auto"/>
              </w:divBdr>
              <w:divsChild>
                <w:div w:id="1500541530">
                  <w:marLeft w:val="0"/>
                  <w:marRight w:val="0"/>
                  <w:marTop w:val="0"/>
                  <w:marBottom w:val="0"/>
                  <w:divBdr>
                    <w:top w:val="none" w:sz="0" w:space="0" w:color="auto"/>
                    <w:left w:val="none" w:sz="0" w:space="0" w:color="auto"/>
                    <w:bottom w:val="none" w:sz="0" w:space="0" w:color="auto"/>
                    <w:right w:val="none" w:sz="0" w:space="0" w:color="auto"/>
                  </w:divBdr>
                </w:div>
              </w:divsChild>
            </w:div>
            <w:div w:id="79446798">
              <w:marLeft w:val="0"/>
              <w:marRight w:val="0"/>
              <w:marTop w:val="300"/>
              <w:marBottom w:val="300"/>
              <w:divBdr>
                <w:top w:val="none" w:sz="0" w:space="0" w:color="auto"/>
                <w:left w:val="none" w:sz="0" w:space="0" w:color="auto"/>
                <w:bottom w:val="none" w:sz="0" w:space="0" w:color="auto"/>
                <w:right w:val="none" w:sz="0" w:space="0" w:color="auto"/>
              </w:divBdr>
            </w:div>
            <w:div w:id="79527770">
              <w:marLeft w:val="0"/>
              <w:marRight w:val="0"/>
              <w:marTop w:val="0"/>
              <w:marBottom w:val="0"/>
              <w:divBdr>
                <w:top w:val="none" w:sz="0" w:space="0" w:color="auto"/>
                <w:left w:val="none" w:sz="0" w:space="0" w:color="auto"/>
                <w:bottom w:val="none" w:sz="0" w:space="0" w:color="auto"/>
                <w:right w:val="none" w:sz="0" w:space="0" w:color="auto"/>
              </w:divBdr>
              <w:divsChild>
                <w:div w:id="1238708548">
                  <w:marLeft w:val="0"/>
                  <w:marRight w:val="0"/>
                  <w:marTop w:val="0"/>
                  <w:marBottom w:val="0"/>
                  <w:divBdr>
                    <w:top w:val="none" w:sz="0" w:space="0" w:color="auto"/>
                    <w:left w:val="none" w:sz="0" w:space="0" w:color="auto"/>
                    <w:bottom w:val="none" w:sz="0" w:space="0" w:color="auto"/>
                    <w:right w:val="none" w:sz="0" w:space="0" w:color="auto"/>
                  </w:divBdr>
                </w:div>
              </w:divsChild>
            </w:div>
            <w:div w:id="80494858">
              <w:marLeft w:val="0"/>
              <w:marRight w:val="0"/>
              <w:marTop w:val="0"/>
              <w:marBottom w:val="0"/>
              <w:divBdr>
                <w:top w:val="none" w:sz="0" w:space="0" w:color="auto"/>
                <w:left w:val="none" w:sz="0" w:space="0" w:color="auto"/>
                <w:bottom w:val="none" w:sz="0" w:space="0" w:color="auto"/>
                <w:right w:val="none" w:sz="0" w:space="0" w:color="auto"/>
              </w:divBdr>
              <w:divsChild>
                <w:div w:id="1723094255">
                  <w:marLeft w:val="0"/>
                  <w:marRight w:val="0"/>
                  <w:marTop w:val="0"/>
                  <w:marBottom w:val="0"/>
                  <w:divBdr>
                    <w:top w:val="none" w:sz="0" w:space="0" w:color="auto"/>
                    <w:left w:val="none" w:sz="0" w:space="0" w:color="auto"/>
                    <w:bottom w:val="none" w:sz="0" w:space="0" w:color="auto"/>
                    <w:right w:val="none" w:sz="0" w:space="0" w:color="auto"/>
                  </w:divBdr>
                </w:div>
              </w:divsChild>
            </w:div>
            <w:div w:id="82459321">
              <w:marLeft w:val="0"/>
              <w:marRight w:val="0"/>
              <w:marTop w:val="0"/>
              <w:marBottom w:val="150"/>
              <w:divBdr>
                <w:top w:val="none" w:sz="0" w:space="0" w:color="auto"/>
                <w:left w:val="none" w:sz="0" w:space="0" w:color="auto"/>
                <w:bottom w:val="none" w:sz="0" w:space="0" w:color="auto"/>
                <w:right w:val="none" w:sz="0" w:space="0" w:color="auto"/>
              </w:divBdr>
            </w:div>
            <w:div w:id="82655677">
              <w:marLeft w:val="0"/>
              <w:marRight w:val="0"/>
              <w:marTop w:val="0"/>
              <w:marBottom w:val="0"/>
              <w:divBdr>
                <w:top w:val="none" w:sz="0" w:space="0" w:color="auto"/>
                <w:left w:val="none" w:sz="0" w:space="0" w:color="auto"/>
                <w:bottom w:val="none" w:sz="0" w:space="0" w:color="auto"/>
                <w:right w:val="none" w:sz="0" w:space="0" w:color="auto"/>
              </w:divBdr>
              <w:divsChild>
                <w:div w:id="674499802">
                  <w:marLeft w:val="0"/>
                  <w:marRight w:val="0"/>
                  <w:marTop w:val="0"/>
                  <w:marBottom w:val="0"/>
                  <w:divBdr>
                    <w:top w:val="none" w:sz="0" w:space="0" w:color="auto"/>
                    <w:left w:val="none" w:sz="0" w:space="0" w:color="auto"/>
                    <w:bottom w:val="none" w:sz="0" w:space="0" w:color="auto"/>
                    <w:right w:val="none" w:sz="0" w:space="0" w:color="auto"/>
                  </w:divBdr>
                </w:div>
              </w:divsChild>
            </w:div>
            <w:div w:id="83037152">
              <w:marLeft w:val="0"/>
              <w:marRight w:val="0"/>
              <w:marTop w:val="0"/>
              <w:marBottom w:val="0"/>
              <w:divBdr>
                <w:top w:val="none" w:sz="0" w:space="0" w:color="auto"/>
                <w:left w:val="none" w:sz="0" w:space="0" w:color="auto"/>
                <w:bottom w:val="none" w:sz="0" w:space="0" w:color="auto"/>
                <w:right w:val="none" w:sz="0" w:space="0" w:color="auto"/>
              </w:divBdr>
              <w:divsChild>
                <w:div w:id="1880193723">
                  <w:marLeft w:val="0"/>
                  <w:marRight w:val="0"/>
                  <w:marTop w:val="0"/>
                  <w:marBottom w:val="0"/>
                  <w:divBdr>
                    <w:top w:val="none" w:sz="0" w:space="0" w:color="auto"/>
                    <w:left w:val="none" w:sz="0" w:space="0" w:color="auto"/>
                    <w:bottom w:val="none" w:sz="0" w:space="0" w:color="auto"/>
                    <w:right w:val="none" w:sz="0" w:space="0" w:color="auto"/>
                  </w:divBdr>
                </w:div>
              </w:divsChild>
            </w:div>
            <w:div w:id="83380056">
              <w:marLeft w:val="0"/>
              <w:marRight w:val="0"/>
              <w:marTop w:val="0"/>
              <w:marBottom w:val="0"/>
              <w:divBdr>
                <w:top w:val="none" w:sz="0" w:space="0" w:color="auto"/>
                <w:left w:val="none" w:sz="0" w:space="0" w:color="auto"/>
                <w:bottom w:val="none" w:sz="0" w:space="0" w:color="auto"/>
                <w:right w:val="none" w:sz="0" w:space="0" w:color="auto"/>
              </w:divBdr>
              <w:divsChild>
                <w:div w:id="566647975">
                  <w:marLeft w:val="0"/>
                  <w:marRight w:val="0"/>
                  <w:marTop w:val="0"/>
                  <w:marBottom w:val="0"/>
                  <w:divBdr>
                    <w:top w:val="none" w:sz="0" w:space="0" w:color="auto"/>
                    <w:left w:val="none" w:sz="0" w:space="0" w:color="auto"/>
                    <w:bottom w:val="none" w:sz="0" w:space="0" w:color="auto"/>
                    <w:right w:val="none" w:sz="0" w:space="0" w:color="auto"/>
                  </w:divBdr>
                </w:div>
              </w:divsChild>
            </w:div>
            <w:div w:id="88434684">
              <w:marLeft w:val="0"/>
              <w:marRight w:val="0"/>
              <w:marTop w:val="0"/>
              <w:marBottom w:val="0"/>
              <w:divBdr>
                <w:top w:val="none" w:sz="0" w:space="0" w:color="auto"/>
                <w:left w:val="none" w:sz="0" w:space="0" w:color="auto"/>
                <w:bottom w:val="none" w:sz="0" w:space="0" w:color="auto"/>
                <w:right w:val="none" w:sz="0" w:space="0" w:color="auto"/>
              </w:divBdr>
              <w:divsChild>
                <w:div w:id="1444955404">
                  <w:marLeft w:val="0"/>
                  <w:marRight w:val="0"/>
                  <w:marTop w:val="0"/>
                  <w:marBottom w:val="0"/>
                  <w:divBdr>
                    <w:top w:val="none" w:sz="0" w:space="0" w:color="auto"/>
                    <w:left w:val="none" w:sz="0" w:space="0" w:color="auto"/>
                    <w:bottom w:val="none" w:sz="0" w:space="0" w:color="auto"/>
                    <w:right w:val="none" w:sz="0" w:space="0" w:color="auto"/>
                  </w:divBdr>
                </w:div>
              </w:divsChild>
            </w:div>
            <w:div w:id="88893960">
              <w:marLeft w:val="0"/>
              <w:marRight w:val="0"/>
              <w:marTop w:val="0"/>
              <w:marBottom w:val="0"/>
              <w:divBdr>
                <w:top w:val="none" w:sz="0" w:space="0" w:color="auto"/>
                <w:left w:val="none" w:sz="0" w:space="0" w:color="auto"/>
                <w:bottom w:val="none" w:sz="0" w:space="0" w:color="auto"/>
                <w:right w:val="none" w:sz="0" w:space="0" w:color="auto"/>
              </w:divBdr>
              <w:divsChild>
                <w:div w:id="1792045754">
                  <w:marLeft w:val="0"/>
                  <w:marRight w:val="0"/>
                  <w:marTop w:val="0"/>
                  <w:marBottom w:val="0"/>
                  <w:divBdr>
                    <w:top w:val="none" w:sz="0" w:space="0" w:color="auto"/>
                    <w:left w:val="none" w:sz="0" w:space="0" w:color="auto"/>
                    <w:bottom w:val="none" w:sz="0" w:space="0" w:color="auto"/>
                    <w:right w:val="none" w:sz="0" w:space="0" w:color="auto"/>
                  </w:divBdr>
                </w:div>
              </w:divsChild>
            </w:div>
            <w:div w:id="89158509">
              <w:marLeft w:val="0"/>
              <w:marRight w:val="0"/>
              <w:marTop w:val="0"/>
              <w:marBottom w:val="0"/>
              <w:divBdr>
                <w:top w:val="none" w:sz="0" w:space="0" w:color="auto"/>
                <w:left w:val="none" w:sz="0" w:space="0" w:color="auto"/>
                <w:bottom w:val="none" w:sz="0" w:space="0" w:color="auto"/>
                <w:right w:val="none" w:sz="0" w:space="0" w:color="auto"/>
              </w:divBdr>
              <w:divsChild>
                <w:div w:id="901060316">
                  <w:marLeft w:val="0"/>
                  <w:marRight w:val="0"/>
                  <w:marTop w:val="0"/>
                  <w:marBottom w:val="0"/>
                  <w:divBdr>
                    <w:top w:val="none" w:sz="0" w:space="0" w:color="auto"/>
                    <w:left w:val="none" w:sz="0" w:space="0" w:color="auto"/>
                    <w:bottom w:val="none" w:sz="0" w:space="0" w:color="auto"/>
                    <w:right w:val="none" w:sz="0" w:space="0" w:color="auto"/>
                  </w:divBdr>
                </w:div>
              </w:divsChild>
            </w:div>
            <w:div w:id="90048000">
              <w:marLeft w:val="0"/>
              <w:marRight w:val="0"/>
              <w:marTop w:val="0"/>
              <w:marBottom w:val="0"/>
              <w:divBdr>
                <w:top w:val="none" w:sz="0" w:space="0" w:color="auto"/>
                <w:left w:val="none" w:sz="0" w:space="0" w:color="auto"/>
                <w:bottom w:val="none" w:sz="0" w:space="0" w:color="auto"/>
                <w:right w:val="none" w:sz="0" w:space="0" w:color="auto"/>
              </w:divBdr>
              <w:divsChild>
                <w:div w:id="1383409997">
                  <w:marLeft w:val="0"/>
                  <w:marRight w:val="0"/>
                  <w:marTop w:val="0"/>
                  <w:marBottom w:val="0"/>
                  <w:divBdr>
                    <w:top w:val="none" w:sz="0" w:space="0" w:color="auto"/>
                    <w:left w:val="none" w:sz="0" w:space="0" w:color="auto"/>
                    <w:bottom w:val="none" w:sz="0" w:space="0" w:color="auto"/>
                    <w:right w:val="none" w:sz="0" w:space="0" w:color="auto"/>
                  </w:divBdr>
                </w:div>
              </w:divsChild>
            </w:div>
            <w:div w:id="91512021">
              <w:marLeft w:val="0"/>
              <w:marRight w:val="0"/>
              <w:marTop w:val="300"/>
              <w:marBottom w:val="300"/>
              <w:divBdr>
                <w:top w:val="none" w:sz="0" w:space="0" w:color="auto"/>
                <w:left w:val="none" w:sz="0" w:space="0" w:color="auto"/>
                <w:bottom w:val="none" w:sz="0" w:space="0" w:color="auto"/>
                <w:right w:val="none" w:sz="0" w:space="0" w:color="auto"/>
              </w:divBdr>
            </w:div>
            <w:div w:id="96482354">
              <w:marLeft w:val="0"/>
              <w:marRight w:val="0"/>
              <w:marTop w:val="0"/>
              <w:marBottom w:val="0"/>
              <w:divBdr>
                <w:top w:val="none" w:sz="0" w:space="0" w:color="auto"/>
                <w:left w:val="none" w:sz="0" w:space="0" w:color="auto"/>
                <w:bottom w:val="none" w:sz="0" w:space="0" w:color="auto"/>
                <w:right w:val="none" w:sz="0" w:space="0" w:color="auto"/>
              </w:divBdr>
              <w:divsChild>
                <w:div w:id="471338342">
                  <w:marLeft w:val="0"/>
                  <w:marRight w:val="0"/>
                  <w:marTop w:val="0"/>
                  <w:marBottom w:val="0"/>
                  <w:divBdr>
                    <w:top w:val="none" w:sz="0" w:space="0" w:color="auto"/>
                    <w:left w:val="none" w:sz="0" w:space="0" w:color="auto"/>
                    <w:bottom w:val="none" w:sz="0" w:space="0" w:color="auto"/>
                    <w:right w:val="none" w:sz="0" w:space="0" w:color="auto"/>
                  </w:divBdr>
                </w:div>
              </w:divsChild>
            </w:div>
            <w:div w:id="97139992">
              <w:marLeft w:val="0"/>
              <w:marRight w:val="0"/>
              <w:marTop w:val="0"/>
              <w:marBottom w:val="0"/>
              <w:divBdr>
                <w:top w:val="none" w:sz="0" w:space="0" w:color="auto"/>
                <w:left w:val="none" w:sz="0" w:space="0" w:color="auto"/>
                <w:bottom w:val="none" w:sz="0" w:space="0" w:color="auto"/>
                <w:right w:val="none" w:sz="0" w:space="0" w:color="auto"/>
              </w:divBdr>
              <w:divsChild>
                <w:div w:id="793326052">
                  <w:marLeft w:val="0"/>
                  <w:marRight w:val="0"/>
                  <w:marTop w:val="0"/>
                  <w:marBottom w:val="0"/>
                  <w:divBdr>
                    <w:top w:val="none" w:sz="0" w:space="0" w:color="auto"/>
                    <w:left w:val="none" w:sz="0" w:space="0" w:color="auto"/>
                    <w:bottom w:val="none" w:sz="0" w:space="0" w:color="auto"/>
                    <w:right w:val="none" w:sz="0" w:space="0" w:color="auto"/>
                  </w:divBdr>
                </w:div>
              </w:divsChild>
            </w:div>
            <w:div w:id="97529522">
              <w:marLeft w:val="0"/>
              <w:marRight w:val="0"/>
              <w:marTop w:val="0"/>
              <w:marBottom w:val="0"/>
              <w:divBdr>
                <w:top w:val="none" w:sz="0" w:space="0" w:color="auto"/>
                <w:left w:val="none" w:sz="0" w:space="0" w:color="auto"/>
                <w:bottom w:val="none" w:sz="0" w:space="0" w:color="auto"/>
                <w:right w:val="none" w:sz="0" w:space="0" w:color="auto"/>
              </w:divBdr>
              <w:divsChild>
                <w:div w:id="71591092">
                  <w:marLeft w:val="0"/>
                  <w:marRight w:val="0"/>
                  <w:marTop w:val="0"/>
                  <w:marBottom w:val="0"/>
                  <w:divBdr>
                    <w:top w:val="none" w:sz="0" w:space="0" w:color="auto"/>
                    <w:left w:val="none" w:sz="0" w:space="0" w:color="auto"/>
                    <w:bottom w:val="none" w:sz="0" w:space="0" w:color="auto"/>
                    <w:right w:val="none" w:sz="0" w:space="0" w:color="auto"/>
                  </w:divBdr>
                </w:div>
              </w:divsChild>
            </w:div>
            <w:div w:id="101993022">
              <w:marLeft w:val="0"/>
              <w:marRight w:val="0"/>
              <w:marTop w:val="0"/>
              <w:marBottom w:val="0"/>
              <w:divBdr>
                <w:top w:val="none" w:sz="0" w:space="0" w:color="auto"/>
                <w:left w:val="none" w:sz="0" w:space="0" w:color="auto"/>
                <w:bottom w:val="none" w:sz="0" w:space="0" w:color="auto"/>
                <w:right w:val="none" w:sz="0" w:space="0" w:color="auto"/>
              </w:divBdr>
              <w:divsChild>
                <w:div w:id="1111436138">
                  <w:marLeft w:val="0"/>
                  <w:marRight w:val="0"/>
                  <w:marTop w:val="0"/>
                  <w:marBottom w:val="0"/>
                  <w:divBdr>
                    <w:top w:val="none" w:sz="0" w:space="0" w:color="auto"/>
                    <w:left w:val="none" w:sz="0" w:space="0" w:color="auto"/>
                    <w:bottom w:val="none" w:sz="0" w:space="0" w:color="auto"/>
                    <w:right w:val="none" w:sz="0" w:space="0" w:color="auto"/>
                  </w:divBdr>
                </w:div>
              </w:divsChild>
            </w:div>
            <w:div w:id="104229661">
              <w:marLeft w:val="0"/>
              <w:marRight w:val="0"/>
              <w:marTop w:val="0"/>
              <w:marBottom w:val="0"/>
              <w:divBdr>
                <w:top w:val="none" w:sz="0" w:space="0" w:color="auto"/>
                <w:left w:val="none" w:sz="0" w:space="0" w:color="auto"/>
                <w:bottom w:val="none" w:sz="0" w:space="0" w:color="auto"/>
                <w:right w:val="none" w:sz="0" w:space="0" w:color="auto"/>
              </w:divBdr>
              <w:divsChild>
                <w:div w:id="702559462">
                  <w:marLeft w:val="0"/>
                  <w:marRight w:val="0"/>
                  <w:marTop w:val="0"/>
                  <w:marBottom w:val="0"/>
                  <w:divBdr>
                    <w:top w:val="none" w:sz="0" w:space="0" w:color="auto"/>
                    <w:left w:val="none" w:sz="0" w:space="0" w:color="auto"/>
                    <w:bottom w:val="none" w:sz="0" w:space="0" w:color="auto"/>
                    <w:right w:val="none" w:sz="0" w:space="0" w:color="auto"/>
                  </w:divBdr>
                </w:div>
              </w:divsChild>
            </w:div>
            <w:div w:id="104232110">
              <w:marLeft w:val="0"/>
              <w:marRight w:val="0"/>
              <w:marTop w:val="0"/>
              <w:marBottom w:val="0"/>
              <w:divBdr>
                <w:top w:val="none" w:sz="0" w:space="0" w:color="auto"/>
                <w:left w:val="none" w:sz="0" w:space="0" w:color="auto"/>
                <w:bottom w:val="none" w:sz="0" w:space="0" w:color="auto"/>
                <w:right w:val="none" w:sz="0" w:space="0" w:color="auto"/>
              </w:divBdr>
              <w:divsChild>
                <w:div w:id="1702314476">
                  <w:marLeft w:val="0"/>
                  <w:marRight w:val="0"/>
                  <w:marTop w:val="0"/>
                  <w:marBottom w:val="0"/>
                  <w:divBdr>
                    <w:top w:val="none" w:sz="0" w:space="0" w:color="auto"/>
                    <w:left w:val="none" w:sz="0" w:space="0" w:color="auto"/>
                    <w:bottom w:val="none" w:sz="0" w:space="0" w:color="auto"/>
                    <w:right w:val="none" w:sz="0" w:space="0" w:color="auto"/>
                  </w:divBdr>
                </w:div>
              </w:divsChild>
            </w:div>
            <w:div w:id="104733711">
              <w:marLeft w:val="0"/>
              <w:marRight w:val="0"/>
              <w:marTop w:val="0"/>
              <w:marBottom w:val="0"/>
              <w:divBdr>
                <w:top w:val="none" w:sz="0" w:space="0" w:color="auto"/>
                <w:left w:val="none" w:sz="0" w:space="0" w:color="auto"/>
                <w:bottom w:val="none" w:sz="0" w:space="0" w:color="auto"/>
                <w:right w:val="none" w:sz="0" w:space="0" w:color="auto"/>
              </w:divBdr>
              <w:divsChild>
                <w:div w:id="1829904596">
                  <w:marLeft w:val="0"/>
                  <w:marRight w:val="0"/>
                  <w:marTop w:val="0"/>
                  <w:marBottom w:val="0"/>
                  <w:divBdr>
                    <w:top w:val="none" w:sz="0" w:space="0" w:color="auto"/>
                    <w:left w:val="none" w:sz="0" w:space="0" w:color="auto"/>
                    <w:bottom w:val="none" w:sz="0" w:space="0" w:color="auto"/>
                    <w:right w:val="none" w:sz="0" w:space="0" w:color="auto"/>
                  </w:divBdr>
                </w:div>
              </w:divsChild>
            </w:div>
            <w:div w:id="105122725">
              <w:marLeft w:val="0"/>
              <w:marRight w:val="0"/>
              <w:marTop w:val="300"/>
              <w:marBottom w:val="300"/>
              <w:divBdr>
                <w:top w:val="none" w:sz="0" w:space="0" w:color="auto"/>
                <w:left w:val="none" w:sz="0" w:space="0" w:color="auto"/>
                <w:bottom w:val="none" w:sz="0" w:space="0" w:color="auto"/>
                <w:right w:val="none" w:sz="0" w:space="0" w:color="auto"/>
              </w:divBdr>
            </w:div>
            <w:div w:id="105316848">
              <w:marLeft w:val="0"/>
              <w:marRight w:val="0"/>
              <w:marTop w:val="0"/>
              <w:marBottom w:val="0"/>
              <w:divBdr>
                <w:top w:val="none" w:sz="0" w:space="0" w:color="auto"/>
                <w:left w:val="none" w:sz="0" w:space="0" w:color="auto"/>
                <w:bottom w:val="none" w:sz="0" w:space="0" w:color="auto"/>
                <w:right w:val="none" w:sz="0" w:space="0" w:color="auto"/>
              </w:divBdr>
              <w:divsChild>
                <w:div w:id="2052219871">
                  <w:marLeft w:val="0"/>
                  <w:marRight w:val="0"/>
                  <w:marTop w:val="0"/>
                  <w:marBottom w:val="0"/>
                  <w:divBdr>
                    <w:top w:val="none" w:sz="0" w:space="0" w:color="auto"/>
                    <w:left w:val="none" w:sz="0" w:space="0" w:color="auto"/>
                    <w:bottom w:val="none" w:sz="0" w:space="0" w:color="auto"/>
                    <w:right w:val="none" w:sz="0" w:space="0" w:color="auto"/>
                  </w:divBdr>
                </w:div>
              </w:divsChild>
            </w:div>
            <w:div w:id="105348165">
              <w:marLeft w:val="0"/>
              <w:marRight w:val="0"/>
              <w:marTop w:val="0"/>
              <w:marBottom w:val="0"/>
              <w:divBdr>
                <w:top w:val="none" w:sz="0" w:space="0" w:color="auto"/>
                <w:left w:val="none" w:sz="0" w:space="0" w:color="auto"/>
                <w:bottom w:val="none" w:sz="0" w:space="0" w:color="auto"/>
                <w:right w:val="none" w:sz="0" w:space="0" w:color="auto"/>
              </w:divBdr>
              <w:divsChild>
                <w:div w:id="1560435421">
                  <w:marLeft w:val="0"/>
                  <w:marRight w:val="0"/>
                  <w:marTop w:val="0"/>
                  <w:marBottom w:val="0"/>
                  <w:divBdr>
                    <w:top w:val="none" w:sz="0" w:space="0" w:color="auto"/>
                    <w:left w:val="none" w:sz="0" w:space="0" w:color="auto"/>
                    <w:bottom w:val="none" w:sz="0" w:space="0" w:color="auto"/>
                    <w:right w:val="none" w:sz="0" w:space="0" w:color="auto"/>
                  </w:divBdr>
                </w:div>
              </w:divsChild>
            </w:div>
            <w:div w:id="106971274">
              <w:marLeft w:val="0"/>
              <w:marRight w:val="0"/>
              <w:marTop w:val="0"/>
              <w:marBottom w:val="0"/>
              <w:divBdr>
                <w:top w:val="none" w:sz="0" w:space="0" w:color="auto"/>
                <w:left w:val="none" w:sz="0" w:space="0" w:color="auto"/>
                <w:bottom w:val="none" w:sz="0" w:space="0" w:color="auto"/>
                <w:right w:val="none" w:sz="0" w:space="0" w:color="auto"/>
              </w:divBdr>
              <w:divsChild>
                <w:div w:id="609623799">
                  <w:marLeft w:val="0"/>
                  <w:marRight w:val="0"/>
                  <w:marTop w:val="0"/>
                  <w:marBottom w:val="0"/>
                  <w:divBdr>
                    <w:top w:val="none" w:sz="0" w:space="0" w:color="auto"/>
                    <w:left w:val="none" w:sz="0" w:space="0" w:color="auto"/>
                    <w:bottom w:val="none" w:sz="0" w:space="0" w:color="auto"/>
                    <w:right w:val="none" w:sz="0" w:space="0" w:color="auto"/>
                  </w:divBdr>
                </w:div>
              </w:divsChild>
            </w:div>
            <w:div w:id="108014356">
              <w:marLeft w:val="0"/>
              <w:marRight w:val="0"/>
              <w:marTop w:val="0"/>
              <w:marBottom w:val="0"/>
              <w:divBdr>
                <w:top w:val="none" w:sz="0" w:space="0" w:color="auto"/>
                <w:left w:val="none" w:sz="0" w:space="0" w:color="auto"/>
                <w:bottom w:val="none" w:sz="0" w:space="0" w:color="auto"/>
                <w:right w:val="none" w:sz="0" w:space="0" w:color="auto"/>
              </w:divBdr>
              <w:divsChild>
                <w:div w:id="1019158964">
                  <w:marLeft w:val="0"/>
                  <w:marRight w:val="0"/>
                  <w:marTop w:val="0"/>
                  <w:marBottom w:val="0"/>
                  <w:divBdr>
                    <w:top w:val="none" w:sz="0" w:space="0" w:color="auto"/>
                    <w:left w:val="none" w:sz="0" w:space="0" w:color="auto"/>
                    <w:bottom w:val="none" w:sz="0" w:space="0" w:color="auto"/>
                    <w:right w:val="none" w:sz="0" w:space="0" w:color="auto"/>
                  </w:divBdr>
                </w:div>
              </w:divsChild>
            </w:div>
            <w:div w:id="108934046">
              <w:marLeft w:val="0"/>
              <w:marRight w:val="0"/>
              <w:marTop w:val="0"/>
              <w:marBottom w:val="0"/>
              <w:divBdr>
                <w:top w:val="none" w:sz="0" w:space="0" w:color="auto"/>
                <w:left w:val="none" w:sz="0" w:space="0" w:color="auto"/>
                <w:bottom w:val="none" w:sz="0" w:space="0" w:color="auto"/>
                <w:right w:val="none" w:sz="0" w:space="0" w:color="auto"/>
              </w:divBdr>
              <w:divsChild>
                <w:div w:id="561214275">
                  <w:marLeft w:val="0"/>
                  <w:marRight w:val="0"/>
                  <w:marTop w:val="0"/>
                  <w:marBottom w:val="0"/>
                  <w:divBdr>
                    <w:top w:val="none" w:sz="0" w:space="0" w:color="auto"/>
                    <w:left w:val="none" w:sz="0" w:space="0" w:color="auto"/>
                    <w:bottom w:val="none" w:sz="0" w:space="0" w:color="auto"/>
                    <w:right w:val="none" w:sz="0" w:space="0" w:color="auto"/>
                  </w:divBdr>
                </w:div>
              </w:divsChild>
            </w:div>
            <w:div w:id="112529534">
              <w:marLeft w:val="0"/>
              <w:marRight w:val="0"/>
              <w:marTop w:val="0"/>
              <w:marBottom w:val="0"/>
              <w:divBdr>
                <w:top w:val="none" w:sz="0" w:space="0" w:color="auto"/>
                <w:left w:val="none" w:sz="0" w:space="0" w:color="auto"/>
                <w:bottom w:val="none" w:sz="0" w:space="0" w:color="auto"/>
                <w:right w:val="none" w:sz="0" w:space="0" w:color="auto"/>
              </w:divBdr>
              <w:divsChild>
                <w:div w:id="1675184600">
                  <w:marLeft w:val="0"/>
                  <w:marRight w:val="0"/>
                  <w:marTop w:val="0"/>
                  <w:marBottom w:val="0"/>
                  <w:divBdr>
                    <w:top w:val="none" w:sz="0" w:space="0" w:color="auto"/>
                    <w:left w:val="none" w:sz="0" w:space="0" w:color="auto"/>
                    <w:bottom w:val="none" w:sz="0" w:space="0" w:color="auto"/>
                    <w:right w:val="none" w:sz="0" w:space="0" w:color="auto"/>
                  </w:divBdr>
                </w:div>
              </w:divsChild>
            </w:div>
            <w:div w:id="115224851">
              <w:marLeft w:val="0"/>
              <w:marRight w:val="0"/>
              <w:marTop w:val="0"/>
              <w:marBottom w:val="0"/>
              <w:divBdr>
                <w:top w:val="none" w:sz="0" w:space="0" w:color="auto"/>
                <w:left w:val="none" w:sz="0" w:space="0" w:color="auto"/>
                <w:bottom w:val="none" w:sz="0" w:space="0" w:color="auto"/>
                <w:right w:val="none" w:sz="0" w:space="0" w:color="auto"/>
              </w:divBdr>
              <w:divsChild>
                <w:div w:id="308091752">
                  <w:marLeft w:val="0"/>
                  <w:marRight w:val="0"/>
                  <w:marTop w:val="0"/>
                  <w:marBottom w:val="0"/>
                  <w:divBdr>
                    <w:top w:val="none" w:sz="0" w:space="0" w:color="auto"/>
                    <w:left w:val="none" w:sz="0" w:space="0" w:color="auto"/>
                    <w:bottom w:val="none" w:sz="0" w:space="0" w:color="auto"/>
                    <w:right w:val="none" w:sz="0" w:space="0" w:color="auto"/>
                  </w:divBdr>
                </w:div>
              </w:divsChild>
            </w:div>
            <w:div w:id="119303785">
              <w:marLeft w:val="0"/>
              <w:marRight w:val="0"/>
              <w:marTop w:val="300"/>
              <w:marBottom w:val="300"/>
              <w:divBdr>
                <w:top w:val="none" w:sz="0" w:space="0" w:color="auto"/>
                <w:left w:val="none" w:sz="0" w:space="0" w:color="auto"/>
                <w:bottom w:val="none" w:sz="0" w:space="0" w:color="auto"/>
                <w:right w:val="none" w:sz="0" w:space="0" w:color="auto"/>
              </w:divBdr>
            </w:div>
            <w:div w:id="119418787">
              <w:marLeft w:val="0"/>
              <w:marRight w:val="0"/>
              <w:marTop w:val="0"/>
              <w:marBottom w:val="0"/>
              <w:divBdr>
                <w:top w:val="none" w:sz="0" w:space="0" w:color="auto"/>
                <w:left w:val="none" w:sz="0" w:space="0" w:color="auto"/>
                <w:bottom w:val="none" w:sz="0" w:space="0" w:color="auto"/>
                <w:right w:val="none" w:sz="0" w:space="0" w:color="auto"/>
              </w:divBdr>
              <w:divsChild>
                <w:div w:id="1152330745">
                  <w:marLeft w:val="0"/>
                  <w:marRight w:val="0"/>
                  <w:marTop w:val="0"/>
                  <w:marBottom w:val="0"/>
                  <w:divBdr>
                    <w:top w:val="none" w:sz="0" w:space="0" w:color="auto"/>
                    <w:left w:val="none" w:sz="0" w:space="0" w:color="auto"/>
                    <w:bottom w:val="none" w:sz="0" w:space="0" w:color="auto"/>
                    <w:right w:val="none" w:sz="0" w:space="0" w:color="auto"/>
                  </w:divBdr>
                </w:div>
              </w:divsChild>
            </w:div>
            <w:div w:id="120732975">
              <w:marLeft w:val="0"/>
              <w:marRight w:val="0"/>
              <w:marTop w:val="0"/>
              <w:marBottom w:val="0"/>
              <w:divBdr>
                <w:top w:val="none" w:sz="0" w:space="0" w:color="auto"/>
                <w:left w:val="none" w:sz="0" w:space="0" w:color="auto"/>
                <w:bottom w:val="none" w:sz="0" w:space="0" w:color="auto"/>
                <w:right w:val="none" w:sz="0" w:space="0" w:color="auto"/>
              </w:divBdr>
              <w:divsChild>
                <w:div w:id="751781653">
                  <w:marLeft w:val="0"/>
                  <w:marRight w:val="0"/>
                  <w:marTop w:val="0"/>
                  <w:marBottom w:val="0"/>
                  <w:divBdr>
                    <w:top w:val="none" w:sz="0" w:space="0" w:color="auto"/>
                    <w:left w:val="none" w:sz="0" w:space="0" w:color="auto"/>
                    <w:bottom w:val="none" w:sz="0" w:space="0" w:color="auto"/>
                    <w:right w:val="none" w:sz="0" w:space="0" w:color="auto"/>
                  </w:divBdr>
                </w:div>
              </w:divsChild>
            </w:div>
            <w:div w:id="120854360">
              <w:marLeft w:val="0"/>
              <w:marRight w:val="0"/>
              <w:marTop w:val="0"/>
              <w:marBottom w:val="0"/>
              <w:divBdr>
                <w:top w:val="none" w:sz="0" w:space="0" w:color="auto"/>
                <w:left w:val="none" w:sz="0" w:space="0" w:color="auto"/>
                <w:bottom w:val="none" w:sz="0" w:space="0" w:color="auto"/>
                <w:right w:val="none" w:sz="0" w:space="0" w:color="auto"/>
              </w:divBdr>
              <w:divsChild>
                <w:div w:id="1199198304">
                  <w:marLeft w:val="0"/>
                  <w:marRight w:val="0"/>
                  <w:marTop w:val="0"/>
                  <w:marBottom w:val="0"/>
                  <w:divBdr>
                    <w:top w:val="none" w:sz="0" w:space="0" w:color="auto"/>
                    <w:left w:val="none" w:sz="0" w:space="0" w:color="auto"/>
                    <w:bottom w:val="none" w:sz="0" w:space="0" w:color="auto"/>
                    <w:right w:val="none" w:sz="0" w:space="0" w:color="auto"/>
                  </w:divBdr>
                </w:div>
              </w:divsChild>
            </w:div>
            <w:div w:id="121463200">
              <w:marLeft w:val="0"/>
              <w:marRight w:val="0"/>
              <w:marTop w:val="0"/>
              <w:marBottom w:val="0"/>
              <w:divBdr>
                <w:top w:val="none" w:sz="0" w:space="0" w:color="auto"/>
                <w:left w:val="none" w:sz="0" w:space="0" w:color="auto"/>
                <w:bottom w:val="none" w:sz="0" w:space="0" w:color="auto"/>
                <w:right w:val="none" w:sz="0" w:space="0" w:color="auto"/>
              </w:divBdr>
              <w:divsChild>
                <w:div w:id="901519585">
                  <w:marLeft w:val="0"/>
                  <w:marRight w:val="0"/>
                  <w:marTop w:val="0"/>
                  <w:marBottom w:val="0"/>
                  <w:divBdr>
                    <w:top w:val="none" w:sz="0" w:space="0" w:color="auto"/>
                    <w:left w:val="none" w:sz="0" w:space="0" w:color="auto"/>
                    <w:bottom w:val="none" w:sz="0" w:space="0" w:color="auto"/>
                    <w:right w:val="none" w:sz="0" w:space="0" w:color="auto"/>
                  </w:divBdr>
                </w:div>
              </w:divsChild>
            </w:div>
            <w:div w:id="121777805">
              <w:marLeft w:val="0"/>
              <w:marRight w:val="0"/>
              <w:marTop w:val="0"/>
              <w:marBottom w:val="0"/>
              <w:divBdr>
                <w:top w:val="none" w:sz="0" w:space="0" w:color="auto"/>
                <w:left w:val="none" w:sz="0" w:space="0" w:color="auto"/>
                <w:bottom w:val="none" w:sz="0" w:space="0" w:color="auto"/>
                <w:right w:val="none" w:sz="0" w:space="0" w:color="auto"/>
              </w:divBdr>
              <w:divsChild>
                <w:div w:id="751468319">
                  <w:marLeft w:val="0"/>
                  <w:marRight w:val="0"/>
                  <w:marTop w:val="0"/>
                  <w:marBottom w:val="0"/>
                  <w:divBdr>
                    <w:top w:val="none" w:sz="0" w:space="0" w:color="auto"/>
                    <w:left w:val="none" w:sz="0" w:space="0" w:color="auto"/>
                    <w:bottom w:val="none" w:sz="0" w:space="0" w:color="auto"/>
                    <w:right w:val="none" w:sz="0" w:space="0" w:color="auto"/>
                  </w:divBdr>
                </w:div>
              </w:divsChild>
            </w:div>
            <w:div w:id="121995154">
              <w:marLeft w:val="0"/>
              <w:marRight w:val="0"/>
              <w:marTop w:val="300"/>
              <w:marBottom w:val="300"/>
              <w:divBdr>
                <w:top w:val="none" w:sz="0" w:space="0" w:color="auto"/>
                <w:left w:val="none" w:sz="0" w:space="0" w:color="auto"/>
                <w:bottom w:val="none" w:sz="0" w:space="0" w:color="auto"/>
                <w:right w:val="none" w:sz="0" w:space="0" w:color="auto"/>
              </w:divBdr>
            </w:div>
            <w:div w:id="122039674">
              <w:marLeft w:val="0"/>
              <w:marRight w:val="0"/>
              <w:marTop w:val="0"/>
              <w:marBottom w:val="0"/>
              <w:divBdr>
                <w:top w:val="none" w:sz="0" w:space="0" w:color="auto"/>
                <w:left w:val="none" w:sz="0" w:space="0" w:color="auto"/>
                <w:bottom w:val="none" w:sz="0" w:space="0" w:color="auto"/>
                <w:right w:val="none" w:sz="0" w:space="0" w:color="auto"/>
              </w:divBdr>
              <w:divsChild>
                <w:div w:id="971448322">
                  <w:marLeft w:val="0"/>
                  <w:marRight w:val="0"/>
                  <w:marTop w:val="0"/>
                  <w:marBottom w:val="0"/>
                  <w:divBdr>
                    <w:top w:val="none" w:sz="0" w:space="0" w:color="auto"/>
                    <w:left w:val="none" w:sz="0" w:space="0" w:color="auto"/>
                    <w:bottom w:val="none" w:sz="0" w:space="0" w:color="auto"/>
                    <w:right w:val="none" w:sz="0" w:space="0" w:color="auto"/>
                  </w:divBdr>
                </w:div>
              </w:divsChild>
            </w:div>
            <w:div w:id="125123866">
              <w:marLeft w:val="0"/>
              <w:marRight w:val="0"/>
              <w:marTop w:val="0"/>
              <w:marBottom w:val="0"/>
              <w:divBdr>
                <w:top w:val="none" w:sz="0" w:space="0" w:color="auto"/>
                <w:left w:val="none" w:sz="0" w:space="0" w:color="auto"/>
                <w:bottom w:val="none" w:sz="0" w:space="0" w:color="auto"/>
                <w:right w:val="none" w:sz="0" w:space="0" w:color="auto"/>
              </w:divBdr>
              <w:divsChild>
                <w:div w:id="367996501">
                  <w:marLeft w:val="0"/>
                  <w:marRight w:val="0"/>
                  <w:marTop w:val="0"/>
                  <w:marBottom w:val="0"/>
                  <w:divBdr>
                    <w:top w:val="none" w:sz="0" w:space="0" w:color="auto"/>
                    <w:left w:val="none" w:sz="0" w:space="0" w:color="auto"/>
                    <w:bottom w:val="none" w:sz="0" w:space="0" w:color="auto"/>
                    <w:right w:val="none" w:sz="0" w:space="0" w:color="auto"/>
                  </w:divBdr>
                </w:div>
              </w:divsChild>
            </w:div>
            <w:div w:id="126171167">
              <w:marLeft w:val="0"/>
              <w:marRight w:val="0"/>
              <w:marTop w:val="300"/>
              <w:marBottom w:val="300"/>
              <w:divBdr>
                <w:top w:val="none" w:sz="0" w:space="0" w:color="auto"/>
                <w:left w:val="none" w:sz="0" w:space="0" w:color="auto"/>
                <w:bottom w:val="none" w:sz="0" w:space="0" w:color="auto"/>
                <w:right w:val="none" w:sz="0" w:space="0" w:color="auto"/>
              </w:divBdr>
            </w:div>
            <w:div w:id="126779261">
              <w:marLeft w:val="0"/>
              <w:marRight w:val="0"/>
              <w:marTop w:val="0"/>
              <w:marBottom w:val="0"/>
              <w:divBdr>
                <w:top w:val="none" w:sz="0" w:space="0" w:color="auto"/>
                <w:left w:val="none" w:sz="0" w:space="0" w:color="auto"/>
                <w:bottom w:val="none" w:sz="0" w:space="0" w:color="auto"/>
                <w:right w:val="none" w:sz="0" w:space="0" w:color="auto"/>
              </w:divBdr>
              <w:divsChild>
                <w:div w:id="285704007">
                  <w:marLeft w:val="0"/>
                  <w:marRight w:val="0"/>
                  <w:marTop w:val="0"/>
                  <w:marBottom w:val="0"/>
                  <w:divBdr>
                    <w:top w:val="none" w:sz="0" w:space="0" w:color="auto"/>
                    <w:left w:val="none" w:sz="0" w:space="0" w:color="auto"/>
                    <w:bottom w:val="none" w:sz="0" w:space="0" w:color="auto"/>
                    <w:right w:val="none" w:sz="0" w:space="0" w:color="auto"/>
                  </w:divBdr>
                </w:div>
              </w:divsChild>
            </w:div>
            <w:div w:id="128397782">
              <w:marLeft w:val="0"/>
              <w:marRight w:val="0"/>
              <w:marTop w:val="0"/>
              <w:marBottom w:val="0"/>
              <w:divBdr>
                <w:top w:val="none" w:sz="0" w:space="0" w:color="auto"/>
                <w:left w:val="none" w:sz="0" w:space="0" w:color="auto"/>
                <w:bottom w:val="none" w:sz="0" w:space="0" w:color="auto"/>
                <w:right w:val="none" w:sz="0" w:space="0" w:color="auto"/>
              </w:divBdr>
              <w:divsChild>
                <w:div w:id="1014383614">
                  <w:marLeft w:val="0"/>
                  <w:marRight w:val="0"/>
                  <w:marTop w:val="0"/>
                  <w:marBottom w:val="0"/>
                  <w:divBdr>
                    <w:top w:val="none" w:sz="0" w:space="0" w:color="auto"/>
                    <w:left w:val="none" w:sz="0" w:space="0" w:color="auto"/>
                    <w:bottom w:val="none" w:sz="0" w:space="0" w:color="auto"/>
                    <w:right w:val="none" w:sz="0" w:space="0" w:color="auto"/>
                  </w:divBdr>
                </w:div>
              </w:divsChild>
            </w:div>
            <w:div w:id="129447561">
              <w:marLeft w:val="0"/>
              <w:marRight w:val="0"/>
              <w:marTop w:val="0"/>
              <w:marBottom w:val="0"/>
              <w:divBdr>
                <w:top w:val="none" w:sz="0" w:space="0" w:color="auto"/>
                <w:left w:val="none" w:sz="0" w:space="0" w:color="auto"/>
                <w:bottom w:val="none" w:sz="0" w:space="0" w:color="auto"/>
                <w:right w:val="none" w:sz="0" w:space="0" w:color="auto"/>
              </w:divBdr>
              <w:divsChild>
                <w:div w:id="507524617">
                  <w:marLeft w:val="0"/>
                  <w:marRight w:val="0"/>
                  <w:marTop w:val="0"/>
                  <w:marBottom w:val="0"/>
                  <w:divBdr>
                    <w:top w:val="none" w:sz="0" w:space="0" w:color="auto"/>
                    <w:left w:val="none" w:sz="0" w:space="0" w:color="auto"/>
                    <w:bottom w:val="none" w:sz="0" w:space="0" w:color="auto"/>
                    <w:right w:val="none" w:sz="0" w:space="0" w:color="auto"/>
                  </w:divBdr>
                </w:div>
              </w:divsChild>
            </w:div>
            <w:div w:id="129516615">
              <w:marLeft w:val="0"/>
              <w:marRight w:val="0"/>
              <w:marTop w:val="300"/>
              <w:marBottom w:val="300"/>
              <w:divBdr>
                <w:top w:val="none" w:sz="0" w:space="0" w:color="auto"/>
                <w:left w:val="none" w:sz="0" w:space="0" w:color="auto"/>
                <w:bottom w:val="none" w:sz="0" w:space="0" w:color="auto"/>
                <w:right w:val="none" w:sz="0" w:space="0" w:color="auto"/>
              </w:divBdr>
            </w:div>
            <w:div w:id="130488693">
              <w:marLeft w:val="0"/>
              <w:marRight w:val="0"/>
              <w:marTop w:val="0"/>
              <w:marBottom w:val="0"/>
              <w:divBdr>
                <w:top w:val="none" w:sz="0" w:space="0" w:color="auto"/>
                <w:left w:val="none" w:sz="0" w:space="0" w:color="auto"/>
                <w:bottom w:val="none" w:sz="0" w:space="0" w:color="auto"/>
                <w:right w:val="none" w:sz="0" w:space="0" w:color="auto"/>
              </w:divBdr>
              <w:divsChild>
                <w:div w:id="1861316809">
                  <w:marLeft w:val="0"/>
                  <w:marRight w:val="0"/>
                  <w:marTop w:val="0"/>
                  <w:marBottom w:val="0"/>
                  <w:divBdr>
                    <w:top w:val="none" w:sz="0" w:space="0" w:color="auto"/>
                    <w:left w:val="none" w:sz="0" w:space="0" w:color="auto"/>
                    <w:bottom w:val="none" w:sz="0" w:space="0" w:color="auto"/>
                    <w:right w:val="none" w:sz="0" w:space="0" w:color="auto"/>
                  </w:divBdr>
                </w:div>
              </w:divsChild>
            </w:div>
            <w:div w:id="133181027">
              <w:marLeft w:val="0"/>
              <w:marRight w:val="0"/>
              <w:marTop w:val="300"/>
              <w:marBottom w:val="300"/>
              <w:divBdr>
                <w:top w:val="none" w:sz="0" w:space="0" w:color="auto"/>
                <w:left w:val="none" w:sz="0" w:space="0" w:color="auto"/>
                <w:bottom w:val="none" w:sz="0" w:space="0" w:color="auto"/>
                <w:right w:val="none" w:sz="0" w:space="0" w:color="auto"/>
              </w:divBdr>
            </w:div>
            <w:div w:id="134420678">
              <w:marLeft w:val="0"/>
              <w:marRight w:val="0"/>
              <w:marTop w:val="0"/>
              <w:marBottom w:val="0"/>
              <w:divBdr>
                <w:top w:val="none" w:sz="0" w:space="0" w:color="auto"/>
                <w:left w:val="none" w:sz="0" w:space="0" w:color="auto"/>
                <w:bottom w:val="none" w:sz="0" w:space="0" w:color="auto"/>
                <w:right w:val="none" w:sz="0" w:space="0" w:color="auto"/>
              </w:divBdr>
              <w:divsChild>
                <w:div w:id="888225686">
                  <w:marLeft w:val="0"/>
                  <w:marRight w:val="0"/>
                  <w:marTop w:val="0"/>
                  <w:marBottom w:val="0"/>
                  <w:divBdr>
                    <w:top w:val="none" w:sz="0" w:space="0" w:color="auto"/>
                    <w:left w:val="none" w:sz="0" w:space="0" w:color="auto"/>
                    <w:bottom w:val="none" w:sz="0" w:space="0" w:color="auto"/>
                    <w:right w:val="none" w:sz="0" w:space="0" w:color="auto"/>
                  </w:divBdr>
                </w:div>
              </w:divsChild>
            </w:div>
            <w:div w:id="135998696">
              <w:marLeft w:val="0"/>
              <w:marRight w:val="0"/>
              <w:marTop w:val="300"/>
              <w:marBottom w:val="300"/>
              <w:divBdr>
                <w:top w:val="none" w:sz="0" w:space="0" w:color="auto"/>
                <w:left w:val="none" w:sz="0" w:space="0" w:color="auto"/>
                <w:bottom w:val="none" w:sz="0" w:space="0" w:color="auto"/>
                <w:right w:val="none" w:sz="0" w:space="0" w:color="auto"/>
              </w:divBdr>
            </w:div>
            <w:div w:id="136342645">
              <w:marLeft w:val="0"/>
              <w:marRight w:val="0"/>
              <w:marTop w:val="0"/>
              <w:marBottom w:val="0"/>
              <w:divBdr>
                <w:top w:val="none" w:sz="0" w:space="0" w:color="auto"/>
                <w:left w:val="none" w:sz="0" w:space="0" w:color="auto"/>
                <w:bottom w:val="none" w:sz="0" w:space="0" w:color="auto"/>
                <w:right w:val="none" w:sz="0" w:space="0" w:color="auto"/>
              </w:divBdr>
              <w:divsChild>
                <w:div w:id="1971937210">
                  <w:marLeft w:val="0"/>
                  <w:marRight w:val="0"/>
                  <w:marTop w:val="0"/>
                  <w:marBottom w:val="0"/>
                  <w:divBdr>
                    <w:top w:val="none" w:sz="0" w:space="0" w:color="auto"/>
                    <w:left w:val="none" w:sz="0" w:space="0" w:color="auto"/>
                    <w:bottom w:val="none" w:sz="0" w:space="0" w:color="auto"/>
                    <w:right w:val="none" w:sz="0" w:space="0" w:color="auto"/>
                  </w:divBdr>
                </w:div>
              </w:divsChild>
            </w:div>
            <w:div w:id="142086921">
              <w:marLeft w:val="0"/>
              <w:marRight w:val="0"/>
              <w:marTop w:val="0"/>
              <w:marBottom w:val="0"/>
              <w:divBdr>
                <w:top w:val="none" w:sz="0" w:space="0" w:color="auto"/>
                <w:left w:val="none" w:sz="0" w:space="0" w:color="auto"/>
                <w:bottom w:val="none" w:sz="0" w:space="0" w:color="auto"/>
                <w:right w:val="none" w:sz="0" w:space="0" w:color="auto"/>
              </w:divBdr>
              <w:divsChild>
                <w:div w:id="465781558">
                  <w:marLeft w:val="0"/>
                  <w:marRight w:val="0"/>
                  <w:marTop w:val="0"/>
                  <w:marBottom w:val="0"/>
                  <w:divBdr>
                    <w:top w:val="none" w:sz="0" w:space="0" w:color="auto"/>
                    <w:left w:val="none" w:sz="0" w:space="0" w:color="auto"/>
                    <w:bottom w:val="none" w:sz="0" w:space="0" w:color="auto"/>
                    <w:right w:val="none" w:sz="0" w:space="0" w:color="auto"/>
                  </w:divBdr>
                </w:div>
              </w:divsChild>
            </w:div>
            <w:div w:id="143008361">
              <w:marLeft w:val="0"/>
              <w:marRight w:val="0"/>
              <w:marTop w:val="0"/>
              <w:marBottom w:val="0"/>
              <w:divBdr>
                <w:top w:val="none" w:sz="0" w:space="0" w:color="auto"/>
                <w:left w:val="none" w:sz="0" w:space="0" w:color="auto"/>
                <w:bottom w:val="none" w:sz="0" w:space="0" w:color="auto"/>
                <w:right w:val="none" w:sz="0" w:space="0" w:color="auto"/>
              </w:divBdr>
              <w:divsChild>
                <w:div w:id="1488284516">
                  <w:marLeft w:val="0"/>
                  <w:marRight w:val="0"/>
                  <w:marTop w:val="0"/>
                  <w:marBottom w:val="0"/>
                  <w:divBdr>
                    <w:top w:val="none" w:sz="0" w:space="0" w:color="auto"/>
                    <w:left w:val="none" w:sz="0" w:space="0" w:color="auto"/>
                    <w:bottom w:val="none" w:sz="0" w:space="0" w:color="auto"/>
                    <w:right w:val="none" w:sz="0" w:space="0" w:color="auto"/>
                  </w:divBdr>
                </w:div>
              </w:divsChild>
            </w:div>
            <w:div w:id="144013810">
              <w:marLeft w:val="0"/>
              <w:marRight w:val="0"/>
              <w:marTop w:val="0"/>
              <w:marBottom w:val="0"/>
              <w:divBdr>
                <w:top w:val="none" w:sz="0" w:space="0" w:color="auto"/>
                <w:left w:val="none" w:sz="0" w:space="0" w:color="auto"/>
                <w:bottom w:val="none" w:sz="0" w:space="0" w:color="auto"/>
                <w:right w:val="none" w:sz="0" w:space="0" w:color="auto"/>
              </w:divBdr>
              <w:divsChild>
                <w:div w:id="876699551">
                  <w:marLeft w:val="0"/>
                  <w:marRight w:val="0"/>
                  <w:marTop w:val="0"/>
                  <w:marBottom w:val="0"/>
                  <w:divBdr>
                    <w:top w:val="none" w:sz="0" w:space="0" w:color="auto"/>
                    <w:left w:val="none" w:sz="0" w:space="0" w:color="auto"/>
                    <w:bottom w:val="none" w:sz="0" w:space="0" w:color="auto"/>
                    <w:right w:val="none" w:sz="0" w:space="0" w:color="auto"/>
                  </w:divBdr>
                </w:div>
              </w:divsChild>
            </w:div>
            <w:div w:id="144711761">
              <w:marLeft w:val="0"/>
              <w:marRight w:val="0"/>
              <w:marTop w:val="0"/>
              <w:marBottom w:val="0"/>
              <w:divBdr>
                <w:top w:val="none" w:sz="0" w:space="0" w:color="auto"/>
                <w:left w:val="none" w:sz="0" w:space="0" w:color="auto"/>
                <w:bottom w:val="none" w:sz="0" w:space="0" w:color="auto"/>
                <w:right w:val="none" w:sz="0" w:space="0" w:color="auto"/>
              </w:divBdr>
              <w:divsChild>
                <w:div w:id="1857690699">
                  <w:marLeft w:val="0"/>
                  <w:marRight w:val="0"/>
                  <w:marTop w:val="0"/>
                  <w:marBottom w:val="0"/>
                  <w:divBdr>
                    <w:top w:val="none" w:sz="0" w:space="0" w:color="auto"/>
                    <w:left w:val="none" w:sz="0" w:space="0" w:color="auto"/>
                    <w:bottom w:val="none" w:sz="0" w:space="0" w:color="auto"/>
                    <w:right w:val="none" w:sz="0" w:space="0" w:color="auto"/>
                  </w:divBdr>
                </w:div>
              </w:divsChild>
            </w:div>
            <w:div w:id="147137006">
              <w:marLeft w:val="0"/>
              <w:marRight w:val="0"/>
              <w:marTop w:val="0"/>
              <w:marBottom w:val="0"/>
              <w:divBdr>
                <w:top w:val="none" w:sz="0" w:space="0" w:color="auto"/>
                <w:left w:val="none" w:sz="0" w:space="0" w:color="auto"/>
                <w:bottom w:val="none" w:sz="0" w:space="0" w:color="auto"/>
                <w:right w:val="none" w:sz="0" w:space="0" w:color="auto"/>
              </w:divBdr>
              <w:divsChild>
                <w:div w:id="708066191">
                  <w:marLeft w:val="0"/>
                  <w:marRight w:val="0"/>
                  <w:marTop w:val="0"/>
                  <w:marBottom w:val="0"/>
                  <w:divBdr>
                    <w:top w:val="none" w:sz="0" w:space="0" w:color="auto"/>
                    <w:left w:val="none" w:sz="0" w:space="0" w:color="auto"/>
                    <w:bottom w:val="none" w:sz="0" w:space="0" w:color="auto"/>
                    <w:right w:val="none" w:sz="0" w:space="0" w:color="auto"/>
                  </w:divBdr>
                </w:div>
              </w:divsChild>
            </w:div>
            <w:div w:id="149710459">
              <w:marLeft w:val="0"/>
              <w:marRight w:val="0"/>
              <w:marTop w:val="0"/>
              <w:marBottom w:val="0"/>
              <w:divBdr>
                <w:top w:val="none" w:sz="0" w:space="0" w:color="auto"/>
                <w:left w:val="none" w:sz="0" w:space="0" w:color="auto"/>
                <w:bottom w:val="none" w:sz="0" w:space="0" w:color="auto"/>
                <w:right w:val="none" w:sz="0" w:space="0" w:color="auto"/>
              </w:divBdr>
              <w:divsChild>
                <w:div w:id="1693416560">
                  <w:marLeft w:val="0"/>
                  <w:marRight w:val="0"/>
                  <w:marTop w:val="0"/>
                  <w:marBottom w:val="0"/>
                  <w:divBdr>
                    <w:top w:val="none" w:sz="0" w:space="0" w:color="auto"/>
                    <w:left w:val="none" w:sz="0" w:space="0" w:color="auto"/>
                    <w:bottom w:val="none" w:sz="0" w:space="0" w:color="auto"/>
                    <w:right w:val="none" w:sz="0" w:space="0" w:color="auto"/>
                  </w:divBdr>
                </w:div>
              </w:divsChild>
            </w:div>
            <w:div w:id="154107713">
              <w:marLeft w:val="0"/>
              <w:marRight w:val="0"/>
              <w:marTop w:val="0"/>
              <w:marBottom w:val="0"/>
              <w:divBdr>
                <w:top w:val="none" w:sz="0" w:space="0" w:color="auto"/>
                <w:left w:val="none" w:sz="0" w:space="0" w:color="auto"/>
                <w:bottom w:val="none" w:sz="0" w:space="0" w:color="auto"/>
                <w:right w:val="none" w:sz="0" w:space="0" w:color="auto"/>
              </w:divBdr>
              <w:divsChild>
                <w:div w:id="79525156">
                  <w:marLeft w:val="0"/>
                  <w:marRight w:val="0"/>
                  <w:marTop w:val="0"/>
                  <w:marBottom w:val="0"/>
                  <w:divBdr>
                    <w:top w:val="none" w:sz="0" w:space="0" w:color="auto"/>
                    <w:left w:val="none" w:sz="0" w:space="0" w:color="auto"/>
                    <w:bottom w:val="none" w:sz="0" w:space="0" w:color="auto"/>
                    <w:right w:val="none" w:sz="0" w:space="0" w:color="auto"/>
                  </w:divBdr>
                </w:div>
              </w:divsChild>
            </w:div>
            <w:div w:id="154154547">
              <w:marLeft w:val="0"/>
              <w:marRight w:val="0"/>
              <w:marTop w:val="0"/>
              <w:marBottom w:val="0"/>
              <w:divBdr>
                <w:top w:val="none" w:sz="0" w:space="0" w:color="auto"/>
                <w:left w:val="none" w:sz="0" w:space="0" w:color="auto"/>
                <w:bottom w:val="none" w:sz="0" w:space="0" w:color="auto"/>
                <w:right w:val="none" w:sz="0" w:space="0" w:color="auto"/>
              </w:divBdr>
              <w:divsChild>
                <w:div w:id="2118476620">
                  <w:marLeft w:val="0"/>
                  <w:marRight w:val="0"/>
                  <w:marTop w:val="0"/>
                  <w:marBottom w:val="0"/>
                  <w:divBdr>
                    <w:top w:val="none" w:sz="0" w:space="0" w:color="auto"/>
                    <w:left w:val="none" w:sz="0" w:space="0" w:color="auto"/>
                    <w:bottom w:val="none" w:sz="0" w:space="0" w:color="auto"/>
                    <w:right w:val="none" w:sz="0" w:space="0" w:color="auto"/>
                  </w:divBdr>
                </w:div>
              </w:divsChild>
            </w:div>
            <w:div w:id="154758654">
              <w:marLeft w:val="0"/>
              <w:marRight w:val="0"/>
              <w:marTop w:val="0"/>
              <w:marBottom w:val="0"/>
              <w:divBdr>
                <w:top w:val="none" w:sz="0" w:space="0" w:color="auto"/>
                <w:left w:val="none" w:sz="0" w:space="0" w:color="auto"/>
                <w:bottom w:val="none" w:sz="0" w:space="0" w:color="auto"/>
                <w:right w:val="none" w:sz="0" w:space="0" w:color="auto"/>
              </w:divBdr>
              <w:divsChild>
                <w:div w:id="1118528699">
                  <w:marLeft w:val="0"/>
                  <w:marRight w:val="0"/>
                  <w:marTop w:val="0"/>
                  <w:marBottom w:val="0"/>
                  <w:divBdr>
                    <w:top w:val="none" w:sz="0" w:space="0" w:color="auto"/>
                    <w:left w:val="none" w:sz="0" w:space="0" w:color="auto"/>
                    <w:bottom w:val="none" w:sz="0" w:space="0" w:color="auto"/>
                    <w:right w:val="none" w:sz="0" w:space="0" w:color="auto"/>
                  </w:divBdr>
                </w:div>
              </w:divsChild>
            </w:div>
            <w:div w:id="156314048">
              <w:marLeft w:val="0"/>
              <w:marRight w:val="0"/>
              <w:marTop w:val="0"/>
              <w:marBottom w:val="0"/>
              <w:divBdr>
                <w:top w:val="none" w:sz="0" w:space="0" w:color="auto"/>
                <w:left w:val="none" w:sz="0" w:space="0" w:color="auto"/>
                <w:bottom w:val="none" w:sz="0" w:space="0" w:color="auto"/>
                <w:right w:val="none" w:sz="0" w:space="0" w:color="auto"/>
              </w:divBdr>
              <w:divsChild>
                <w:div w:id="1045569925">
                  <w:marLeft w:val="0"/>
                  <w:marRight w:val="0"/>
                  <w:marTop w:val="0"/>
                  <w:marBottom w:val="0"/>
                  <w:divBdr>
                    <w:top w:val="none" w:sz="0" w:space="0" w:color="auto"/>
                    <w:left w:val="none" w:sz="0" w:space="0" w:color="auto"/>
                    <w:bottom w:val="none" w:sz="0" w:space="0" w:color="auto"/>
                    <w:right w:val="none" w:sz="0" w:space="0" w:color="auto"/>
                  </w:divBdr>
                </w:div>
              </w:divsChild>
            </w:div>
            <w:div w:id="157162344">
              <w:marLeft w:val="0"/>
              <w:marRight w:val="0"/>
              <w:marTop w:val="0"/>
              <w:marBottom w:val="0"/>
              <w:divBdr>
                <w:top w:val="none" w:sz="0" w:space="0" w:color="auto"/>
                <w:left w:val="none" w:sz="0" w:space="0" w:color="auto"/>
                <w:bottom w:val="none" w:sz="0" w:space="0" w:color="auto"/>
                <w:right w:val="none" w:sz="0" w:space="0" w:color="auto"/>
              </w:divBdr>
              <w:divsChild>
                <w:div w:id="779298872">
                  <w:marLeft w:val="0"/>
                  <w:marRight w:val="0"/>
                  <w:marTop w:val="0"/>
                  <w:marBottom w:val="0"/>
                  <w:divBdr>
                    <w:top w:val="none" w:sz="0" w:space="0" w:color="auto"/>
                    <w:left w:val="none" w:sz="0" w:space="0" w:color="auto"/>
                    <w:bottom w:val="none" w:sz="0" w:space="0" w:color="auto"/>
                    <w:right w:val="none" w:sz="0" w:space="0" w:color="auto"/>
                  </w:divBdr>
                </w:div>
              </w:divsChild>
            </w:div>
            <w:div w:id="162284753">
              <w:marLeft w:val="0"/>
              <w:marRight w:val="0"/>
              <w:marTop w:val="0"/>
              <w:marBottom w:val="0"/>
              <w:divBdr>
                <w:top w:val="none" w:sz="0" w:space="0" w:color="auto"/>
                <w:left w:val="none" w:sz="0" w:space="0" w:color="auto"/>
                <w:bottom w:val="none" w:sz="0" w:space="0" w:color="auto"/>
                <w:right w:val="none" w:sz="0" w:space="0" w:color="auto"/>
              </w:divBdr>
              <w:divsChild>
                <w:div w:id="1745058975">
                  <w:marLeft w:val="0"/>
                  <w:marRight w:val="0"/>
                  <w:marTop w:val="0"/>
                  <w:marBottom w:val="0"/>
                  <w:divBdr>
                    <w:top w:val="none" w:sz="0" w:space="0" w:color="auto"/>
                    <w:left w:val="none" w:sz="0" w:space="0" w:color="auto"/>
                    <w:bottom w:val="none" w:sz="0" w:space="0" w:color="auto"/>
                    <w:right w:val="none" w:sz="0" w:space="0" w:color="auto"/>
                  </w:divBdr>
                </w:div>
              </w:divsChild>
            </w:div>
            <w:div w:id="164245427">
              <w:marLeft w:val="0"/>
              <w:marRight w:val="0"/>
              <w:marTop w:val="300"/>
              <w:marBottom w:val="300"/>
              <w:divBdr>
                <w:top w:val="none" w:sz="0" w:space="0" w:color="auto"/>
                <w:left w:val="none" w:sz="0" w:space="0" w:color="auto"/>
                <w:bottom w:val="none" w:sz="0" w:space="0" w:color="auto"/>
                <w:right w:val="none" w:sz="0" w:space="0" w:color="auto"/>
              </w:divBdr>
            </w:div>
            <w:div w:id="164319277">
              <w:marLeft w:val="0"/>
              <w:marRight w:val="0"/>
              <w:marTop w:val="0"/>
              <w:marBottom w:val="0"/>
              <w:divBdr>
                <w:top w:val="none" w:sz="0" w:space="0" w:color="auto"/>
                <w:left w:val="none" w:sz="0" w:space="0" w:color="auto"/>
                <w:bottom w:val="none" w:sz="0" w:space="0" w:color="auto"/>
                <w:right w:val="none" w:sz="0" w:space="0" w:color="auto"/>
              </w:divBdr>
              <w:divsChild>
                <w:div w:id="476455578">
                  <w:marLeft w:val="0"/>
                  <w:marRight w:val="0"/>
                  <w:marTop w:val="0"/>
                  <w:marBottom w:val="0"/>
                  <w:divBdr>
                    <w:top w:val="none" w:sz="0" w:space="0" w:color="auto"/>
                    <w:left w:val="none" w:sz="0" w:space="0" w:color="auto"/>
                    <w:bottom w:val="none" w:sz="0" w:space="0" w:color="auto"/>
                    <w:right w:val="none" w:sz="0" w:space="0" w:color="auto"/>
                  </w:divBdr>
                </w:div>
              </w:divsChild>
            </w:div>
            <w:div w:id="164369620">
              <w:marLeft w:val="0"/>
              <w:marRight w:val="0"/>
              <w:marTop w:val="0"/>
              <w:marBottom w:val="0"/>
              <w:divBdr>
                <w:top w:val="none" w:sz="0" w:space="0" w:color="auto"/>
                <w:left w:val="none" w:sz="0" w:space="0" w:color="auto"/>
                <w:bottom w:val="none" w:sz="0" w:space="0" w:color="auto"/>
                <w:right w:val="none" w:sz="0" w:space="0" w:color="auto"/>
              </w:divBdr>
              <w:divsChild>
                <w:div w:id="488979460">
                  <w:marLeft w:val="0"/>
                  <w:marRight w:val="0"/>
                  <w:marTop w:val="0"/>
                  <w:marBottom w:val="0"/>
                  <w:divBdr>
                    <w:top w:val="none" w:sz="0" w:space="0" w:color="auto"/>
                    <w:left w:val="none" w:sz="0" w:space="0" w:color="auto"/>
                    <w:bottom w:val="none" w:sz="0" w:space="0" w:color="auto"/>
                    <w:right w:val="none" w:sz="0" w:space="0" w:color="auto"/>
                  </w:divBdr>
                </w:div>
              </w:divsChild>
            </w:div>
            <w:div w:id="165678190">
              <w:marLeft w:val="0"/>
              <w:marRight w:val="0"/>
              <w:marTop w:val="0"/>
              <w:marBottom w:val="0"/>
              <w:divBdr>
                <w:top w:val="none" w:sz="0" w:space="0" w:color="auto"/>
                <w:left w:val="none" w:sz="0" w:space="0" w:color="auto"/>
                <w:bottom w:val="none" w:sz="0" w:space="0" w:color="auto"/>
                <w:right w:val="none" w:sz="0" w:space="0" w:color="auto"/>
              </w:divBdr>
              <w:divsChild>
                <w:div w:id="727922252">
                  <w:marLeft w:val="0"/>
                  <w:marRight w:val="0"/>
                  <w:marTop w:val="0"/>
                  <w:marBottom w:val="0"/>
                  <w:divBdr>
                    <w:top w:val="none" w:sz="0" w:space="0" w:color="auto"/>
                    <w:left w:val="none" w:sz="0" w:space="0" w:color="auto"/>
                    <w:bottom w:val="none" w:sz="0" w:space="0" w:color="auto"/>
                    <w:right w:val="none" w:sz="0" w:space="0" w:color="auto"/>
                  </w:divBdr>
                </w:div>
              </w:divsChild>
            </w:div>
            <w:div w:id="166599012">
              <w:marLeft w:val="0"/>
              <w:marRight w:val="0"/>
              <w:marTop w:val="0"/>
              <w:marBottom w:val="0"/>
              <w:divBdr>
                <w:top w:val="none" w:sz="0" w:space="0" w:color="auto"/>
                <w:left w:val="none" w:sz="0" w:space="0" w:color="auto"/>
                <w:bottom w:val="none" w:sz="0" w:space="0" w:color="auto"/>
                <w:right w:val="none" w:sz="0" w:space="0" w:color="auto"/>
              </w:divBdr>
              <w:divsChild>
                <w:div w:id="326520064">
                  <w:marLeft w:val="0"/>
                  <w:marRight w:val="0"/>
                  <w:marTop w:val="0"/>
                  <w:marBottom w:val="0"/>
                  <w:divBdr>
                    <w:top w:val="none" w:sz="0" w:space="0" w:color="auto"/>
                    <w:left w:val="none" w:sz="0" w:space="0" w:color="auto"/>
                    <w:bottom w:val="none" w:sz="0" w:space="0" w:color="auto"/>
                    <w:right w:val="none" w:sz="0" w:space="0" w:color="auto"/>
                  </w:divBdr>
                </w:div>
              </w:divsChild>
            </w:div>
            <w:div w:id="166753969">
              <w:marLeft w:val="0"/>
              <w:marRight w:val="0"/>
              <w:marTop w:val="0"/>
              <w:marBottom w:val="0"/>
              <w:divBdr>
                <w:top w:val="none" w:sz="0" w:space="0" w:color="auto"/>
                <w:left w:val="none" w:sz="0" w:space="0" w:color="auto"/>
                <w:bottom w:val="none" w:sz="0" w:space="0" w:color="auto"/>
                <w:right w:val="none" w:sz="0" w:space="0" w:color="auto"/>
              </w:divBdr>
              <w:divsChild>
                <w:div w:id="1193574339">
                  <w:marLeft w:val="0"/>
                  <w:marRight w:val="0"/>
                  <w:marTop w:val="0"/>
                  <w:marBottom w:val="0"/>
                  <w:divBdr>
                    <w:top w:val="none" w:sz="0" w:space="0" w:color="auto"/>
                    <w:left w:val="none" w:sz="0" w:space="0" w:color="auto"/>
                    <w:bottom w:val="none" w:sz="0" w:space="0" w:color="auto"/>
                    <w:right w:val="none" w:sz="0" w:space="0" w:color="auto"/>
                  </w:divBdr>
                </w:div>
              </w:divsChild>
            </w:div>
            <w:div w:id="168755700">
              <w:marLeft w:val="0"/>
              <w:marRight w:val="0"/>
              <w:marTop w:val="0"/>
              <w:marBottom w:val="0"/>
              <w:divBdr>
                <w:top w:val="none" w:sz="0" w:space="0" w:color="auto"/>
                <w:left w:val="none" w:sz="0" w:space="0" w:color="auto"/>
                <w:bottom w:val="none" w:sz="0" w:space="0" w:color="auto"/>
                <w:right w:val="none" w:sz="0" w:space="0" w:color="auto"/>
              </w:divBdr>
              <w:divsChild>
                <w:div w:id="1220897693">
                  <w:marLeft w:val="0"/>
                  <w:marRight w:val="0"/>
                  <w:marTop w:val="0"/>
                  <w:marBottom w:val="0"/>
                  <w:divBdr>
                    <w:top w:val="none" w:sz="0" w:space="0" w:color="auto"/>
                    <w:left w:val="none" w:sz="0" w:space="0" w:color="auto"/>
                    <w:bottom w:val="none" w:sz="0" w:space="0" w:color="auto"/>
                    <w:right w:val="none" w:sz="0" w:space="0" w:color="auto"/>
                  </w:divBdr>
                </w:div>
              </w:divsChild>
            </w:div>
            <w:div w:id="171604265">
              <w:marLeft w:val="0"/>
              <w:marRight w:val="0"/>
              <w:marTop w:val="0"/>
              <w:marBottom w:val="0"/>
              <w:divBdr>
                <w:top w:val="none" w:sz="0" w:space="0" w:color="auto"/>
                <w:left w:val="none" w:sz="0" w:space="0" w:color="auto"/>
                <w:bottom w:val="none" w:sz="0" w:space="0" w:color="auto"/>
                <w:right w:val="none" w:sz="0" w:space="0" w:color="auto"/>
              </w:divBdr>
              <w:divsChild>
                <w:div w:id="709454809">
                  <w:marLeft w:val="0"/>
                  <w:marRight w:val="0"/>
                  <w:marTop w:val="0"/>
                  <w:marBottom w:val="0"/>
                  <w:divBdr>
                    <w:top w:val="none" w:sz="0" w:space="0" w:color="auto"/>
                    <w:left w:val="none" w:sz="0" w:space="0" w:color="auto"/>
                    <w:bottom w:val="none" w:sz="0" w:space="0" w:color="auto"/>
                    <w:right w:val="none" w:sz="0" w:space="0" w:color="auto"/>
                  </w:divBdr>
                </w:div>
              </w:divsChild>
            </w:div>
            <w:div w:id="172108190">
              <w:marLeft w:val="0"/>
              <w:marRight w:val="0"/>
              <w:marTop w:val="0"/>
              <w:marBottom w:val="0"/>
              <w:divBdr>
                <w:top w:val="none" w:sz="0" w:space="0" w:color="auto"/>
                <w:left w:val="none" w:sz="0" w:space="0" w:color="auto"/>
                <w:bottom w:val="none" w:sz="0" w:space="0" w:color="auto"/>
                <w:right w:val="none" w:sz="0" w:space="0" w:color="auto"/>
              </w:divBdr>
              <w:divsChild>
                <w:div w:id="1079446642">
                  <w:marLeft w:val="0"/>
                  <w:marRight w:val="0"/>
                  <w:marTop w:val="0"/>
                  <w:marBottom w:val="0"/>
                  <w:divBdr>
                    <w:top w:val="none" w:sz="0" w:space="0" w:color="auto"/>
                    <w:left w:val="none" w:sz="0" w:space="0" w:color="auto"/>
                    <w:bottom w:val="none" w:sz="0" w:space="0" w:color="auto"/>
                    <w:right w:val="none" w:sz="0" w:space="0" w:color="auto"/>
                  </w:divBdr>
                </w:div>
              </w:divsChild>
            </w:div>
            <w:div w:id="172578539">
              <w:marLeft w:val="0"/>
              <w:marRight w:val="0"/>
              <w:marTop w:val="0"/>
              <w:marBottom w:val="0"/>
              <w:divBdr>
                <w:top w:val="none" w:sz="0" w:space="0" w:color="auto"/>
                <w:left w:val="none" w:sz="0" w:space="0" w:color="auto"/>
                <w:bottom w:val="none" w:sz="0" w:space="0" w:color="auto"/>
                <w:right w:val="none" w:sz="0" w:space="0" w:color="auto"/>
              </w:divBdr>
              <w:divsChild>
                <w:div w:id="867715778">
                  <w:marLeft w:val="0"/>
                  <w:marRight w:val="0"/>
                  <w:marTop w:val="0"/>
                  <w:marBottom w:val="0"/>
                  <w:divBdr>
                    <w:top w:val="none" w:sz="0" w:space="0" w:color="auto"/>
                    <w:left w:val="none" w:sz="0" w:space="0" w:color="auto"/>
                    <w:bottom w:val="none" w:sz="0" w:space="0" w:color="auto"/>
                    <w:right w:val="none" w:sz="0" w:space="0" w:color="auto"/>
                  </w:divBdr>
                </w:div>
              </w:divsChild>
            </w:div>
            <w:div w:id="173034502">
              <w:marLeft w:val="0"/>
              <w:marRight w:val="0"/>
              <w:marTop w:val="0"/>
              <w:marBottom w:val="0"/>
              <w:divBdr>
                <w:top w:val="none" w:sz="0" w:space="0" w:color="auto"/>
                <w:left w:val="none" w:sz="0" w:space="0" w:color="auto"/>
                <w:bottom w:val="none" w:sz="0" w:space="0" w:color="auto"/>
                <w:right w:val="none" w:sz="0" w:space="0" w:color="auto"/>
              </w:divBdr>
              <w:divsChild>
                <w:div w:id="618529095">
                  <w:marLeft w:val="0"/>
                  <w:marRight w:val="0"/>
                  <w:marTop w:val="0"/>
                  <w:marBottom w:val="0"/>
                  <w:divBdr>
                    <w:top w:val="none" w:sz="0" w:space="0" w:color="auto"/>
                    <w:left w:val="none" w:sz="0" w:space="0" w:color="auto"/>
                    <w:bottom w:val="none" w:sz="0" w:space="0" w:color="auto"/>
                    <w:right w:val="none" w:sz="0" w:space="0" w:color="auto"/>
                  </w:divBdr>
                </w:div>
              </w:divsChild>
            </w:div>
            <w:div w:id="173610656">
              <w:marLeft w:val="0"/>
              <w:marRight w:val="0"/>
              <w:marTop w:val="0"/>
              <w:marBottom w:val="0"/>
              <w:divBdr>
                <w:top w:val="none" w:sz="0" w:space="0" w:color="auto"/>
                <w:left w:val="none" w:sz="0" w:space="0" w:color="auto"/>
                <w:bottom w:val="none" w:sz="0" w:space="0" w:color="auto"/>
                <w:right w:val="none" w:sz="0" w:space="0" w:color="auto"/>
              </w:divBdr>
              <w:divsChild>
                <w:div w:id="2007435188">
                  <w:marLeft w:val="0"/>
                  <w:marRight w:val="0"/>
                  <w:marTop w:val="0"/>
                  <w:marBottom w:val="0"/>
                  <w:divBdr>
                    <w:top w:val="none" w:sz="0" w:space="0" w:color="auto"/>
                    <w:left w:val="none" w:sz="0" w:space="0" w:color="auto"/>
                    <w:bottom w:val="none" w:sz="0" w:space="0" w:color="auto"/>
                    <w:right w:val="none" w:sz="0" w:space="0" w:color="auto"/>
                  </w:divBdr>
                </w:div>
              </w:divsChild>
            </w:div>
            <w:div w:id="175995886">
              <w:marLeft w:val="0"/>
              <w:marRight w:val="0"/>
              <w:marTop w:val="0"/>
              <w:marBottom w:val="0"/>
              <w:divBdr>
                <w:top w:val="none" w:sz="0" w:space="0" w:color="auto"/>
                <w:left w:val="none" w:sz="0" w:space="0" w:color="auto"/>
                <w:bottom w:val="none" w:sz="0" w:space="0" w:color="auto"/>
                <w:right w:val="none" w:sz="0" w:space="0" w:color="auto"/>
              </w:divBdr>
              <w:divsChild>
                <w:div w:id="731540231">
                  <w:marLeft w:val="0"/>
                  <w:marRight w:val="0"/>
                  <w:marTop w:val="0"/>
                  <w:marBottom w:val="0"/>
                  <w:divBdr>
                    <w:top w:val="none" w:sz="0" w:space="0" w:color="auto"/>
                    <w:left w:val="none" w:sz="0" w:space="0" w:color="auto"/>
                    <w:bottom w:val="none" w:sz="0" w:space="0" w:color="auto"/>
                    <w:right w:val="none" w:sz="0" w:space="0" w:color="auto"/>
                  </w:divBdr>
                </w:div>
              </w:divsChild>
            </w:div>
            <w:div w:id="177157715">
              <w:marLeft w:val="0"/>
              <w:marRight w:val="0"/>
              <w:marTop w:val="0"/>
              <w:marBottom w:val="0"/>
              <w:divBdr>
                <w:top w:val="none" w:sz="0" w:space="0" w:color="auto"/>
                <w:left w:val="none" w:sz="0" w:space="0" w:color="auto"/>
                <w:bottom w:val="none" w:sz="0" w:space="0" w:color="auto"/>
                <w:right w:val="none" w:sz="0" w:space="0" w:color="auto"/>
              </w:divBdr>
              <w:divsChild>
                <w:div w:id="1632516797">
                  <w:marLeft w:val="0"/>
                  <w:marRight w:val="0"/>
                  <w:marTop w:val="0"/>
                  <w:marBottom w:val="0"/>
                  <w:divBdr>
                    <w:top w:val="none" w:sz="0" w:space="0" w:color="auto"/>
                    <w:left w:val="none" w:sz="0" w:space="0" w:color="auto"/>
                    <w:bottom w:val="none" w:sz="0" w:space="0" w:color="auto"/>
                    <w:right w:val="none" w:sz="0" w:space="0" w:color="auto"/>
                  </w:divBdr>
                </w:div>
              </w:divsChild>
            </w:div>
            <w:div w:id="179006540">
              <w:marLeft w:val="0"/>
              <w:marRight w:val="0"/>
              <w:marTop w:val="0"/>
              <w:marBottom w:val="0"/>
              <w:divBdr>
                <w:top w:val="none" w:sz="0" w:space="0" w:color="auto"/>
                <w:left w:val="none" w:sz="0" w:space="0" w:color="auto"/>
                <w:bottom w:val="none" w:sz="0" w:space="0" w:color="auto"/>
                <w:right w:val="none" w:sz="0" w:space="0" w:color="auto"/>
              </w:divBdr>
              <w:divsChild>
                <w:div w:id="269821998">
                  <w:marLeft w:val="0"/>
                  <w:marRight w:val="0"/>
                  <w:marTop w:val="0"/>
                  <w:marBottom w:val="0"/>
                  <w:divBdr>
                    <w:top w:val="none" w:sz="0" w:space="0" w:color="auto"/>
                    <w:left w:val="none" w:sz="0" w:space="0" w:color="auto"/>
                    <w:bottom w:val="none" w:sz="0" w:space="0" w:color="auto"/>
                    <w:right w:val="none" w:sz="0" w:space="0" w:color="auto"/>
                  </w:divBdr>
                </w:div>
              </w:divsChild>
            </w:div>
            <w:div w:id="179315260">
              <w:marLeft w:val="0"/>
              <w:marRight w:val="0"/>
              <w:marTop w:val="0"/>
              <w:marBottom w:val="0"/>
              <w:divBdr>
                <w:top w:val="none" w:sz="0" w:space="0" w:color="auto"/>
                <w:left w:val="none" w:sz="0" w:space="0" w:color="auto"/>
                <w:bottom w:val="none" w:sz="0" w:space="0" w:color="auto"/>
                <w:right w:val="none" w:sz="0" w:space="0" w:color="auto"/>
              </w:divBdr>
              <w:divsChild>
                <w:div w:id="2091346381">
                  <w:marLeft w:val="0"/>
                  <w:marRight w:val="0"/>
                  <w:marTop w:val="0"/>
                  <w:marBottom w:val="0"/>
                  <w:divBdr>
                    <w:top w:val="none" w:sz="0" w:space="0" w:color="auto"/>
                    <w:left w:val="none" w:sz="0" w:space="0" w:color="auto"/>
                    <w:bottom w:val="none" w:sz="0" w:space="0" w:color="auto"/>
                    <w:right w:val="none" w:sz="0" w:space="0" w:color="auto"/>
                  </w:divBdr>
                </w:div>
              </w:divsChild>
            </w:div>
            <w:div w:id="180290798">
              <w:marLeft w:val="0"/>
              <w:marRight w:val="0"/>
              <w:marTop w:val="300"/>
              <w:marBottom w:val="300"/>
              <w:divBdr>
                <w:top w:val="none" w:sz="0" w:space="0" w:color="auto"/>
                <w:left w:val="none" w:sz="0" w:space="0" w:color="auto"/>
                <w:bottom w:val="none" w:sz="0" w:space="0" w:color="auto"/>
                <w:right w:val="none" w:sz="0" w:space="0" w:color="auto"/>
              </w:divBdr>
            </w:div>
            <w:div w:id="180976844">
              <w:marLeft w:val="0"/>
              <w:marRight w:val="0"/>
              <w:marTop w:val="0"/>
              <w:marBottom w:val="0"/>
              <w:divBdr>
                <w:top w:val="none" w:sz="0" w:space="0" w:color="auto"/>
                <w:left w:val="none" w:sz="0" w:space="0" w:color="auto"/>
                <w:bottom w:val="none" w:sz="0" w:space="0" w:color="auto"/>
                <w:right w:val="none" w:sz="0" w:space="0" w:color="auto"/>
              </w:divBdr>
              <w:divsChild>
                <w:div w:id="2075273062">
                  <w:marLeft w:val="0"/>
                  <w:marRight w:val="0"/>
                  <w:marTop w:val="0"/>
                  <w:marBottom w:val="0"/>
                  <w:divBdr>
                    <w:top w:val="none" w:sz="0" w:space="0" w:color="auto"/>
                    <w:left w:val="none" w:sz="0" w:space="0" w:color="auto"/>
                    <w:bottom w:val="none" w:sz="0" w:space="0" w:color="auto"/>
                    <w:right w:val="none" w:sz="0" w:space="0" w:color="auto"/>
                  </w:divBdr>
                </w:div>
              </w:divsChild>
            </w:div>
            <w:div w:id="183130718">
              <w:marLeft w:val="0"/>
              <w:marRight w:val="0"/>
              <w:marTop w:val="0"/>
              <w:marBottom w:val="0"/>
              <w:divBdr>
                <w:top w:val="none" w:sz="0" w:space="0" w:color="auto"/>
                <w:left w:val="none" w:sz="0" w:space="0" w:color="auto"/>
                <w:bottom w:val="none" w:sz="0" w:space="0" w:color="auto"/>
                <w:right w:val="none" w:sz="0" w:space="0" w:color="auto"/>
              </w:divBdr>
              <w:divsChild>
                <w:div w:id="767114675">
                  <w:marLeft w:val="0"/>
                  <w:marRight w:val="0"/>
                  <w:marTop w:val="0"/>
                  <w:marBottom w:val="0"/>
                  <w:divBdr>
                    <w:top w:val="none" w:sz="0" w:space="0" w:color="auto"/>
                    <w:left w:val="none" w:sz="0" w:space="0" w:color="auto"/>
                    <w:bottom w:val="none" w:sz="0" w:space="0" w:color="auto"/>
                    <w:right w:val="none" w:sz="0" w:space="0" w:color="auto"/>
                  </w:divBdr>
                </w:div>
              </w:divsChild>
            </w:div>
            <w:div w:id="183981329">
              <w:marLeft w:val="0"/>
              <w:marRight w:val="0"/>
              <w:marTop w:val="0"/>
              <w:marBottom w:val="0"/>
              <w:divBdr>
                <w:top w:val="none" w:sz="0" w:space="0" w:color="auto"/>
                <w:left w:val="none" w:sz="0" w:space="0" w:color="auto"/>
                <w:bottom w:val="none" w:sz="0" w:space="0" w:color="auto"/>
                <w:right w:val="none" w:sz="0" w:space="0" w:color="auto"/>
              </w:divBdr>
              <w:divsChild>
                <w:div w:id="37902773">
                  <w:marLeft w:val="0"/>
                  <w:marRight w:val="0"/>
                  <w:marTop w:val="0"/>
                  <w:marBottom w:val="0"/>
                  <w:divBdr>
                    <w:top w:val="none" w:sz="0" w:space="0" w:color="auto"/>
                    <w:left w:val="none" w:sz="0" w:space="0" w:color="auto"/>
                    <w:bottom w:val="none" w:sz="0" w:space="0" w:color="auto"/>
                    <w:right w:val="none" w:sz="0" w:space="0" w:color="auto"/>
                  </w:divBdr>
                </w:div>
              </w:divsChild>
            </w:div>
            <w:div w:id="184056951">
              <w:marLeft w:val="0"/>
              <w:marRight w:val="0"/>
              <w:marTop w:val="0"/>
              <w:marBottom w:val="0"/>
              <w:divBdr>
                <w:top w:val="none" w:sz="0" w:space="0" w:color="auto"/>
                <w:left w:val="none" w:sz="0" w:space="0" w:color="auto"/>
                <w:bottom w:val="none" w:sz="0" w:space="0" w:color="auto"/>
                <w:right w:val="none" w:sz="0" w:space="0" w:color="auto"/>
              </w:divBdr>
              <w:divsChild>
                <w:div w:id="550651162">
                  <w:marLeft w:val="0"/>
                  <w:marRight w:val="0"/>
                  <w:marTop w:val="0"/>
                  <w:marBottom w:val="0"/>
                  <w:divBdr>
                    <w:top w:val="none" w:sz="0" w:space="0" w:color="auto"/>
                    <w:left w:val="none" w:sz="0" w:space="0" w:color="auto"/>
                    <w:bottom w:val="none" w:sz="0" w:space="0" w:color="auto"/>
                    <w:right w:val="none" w:sz="0" w:space="0" w:color="auto"/>
                  </w:divBdr>
                </w:div>
              </w:divsChild>
            </w:div>
            <w:div w:id="184172478">
              <w:marLeft w:val="0"/>
              <w:marRight w:val="0"/>
              <w:marTop w:val="0"/>
              <w:marBottom w:val="0"/>
              <w:divBdr>
                <w:top w:val="none" w:sz="0" w:space="0" w:color="auto"/>
                <w:left w:val="none" w:sz="0" w:space="0" w:color="auto"/>
                <w:bottom w:val="none" w:sz="0" w:space="0" w:color="auto"/>
                <w:right w:val="none" w:sz="0" w:space="0" w:color="auto"/>
              </w:divBdr>
              <w:divsChild>
                <w:div w:id="1511797891">
                  <w:marLeft w:val="0"/>
                  <w:marRight w:val="0"/>
                  <w:marTop w:val="0"/>
                  <w:marBottom w:val="0"/>
                  <w:divBdr>
                    <w:top w:val="none" w:sz="0" w:space="0" w:color="auto"/>
                    <w:left w:val="none" w:sz="0" w:space="0" w:color="auto"/>
                    <w:bottom w:val="none" w:sz="0" w:space="0" w:color="auto"/>
                    <w:right w:val="none" w:sz="0" w:space="0" w:color="auto"/>
                  </w:divBdr>
                </w:div>
              </w:divsChild>
            </w:div>
            <w:div w:id="189026485">
              <w:marLeft w:val="0"/>
              <w:marRight w:val="0"/>
              <w:marTop w:val="0"/>
              <w:marBottom w:val="0"/>
              <w:divBdr>
                <w:top w:val="none" w:sz="0" w:space="0" w:color="auto"/>
                <w:left w:val="none" w:sz="0" w:space="0" w:color="auto"/>
                <w:bottom w:val="none" w:sz="0" w:space="0" w:color="auto"/>
                <w:right w:val="none" w:sz="0" w:space="0" w:color="auto"/>
              </w:divBdr>
              <w:divsChild>
                <w:div w:id="753554668">
                  <w:marLeft w:val="0"/>
                  <w:marRight w:val="0"/>
                  <w:marTop w:val="0"/>
                  <w:marBottom w:val="0"/>
                  <w:divBdr>
                    <w:top w:val="none" w:sz="0" w:space="0" w:color="auto"/>
                    <w:left w:val="none" w:sz="0" w:space="0" w:color="auto"/>
                    <w:bottom w:val="none" w:sz="0" w:space="0" w:color="auto"/>
                    <w:right w:val="none" w:sz="0" w:space="0" w:color="auto"/>
                  </w:divBdr>
                </w:div>
              </w:divsChild>
            </w:div>
            <w:div w:id="189413711">
              <w:marLeft w:val="0"/>
              <w:marRight w:val="0"/>
              <w:marTop w:val="0"/>
              <w:marBottom w:val="0"/>
              <w:divBdr>
                <w:top w:val="none" w:sz="0" w:space="0" w:color="auto"/>
                <w:left w:val="none" w:sz="0" w:space="0" w:color="auto"/>
                <w:bottom w:val="none" w:sz="0" w:space="0" w:color="auto"/>
                <w:right w:val="none" w:sz="0" w:space="0" w:color="auto"/>
              </w:divBdr>
              <w:divsChild>
                <w:div w:id="518276301">
                  <w:marLeft w:val="0"/>
                  <w:marRight w:val="0"/>
                  <w:marTop w:val="0"/>
                  <w:marBottom w:val="0"/>
                  <w:divBdr>
                    <w:top w:val="none" w:sz="0" w:space="0" w:color="auto"/>
                    <w:left w:val="none" w:sz="0" w:space="0" w:color="auto"/>
                    <w:bottom w:val="none" w:sz="0" w:space="0" w:color="auto"/>
                    <w:right w:val="none" w:sz="0" w:space="0" w:color="auto"/>
                  </w:divBdr>
                </w:div>
              </w:divsChild>
            </w:div>
            <w:div w:id="189416676">
              <w:marLeft w:val="0"/>
              <w:marRight w:val="0"/>
              <w:marTop w:val="300"/>
              <w:marBottom w:val="300"/>
              <w:divBdr>
                <w:top w:val="none" w:sz="0" w:space="0" w:color="auto"/>
                <w:left w:val="none" w:sz="0" w:space="0" w:color="auto"/>
                <w:bottom w:val="none" w:sz="0" w:space="0" w:color="auto"/>
                <w:right w:val="none" w:sz="0" w:space="0" w:color="auto"/>
              </w:divBdr>
            </w:div>
            <w:div w:id="193349346">
              <w:marLeft w:val="0"/>
              <w:marRight w:val="0"/>
              <w:marTop w:val="0"/>
              <w:marBottom w:val="0"/>
              <w:divBdr>
                <w:top w:val="none" w:sz="0" w:space="0" w:color="auto"/>
                <w:left w:val="none" w:sz="0" w:space="0" w:color="auto"/>
                <w:bottom w:val="none" w:sz="0" w:space="0" w:color="auto"/>
                <w:right w:val="none" w:sz="0" w:space="0" w:color="auto"/>
              </w:divBdr>
              <w:divsChild>
                <w:div w:id="1986618776">
                  <w:marLeft w:val="0"/>
                  <w:marRight w:val="0"/>
                  <w:marTop w:val="0"/>
                  <w:marBottom w:val="0"/>
                  <w:divBdr>
                    <w:top w:val="none" w:sz="0" w:space="0" w:color="auto"/>
                    <w:left w:val="none" w:sz="0" w:space="0" w:color="auto"/>
                    <w:bottom w:val="none" w:sz="0" w:space="0" w:color="auto"/>
                    <w:right w:val="none" w:sz="0" w:space="0" w:color="auto"/>
                  </w:divBdr>
                </w:div>
              </w:divsChild>
            </w:div>
            <w:div w:id="195849653">
              <w:marLeft w:val="0"/>
              <w:marRight w:val="0"/>
              <w:marTop w:val="0"/>
              <w:marBottom w:val="0"/>
              <w:divBdr>
                <w:top w:val="none" w:sz="0" w:space="0" w:color="auto"/>
                <w:left w:val="none" w:sz="0" w:space="0" w:color="auto"/>
                <w:bottom w:val="none" w:sz="0" w:space="0" w:color="auto"/>
                <w:right w:val="none" w:sz="0" w:space="0" w:color="auto"/>
              </w:divBdr>
              <w:divsChild>
                <w:div w:id="2087343377">
                  <w:marLeft w:val="0"/>
                  <w:marRight w:val="0"/>
                  <w:marTop w:val="0"/>
                  <w:marBottom w:val="0"/>
                  <w:divBdr>
                    <w:top w:val="none" w:sz="0" w:space="0" w:color="auto"/>
                    <w:left w:val="none" w:sz="0" w:space="0" w:color="auto"/>
                    <w:bottom w:val="none" w:sz="0" w:space="0" w:color="auto"/>
                    <w:right w:val="none" w:sz="0" w:space="0" w:color="auto"/>
                  </w:divBdr>
                </w:div>
              </w:divsChild>
            </w:div>
            <w:div w:id="195853677">
              <w:marLeft w:val="0"/>
              <w:marRight w:val="0"/>
              <w:marTop w:val="0"/>
              <w:marBottom w:val="0"/>
              <w:divBdr>
                <w:top w:val="none" w:sz="0" w:space="0" w:color="auto"/>
                <w:left w:val="none" w:sz="0" w:space="0" w:color="auto"/>
                <w:bottom w:val="none" w:sz="0" w:space="0" w:color="auto"/>
                <w:right w:val="none" w:sz="0" w:space="0" w:color="auto"/>
              </w:divBdr>
              <w:divsChild>
                <w:div w:id="1495219231">
                  <w:marLeft w:val="0"/>
                  <w:marRight w:val="0"/>
                  <w:marTop w:val="0"/>
                  <w:marBottom w:val="0"/>
                  <w:divBdr>
                    <w:top w:val="none" w:sz="0" w:space="0" w:color="auto"/>
                    <w:left w:val="none" w:sz="0" w:space="0" w:color="auto"/>
                    <w:bottom w:val="none" w:sz="0" w:space="0" w:color="auto"/>
                    <w:right w:val="none" w:sz="0" w:space="0" w:color="auto"/>
                  </w:divBdr>
                </w:div>
              </w:divsChild>
            </w:div>
            <w:div w:id="197788619">
              <w:marLeft w:val="0"/>
              <w:marRight w:val="0"/>
              <w:marTop w:val="0"/>
              <w:marBottom w:val="0"/>
              <w:divBdr>
                <w:top w:val="none" w:sz="0" w:space="0" w:color="auto"/>
                <w:left w:val="none" w:sz="0" w:space="0" w:color="auto"/>
                <w:bottom w:val="none" w:sz="0" w:space="0" w:color="auto"/>
                <w:right w:val="none" w:sz="0" w:space="0" w:color="auto"/>
              </w:divBdr>
              <w:divsChild>
                <w:div w:id="511382156">
                  <w:marLeft w:val="0"/>
                  <w:marRight w:val="0"/>
                  <w:marTop w:val="0"/>
                  <w:marBottom w:val="0"/>
                  <w:divBdr>
                    <w:top w:val="none" w:sz="0" w:space="0" w:color="auto"/>
                    <w:left w:val="none" w:sz="0" w:space="0" w:color="auto"/>
                    <w:bottom w:val="none" w:sz="0" w:space="0" w:color="auto"/>
                    <w:right w:val="none" w:sz="0" w:space="0" w:color="auto"/>
                  </w:divBdr>
                </w:div>
              </w:divsChild>
            </w:div>
            <w:div w:id="198053859">
              <w:marLeft w:val="0"/>
              <w:marRight w:val="0"/>
              <w:marTop w:val="0"/>
              <w:marBottom w:val="0"/>
              <w:divBdr>
                <w:top w:val="none" w:sz="0" w:space="0" w:color="auto"/>
                <w:left w:val="none" w:sz="0" w:space="0" w:color="auto"/>
                <w:bottom w:val="none" w:sz="0" w:space="0" w:color="auto"/>
                <w:right w:val="none" w:sz="0" w:space="0" w:color="auto"/>
              </w:divBdr>
              <w:divsChild>
                <w:div w:id="195699418">
                  <w:marLeft w:val="0"/>
                  <w:marRight w:val="0"/>
                  <w:marTop w:val="0"/>
                  <w:marBottom w:val="0"/>
                  <w:divBdr>
                    <w:top w:val="none" w:sz="0" w:space="0" w:color="auto"/>
                    <w:left w:val="none" w:sz="0" w:space="0" w:color="auto"/>
                    <w:bottom w:val="none" w:sz="0" w:space="0" w:color="auto"/>
                    <w:right w:val="none" w:sz="0" w:space="0" w:color="auto"/>
                  </w:divBdr>
                </w:div>
              </w:divsChild>
            </w:div>
            <w:div w:id="198207399">
              <w:marLeft w:val="0"/>
              <w:marRight w:val="0"/>
              <w:marTop w:val="0"/>
              <w:marBottom w:val="0"/>
              <w:divBdr>
                <w:top w:val="none" w:sz="0" w:space="0" w:color="auto"/>
                <w:left w:val="none" w:sz="0" w:space="0" w:color="auto"/>
                <w:bottom w:val="none" w:sz="0" w:space="0" w:color="auto"/>
                <w:right w:val="none" w:sz="0" w:space="0" w:color="auto"/>
              </w:divBdr>
              <w:divsChild>
                <w:div w:id="769088425">
                  <w:marLeft w:val="0"/>
                  <w:marRight w:val="0"/>
                  <w:marTop w:val="0"/>
                  <w:marBottom w:val="0"/>
                  <w:divBdr>
                    <w:top w:val="none" w:sz="0" w:space="0" w:color="auto"/>
                    <w:left w:val="none" w:sz="0" w:space="0" w:color="auto"/>
                    <w:bottom w:val="none" w:sz="0" w:space="0" w:color="auto"/>
                    <w:right w:val="none" w:sz="0" w:space="0" w:color="auto"/>
                  </w:divBdr>
                </w:div>
              </w:divsChild>
            </w:div>
            <w:div w:id="200630850">
              <w:marLeft w:val="0"/>
              <w:marRight w:val="0"/>
              <w:marTop w:val="0"/>
              <w:marBottom w:val="0"/>
              <w:divBdr>
                <w:top w:val="none" w:sz="0" w:space="0" w:color="auto"/>
                <w:left w:val="none" w:sz="0" w:space="0" w:color="auto"/>
                <w:bottom w:val="none" w:sz="0" w:space="0" w:color="auto"/>
                <w:right w:val="none" w:sz="0" w:space="0" w:color="auto"/>
              </w:divBdr>
              <w:divsChild>
                <w:div w:id="1658151122">
                  <w:marLeft w:val="0"/>
                  <w:marRight w:val="0"/>
                  <w:marTop w:val="0"/>
                  <w:marBottom w:val="0"/>
                  <w:divBdr>
                    <w:top w:val="none" w:sz="0" w:space="0" w:color="auto"/>
                    <w:left w:val="none" w:sz="0" w:space="0" w:color="auto"/>
                    <w:bottom w:val="none" w:sz="0" w:space="0" w:color="auto"/>
                    <w:right w:val="none" w:sz="0" w:space="0" w:color="auto"/>
                  </w:divBdr>
                </w:div>
              </w:divsChild>
            </w:div>
            <w:div w:id="201405445">
              <w:marLeft w:val="0"/>
              <w:marRight w:val="0"/>
              <w:marTop w:val="0"/>
              <w:marBottom w:val="0"/>
              <w:divBdr>
                <w:top w:val="none" w:sz="0" w:space="0" w:color="auto"/>
                <w:left w:val="none" w:sz="0" w:space="0" w:color="auto"/>
                <w:bottom w:val="none" w:sz="0" w:space="0" w:color="auto"/>
                <w:right w:val="none" w:sz="0" w:space="0" w:color="auto"/>
              </w:divBdr>
              <w:divsChild>
                <w:div w:id="333261757">
                  <w:marLeft w:val="0"/>
                  <w:marRight w:val="0"/>
                  <w:marTop w:val="0"/>
                  <w:marBottom w:val="0"/>
                  <w:divBdr>
                    <w:top w:val="none" w:sz="0" w:space="0" w:color="auto"/>
                    <w:left w:val="none" w:sz="0" w:space="0" w:color="auto"/>
                    <w:bottom w:val="none" w:sz="0" w:space="0" w:color="auto"/>
                    <w:right w:val="none" w:sz="0" w:space="0" w:color="auto"/>
                  </w:divBdr>
                </w:div>
              </w:divsChild>
            </w:div>
            <w:div w:id="202448660">
              <w:marLeft w:val="0"/>
              <w:marRight w:val="0"/>
              <w:marTop w:val="0"/>
              <w:marBottom w:val="0"/>
              <w:divBdr>
                <w:top w:val="none" w:sz="0" w:space="0" w:color="auto"/>
                <w:left w:val="none" w:sz="0" w:space="0" w:color="auto"/>
                <w:bottom w:val="none" w:sz="0" w:space="0" w:color="auto"/>
                <w:right w:val="none" w:sz="0" w:space="0" w:color="auto"/>
              </w:divBdr>
              <w:divsChild>
                <w:div w:id="1391615083">
                  <w:marLeft w:val="0"/>
                  <w:marRight w:val="0"/>
                  <w:marTop w:val="0"/>
                  <w:marBottom w:val="0"/>
                  <w:divBdr>
                    <w:top w:val="none" w:sz="0" w:space="0" w:color="auto"/>
                    <w:left w:val="none" w:sz="0" w:space="0" w:color="auto"/>
                    <w:bottom w:val="none" w:sz="0" w:space="0" w:color="auto"/>
                    <w:right w:val="none" w:sz="0" w:space="0" w:color="auto"/>
                  </w:divBdr>
                </w:div>
              </w:divsChild>
            </w:div>
            <w:div w:id="202638774">
              <w:marLeft w:val="0"/>
              <w:marRight w:val="0"/>
              <w:marTop w:val="0"/>
              <w:marBottom w:val="0"/>
              <w:divBdr>
                <w:top w:val="none" w:sz="0" w:space="0" w:color="auto"/>
                <w:left w:val="none" w:sz="0" w:space="0" w:color="auto"/>
                <w:bottom w:val="none" w:sz="0" w:space="0" w:color="auto"/>
                <w:right w:val="none" w:sz="0" w:space="0" w:color="auto"/>
              </w:divBdr>
              <w:divsChild>
                <w:div w:id="2125729880">
                  <w:marLeft w:val="0"/>
                  <w:marRight w:val="0"/>
                  <w:marTop w:val="0"/>
                  <w:marBottom w:val="0"/>
                  <w:divBdr>
                    <w:top w:val="none" w:sz="0" w:space="0" w:color="auto"/>
                    <w:left w:val="none" w:sz="0" w:space="0" w:color="auto"/>
                    <w:bottom w:val="none" w:sz="0" w:space="0" w:color="auto"/>
                    <w:right w:val="none" w:sz="0" w:space="0" w:color="auto"/>
                  </w:divBdr>
                </w:div>
              </w:divsChild>
            </w:div>
            <w:div w:id="205066686">
              <w:marLeft w:val="0"/>
              <w:marRight w:val="0"/>
              <w:marTop w:val="0"/>
              <w:marBottom w:val="0"/>
              <w:divBdr>
                <w:top w:val="none" w:sz="0" w:space="0" w:color="auto"/>
                <w:left w:val="none" w:sz="0" w:space="0" w:color="auto"/>
                <w:bottom w:val="none" w:sz="0" w:space="0" w:color="auto"/>
                <w:right w:val="none" w:sz="0" w:space="0" w:color="auto"/>
              </w:divBdr>
              <w:divsChild>
                <w:div w:id="625162184">
                  <w:marLeft w:val="0"/>
                  <w:marRight w:val="0"/>
                  <w:marTop w:val="0"/>
                  <w:marBottom w:val="0"/>
                  <w:divBdr>
                    <w:top w:val="none" w:sz="0" w:space="0" w:color="auto"/>
                    <w:left w:val="none" w:sz="0" w:space="0" w:color="auto"/>
                    <w:bottom w:val="none" w:sz="0" w:space="0" w:color="auto"/>
                    <w:right w:val="none" w:sz="0" w:space="0" w:color="auto"/>
                  </w:divBdr>
                </w:div>
              </w:divsChild>
            </w:div>
            <w:div w:id="205726532">
              <w:marLeft w:val="0"/>
              <w:marRight w:val="0"/>
              <w:marTop w:val="0"/>
              <w:marBottom w:val="0"/>
              <w:divBdr>
                <w:top w:val="none" w:sz="0" w:space="0" w:color="auto"/>
                <w:left w:val="none" w:sz="0" w:space="0" w:color="auto"/>
                <w:bottom w:val="none" w:sz="0" w:space="0" w:color="auto"/>
                <w:right w:val="none" w:sz="0" w:space="0" w:color="auto"/>
              </w:divBdr>
              <w:divsChild>
                <w:div w:id="735905309">
                  <w:marLeft w:val="0"/>
                  <w:marRight w:val="0"/>
                  <w:marTop w:val="0"/>
                  <w:marBottom w:val="0"/>
                  <w:divBdr>
                    <w:top w:val="none" w:sz="0" w:space="0" w:color="auto"/>
                    <w:left w:val="none" w:sz="0" w:space="0" w:color="auto"/>
                    <w:bottom w:val="none" w:sz="0" w:space="0" w:color="auto"/>
                    <w:right w:val="none" w:sz="0" w:space="0" w:color="auto"/>
                  </w:divBdr>
                </w:div>
              </w:divsChild>
            </w:div>
            <w:div w:id="206798173">
              <w:marLeft w:val="0"/>
              <w:marRight w:val="0"/>
              <w:marTop w:val="0"/>
              <w:marBottom w:val="0"/>
              <w:divBdr>
                <w:top w:val="none" w:sz="0" w:space="0" w:color="auto"/>
                <w:left w:val="none" w:sz="0" w:space="0" w:color="auto"/>
                <w:bottom w:val="none" w:sz="0" w:space="0" w:color="auto"/>
                <w:right w:val="none" w:sz="0" w:space="0" w:color="auto"/>
              </w:divBdr>
              <w:divsChild>
                <w:div w:id="780346621">
                  <w:marLeft w:val="0"/>
                  <w:marRight w:val="0"/>
                  <w:marTop w:val="0"/>
                  <w:marBottom w:val="0"/>
                  <w:divBdr>
                    <w:top w:val="none" w:sz="0" w:space="0" w:color="auto"/>
                    <w:left w:val="none" w:sz="0" w:space="0" w:color="auto"/>
                    <w:bottom w:val="none" w:sz="0" w:space="0" w:color="auto"/>
                    <w:right w:val="none" w:sz="0" w:space="0" w:color="auto"/>
                  </w:divBdr>
                </w:div>
              </w:divsChild>
            </w:div>
            <w:div w:id="208685755">
              <w:marLeft w:val="0"/>
              <w:marRight w:val="0"/>
              <w:marTop w:val="0"/>
              <w:marBottom w:val="0"/>
              <w:divBdr>
                <w:top w:val="none" w:sz="0" w:space="0" w:color="auto"/>
                <w:left w:val="none" w:sz="0" w:space="0" w:color="auto"/>
                <w:bottom w:val="none" w:sz="0" w:space="0" w:color="auto"/>
                <w:right w:val="none" w:sz="0" w:space="0" w:color="auto"/>
              </w:divBdr>
              <w:divsChild>
                <w:div w:id="1604144884">
                  <w:marLeft w:val="0"/>
                  <w:marRight w:val="0"/>
                  <w:marTop w:val="0"/>
                  <w:marBottom w:val="0"/>
                  <w:divBdr>
                    <w:top w:val="none" w:sz="0" w:space="0" w:color="auto"/>
                    <w:left w:val="none" w:sz="0" w:space="0" w:color="auto"/>
                    <w:bottom w:val="none" w:sz="0" w:space="0" w:color="auto"/>
                    <w:right w:val="none" w:sz="0" w:space="0" w:color="auto"/>
                  </w:divBdr>
                </w:div>
              </w:divsChild>
            </w:div>
            <w:div w:id="209849980">
              <w:marLeft w:val="0"/>
              <w:marRight w:val="0"/>
              <w:marTop w:val="0"/>
              <w:marBottom w:val="0"/>
              <w:divBdr>
                <w:top w:val="none" w:sz="0" w:space="0" w:color="auto"/>
                <w:left w:val="none" w:sz="0" w:space="0" w:color="auto"/>
                <w:bottom w:val="none" w:sz="0" w:space="0" w:color="auto"/>
                <w:right w:val="none" w:sz="0" w:space="0" w:color="auto"/>
              </w:divBdr>
              <w:divsChild>
                <w:div w:id="1447651332">
                  <w:marLeft w:val="0"/>
                  <w:marRight w:val="0"/>
                  <w:marTop w:val="0"/>
                  <w:marBottom w:val="0"/>
                  <w:divBdr>
                    <w:top w:val="none" w:sz="0" w:space="0" w:color="auto"/>
                    <w:left w:val="none" w:sz="0" w:space="0" w:color="auto"/>
                    <w:bottom w:val="none" w:sz="0" w:space="0" w:color="auto"/>
                    <w:right w:val="none" w:sz="0" w:space="0" w:color="auto"/>
                  </w:divBdr>
                </w:div>
              </w:divsChild>
            </w:div>
            <w:div w:id="212618730">
              <w:marLeft w:val="0"/>
              <w:marRight w:val="0"/>
              <w:marTop w:val="0"/>
              <w:marBottom w:val="0"/>
              <w:divBdr>
                <w:top w:val="none" w:sz="0" w:space="0" w:color="auto"/>
                <w:left w:val="none" w:sz="0" w:space="0" w:color="auto"/>
                <w:bottom w:val="none" w:sz="0" w:space="0" w:color="auto"/>
                <w:right w:val="none" w:sz="0" w:space="0" w:color="auto"/>
              </w:divBdr>
              <w:divsChild>
                <w:div w:id="693460248">
                  <w:marLeft w:val="0"/>
                  <w:marRight w:val="0"/>
                  <w:marTop w:val="0"/>
                  <w:marBottom w:val="0"/>
                  <w:divBdr>
                    <w:top w:val="none" w:sz="0" w:space="0" w:color="auto"/>
                    <w:left w:val="none" w:sz="0" w:space="0" w:color="auto"/>
                    <w:bottom w:val="none" w:sz="0" w:space="0" w:color="auto"/>
                    <w:right w:val="none" w:sz="0" w:space="0" w:color="auto"/>
                  </w:divBdr>
                </w:div>
              </w:divsChild>
            </w:div>
            <w:div w:id="212623361">
              <w:marLeft w:val="0"/>
              <w:marRight w:val="0"/>
              <w:marTop w:val="300"/>
              <w:marBottom w:val="300"/>
              <w:divBdr>
                <w:top w:val="none" w:sz="0" w:space="0" w:color="auto"/>
                <w:left w:val="none" w:sz="0" w:space="0" w:color="auto"/>
                <w:bottom w:val="none" w:sz="0" w:space="0" w:color="auto"/>
                <w:right w:val="none" w:sz="0" w:space="0" w:color="auto"/>
              </w:divBdr>
            </w:div>
            <w:div w:id="213086748">
              <w:marLeft w:val="0"/>
              <w:marRight w:val="0"/>
              <w:marTop w:val="0"/>
              <w:marBottom w:val="0"/>
              <w:divBdr>
                <w:top w:val="none" w:sz="0" w:space="0" w:color="auto"/>
                <w:left w:val="none" w:sz="0" w:space="0" w:color="auto"/>
                <w:bottom w:val="none" w:sz="0" w:space="0" w:color="auto"/>
                <w:right w:val="none" w:sz="0" w:space="0" w:color="auto"/>
              </w:divBdr>
              <w:divsChild>
                <w:div w:id="199510655">
                  <w:marLeft w:val="0"/>
                  <w:marRight w:val="0"/>
                  <w:marTop w:val="0"/>
                  <w:marBottom w:val="0"/>
                  <w:divBdr>
                    <w:top w:val="none" w:sz="0" w:space="0" w:color="auto"/>
                    <w:left w:val="none" w:sz="0" w:space="0" w:color="auto"/>
                    <w:bottom w:val="none" w:sz="0" w:space="0" w:color="auto"/>
                    <w:right w:val="none" w:sz="0" w:space="0" w:color="auto"/>
                  </w:divBdr>
                </w:div>
              </w:divsChild>
            </w:div>
            <w:div w:id="213734529">
              <w:marLeft w:val="0"/>
              <w:marRight w:val="0"/>
              <w:marTop w:val="0"/>
              <w:marBottom w:val="0"/>
              <w:divBdr>
                <w:top w:val="none" w:sz="0" w:space="0" w:color="auto"/>
                <w:left w:val="none" w:sz="0" w:space="0" w:color="auto"/>
                <w:bottom w:val="none" w:sz="0" w:space="0" w:color="auto"/>
                <w:right w:val="none" w:sz="0" w:space="0" w:color="auto"/>
              </w:divBdr>
              <w:divsChild>
                <w:div w:id="1528130448">
                  <w:marLeft w:val="0"/>
                  <w:marRight w:val="0"/>
                  <w:marTop w:val="0"/>
                  <w:marBottom w:val="0"/>
                  <w:divBdr>
                    <w:top w:val="none" w:sz="0" w:space="0" w:color="auto"/>
                    <w:left w:val="none" w:sz="0" w:space="0" w:color="auto"/>
                    <w:bottom w:val="none" w:sz="0" w:space="0" w:color="auto"/>
                    <w:right w:val="none" w:sz="0" w:space="0" w:color="auto"/>
                  </w:divBdr>
                </w:div>
              </w:divsChild>
            </w:div>
            <w:div w:id="214781771">
              <w:marLeft w:val="0"/>
              <w:marRight w:val="0"/>
              <w:marTop w:val="0"/>
              <w:marBottom w:val="0"/>
              <w:divBdr>
                <w:top w:val="none" w:sz="0" w:space="0" w:color="auto"/>
                <w:left w:val="none" w:sz="0" w:space="0" w:color="auto"/>
                <w:bottom w:val="none" w:sz="0" w:space="0" w:color="auto"/>
                <w:right w:val="none" w:sz="0" w:space="0" w:color="auto"/>
              </w:divBdr>
              <w:divsChild>
                <w:div w:id="602878429">
                  <w:marLeft w:val="0"/>
                  <w:marRight w:val="0"/>
                  <w:marTop w:val="0"/>
                  <w:marBottom w:val="0"/>
                  <w:divBdr>
                    <w:top w:val="none" w:sz="0" w:space="0" w:color="auto"/>
                    <w:left w:val="none" w:sz="0" w:space="0" w:color="auto"/>
                    <w:bottom w:val="none" w:sz="0" w:space="0" w:color="auto"/>
                    <w:right w:val="none" w:sz="0" w:space="0" w:color="auto"/>
                  </w:divBdr>
                </w:div>
              </w:divsChild>
            </w:div>
            <w:div w:id="216209883">
              <w:marLeft w:val="0"/>
              <w:marRight w:val="0"/>
              <w:marTop w:val="300"/>
              <w:marBottom w:val="300"/>
              <w:divBdr>
                <w:top w:val="none" w:sz="0" w:space="0" w:color="auto"/>
                <w:left w:val="none" w:sz="0" w:space="0" w:color="auto"/>
                <w:bottom w:val="none" w:sz="0" w:space="0" w:color="auto"/>
                <w:right w:val="none" w:sz="0" w:space="0" w:color="auto"/>
              </w:divBdr>
            </w:div>
            <w:div w:id="216743437">
              <w:marLeft w:val="0"/>
              <w:marRight w:val="0"/>
              <w:marTop w:val="0"/>
              <w:marBottom w:val="0"/>
              <w:divBdr>
                <w:top w:val="none" w:sz="0" w:space="0" w:color="auto"/>
                <w:left w:val="none" w:sz="0" w:space="0" w:color="auto"/>
                <w:bottom w:val="none" w:sz="0" w:space="0" w:color="auto"/>
                <w:right w:val="none" w:sz="0" w:space="0" w:color="auto"/>
              </w:divBdr>
              <w:divsChild>
                <w:div w:id="284774996">
                  <w:marLeft w:val="0"/>
                  <w:marRight w:val="0"/>
                  <w:marTop w:val="0"/>
                  <w:marBottom w:val="0"/>
                  <w:divBdr>
                    <w:top w:val="none" w:sz="0" w:space="0" w:color="auto"/>
                    <w:left w:val="none" w:sz="0" w:space="0" w:color="auto"/>
                    <w:bottom w:val="none" w:sz="0" w:space="0" w:color="auto"/>
                    <w:right w:val="none" w:sz="0" w:space="0" w:color="auto"/>
                  </w:divBdr>
                </w:div>
              </w:divsChild>
            </w:div>
            <w:div w:id="218321304">
              <w:marLeft w:val="0"/>
              <w:marRight w:val="0"/>
              <w:marTop w:val="0"/>
              <w:marBottom w:val="0"/>
              <w:divBdr>
                <w:top w:val="none" w:sz="0" w:space="0" w:color="auto"/>
                <w:left w:val="none" w:sz="0" w:space="0" w:color="auto"/>
                <w:bottom w:val="none" w:sz="0" w:space="0" w:color="auto"/>
                <w:right w:val="none" w:sz="0" w:space="0" w:color="auto"/>
              </w:divBdr>
              <w:divsChild>
                <w:div w:id="495537144">
                  <w:marLeft w:val="0"/>
                  <w:marRight w:val="0"/>
                  <w:marTop w:val="0"/>
                  <w:marBottom w:val="0"/>
                  <w:divBdr>
                    <w:top w:val="none" w:sz="0" w:space="0" w:color="auto"/>
                    <w:left w:val="none" w:sz="0" w:space="0" w:color="auto"/>
                    <w:bottom w:val="none" w:sz="0" w:space="0" w:color="auto"/>
                    <w:right w:val="none" w:sz="0" w:space="0" w:color="auto"/>
                  </w:divBdr>
                </w:div>
              </w:divsChild>
            </w:div>
            <w:div w:id="219486124">
              <w:marLeft w:val="0"/>
              <w:marRight w:val="0"/>
              <w:marTop w:val="300"/>
              <w:marBottom w:val="300"/>
              <w:divBdr>
                <w:top w:val="none" w:sz="0" w:space="0" w:color="auto"/>
                <w:left w:val="none" w:sz="0" w:space="0" w:color="auto"/>
                <w:bottom w:val="none" w:sz="0" w:space="0" w:color="auto"/>
                <w:right w:val="none" w:sz="0" w:space="0" w:color="auto"/>
              </w:divBdr>
            </w:div>
            <w:div w:id="220334562">
              <w:marLeft w:val="0"/>
              <w:marRight w:val="0"/>
              <w:marTop w:val="0"/>
              <w:marBottom w:val="0"/>
              <w:divBdr>
                <w:top w:val="none" w:sz="0" w:space="0" w:color="auto"/>
                <w:left w:val="none" w:sz="0" w:space="0" w:color="auto"/>
                <w:bottom w:val="none" w:sz="0" w:space="0" w:color="auto"/>
                <w:right w:val="none" w:sz="0" w:space="0" w:color="auto"/>
              </w:divBdr>
              <w:divsChild>
                <w:div w:id="1515610282">
                  <w:marLeft w:val="0"/>
                  <w:marRight w:val="0"/>
                  <w:marTop w:val="0"/>
                  <w:marBottom w:val="0"/>
                  <w:divBdr>
                    <w:top w:val="none" w:sz="0" w:space="0" w:color="auto"/>
                    <w:left w:val="none" w:sz="0" w:space="0" w:color="auto"/>
                    <w:bottom w:val="none" w:sz="0" w:space="0" w:color="auto"/>
                    <w:right w:val="none" w:sz="0" w:space="0" w:color="auto"/>
                  </w:divBdr>
                </w:div>
              </w:divsChild>
            </w:div>
            <w:div w:id="223880804">
              <w:marLeft w:val="0"/>
              <w:marRight w:val="0"/>
              <w:marTop w:val="0"/>
              <w:marBottom w:val="0"/>
              <w:divBdr>
                <w:top w:val="none" w:sz="0" w:space="0" w:color="auto"/>
                <w:left w:val="none" w:sz="0" w:space="0" w:color="auto"/>
                <w:bottom w:val="none" w:sz="0" w:space="0" w:color="auto"/>
                <w:right w:val="none" w:sz="0" w:space="0" w:color="auto"/>
              </w:divBdr>
              <w:divsChild>
                <w:div w:id="1300841030">
                  <w:marLeft w:val="0"/>
                  <w:marRight w:val="0"/>
                  <w:marTop w:val="0"/>
                  <w:marBottom w:val="0"/>
                  <w:divBdr>
                    <w:top w:val="none" w:sz="0" w:space="0" w:color="auto"/>
                    <w:left w:val="none" w:sz="0" w:space="0" w:color="auto"/>
                    <w:bottom w:val="none" w:sz="0" w:space="0" w:color="auto"/>
                    <w:right w:val="none" w:sz="0" w:space="0" w:color="auto"/>
                  </w:divBdr>
                </w:div>
              </w:divsChild>
            </w:div>
            <w:div w:id="224535135">
              <w:marLeft w:val="0"/>
              <w:marRight w:val="0"/>
              <w:marTop w:val="300"/>
              <w:marBottom w:val="300"/>
              <w:divBdr>
                <w:top w:val="none" w:sz="0" w:space="0" w:color="auto"/>
                <w:left w:val="none" w:sz="0" w:space="0" w:color="auto"/>
                <w:bottom w:val="none" w:sz="0" w:space="0" w:color="auto"/>
                <w:right w:val="none" w:sz="0" w:space="0" w:color="auto"/>
              </w:divBdr>
            </w:div>
            <w:div w:id="225145838">
              <w:marLeft w:val="0"/>
              <w:marRight w:val="0"/>
              <w:marTop w:val="0"/>
              <w:marBottom w:val="0"/>
              <w:divBdr>
                <w:top w:val="none" w:sz="0" w:space="0" w:color="auto"/>
                <w:left w:val="none" w:sz="0" w:space="0" w:color="auto"/>
                <w:bottom w:val="none" w:sz="0" w:space="0" w:color="auto"/>
                <w:right w:val="none" w:sz="0" w:space="0" w:color="auto"/>
              </w:divBdr>
              <w:divsChild>
                <w:div w:id="1082096315">
                  <w:marLeft w:val="0"/>
                  <w:marRight w:val="0"/>
                  <w:marTop w:val="0"/>
                  <w:marBottom w:val="0"/>
                  <w:divBdr>
                    <w:top w:val="none" w:sz="0" w:space="0" w:color="auto"/>
                    <w:left w:val="none" w:sz="0" w:space="0" w:color="auto"/>
                    <w:bottom w:val="none" w:sz="0" w:space="0" w:color="auto"/>
                    <w:right w:val="none" w:sz="0" w:space="0" w:color="auto"/>
                  </w:divBdr>
                </w:div>
              </w:divsChild>
            </w:div>
            <w:div w:id="227541953">
              <w:marLeft w:val="0"/>
              <w:marRight w:val="0"/>
              <w:marTop w:val="0"/>
              <w:marBottom w:val="0"/>
              <w:divBdr>
                <w:top w:val="none" w:sz="0" w:space="0" w:color="auto"/>
                <w:left w:val="none" w:sz="0" w:space="0" w:color="auto"/>
                <w:bottom w:val="none" w:sz="0" w:space="0" w:color="auto"/>
                <w:right w:val="none" w:sz="0" w:space="0" w:color="auto"/>
              </w:divBdr>
              <w:divsChild>
                <w:div w:id="478037924">
                  <w:marLeft w:val="0"/>
                  <w:marRight w:val="0"/>
                  <w:marTop w:val="0"/>
                  <w:marBottom w:val="0"/>
                  <w:divBdr>
                    <w:top w:val="none" w:sz="0" w:space="0" w:color="auto"/>
                    <w:left w:val="none" w:sz="0" w:space="0" w:color="auto"/>
                    <w:bottom w:val="none" w:sz="0" w:space="0" w:color="auto"/>
                    <w:right w:val="none" w:sz="0" w:space="0" w:color="auto"/>
                  </w:divBdr>
                </w:div>
              </w:divsChild>
            </w:div>
            <w:div w:id="229730662">
              <w:marLeft w:val="0"/>
              <w:marRight w:val="0"/>
              <w:marTop w:val="0"/>
              <w:marBottom w:val="0"/>
              <w:divBdr>
                <w:top w:val="none" w:sz="0" w:space="0" w:color="auto"/>
                <w:left w:val="none" w:sz="0" w:space="0" w:color="auto"/>
                <w:bottom w:val="none" w:sz="0" w:space="0" w:color="auto"/>
                <w:right w:val="none" w:sz="0" w:space="0" w:color="auto"/>
              </w:divBdr>
              <w:divsChild>
                <w:div w:id="207688138">
                  <w:marLeft w:val="0"/>
                  <w:marRight w:val="0"/>
                  <w:marTop w:val="0"/>
                  <w:marBottom w:val="0"/>
                  <w:divBdr>
                    <w:top w:val="none" w:sz="0" w:space="0" w:color="auto"/>
                    <w:left w:val="none" w:sz="0" w:space="0" w:color="auto"/>
                    <w:bottom w:val="none" w:sz="0" w:space="0" w:color="auto"/>
                    <w:right w:val="none" w:sz="0" w:space="0" w:color="auto"/>
                  </w:divBdr>
                </w:div>
              </w:divsChild>
            </w:div>
            <w:div w:id="229849199">
              <w:marLeft w:val="0"/>
              <w:marRight w:val="0"/>
              <w:marTop w:val="0"/>
              <w:marBottom w:val="0"/>
              <w:divBdr>
                <w:top w:val="none" w:sz="0" w:space="0" w:color="auto"/>
                <w:left w:val="none" w:sz="0" w:space="0" w:color="auto"/>
                <w:bottom w:val="none" w:sz="0" w:space="0" w:color="auto"/>
                <w:right w:val="none" w:sz="0" w:space="0" w:color="auto"/>
              </w:divBdr>
              <w:divsChild>
                <w:div w:id="640576380">
                  <w:marLeft w:val="0"/>
                  <w:marRight w:val="0"/>
                  <w:marTop w:val="0"/>
                  <w:marBottom w:val="0"/>
                  <w:divBdr>
                    <w:top w:val="none" w:sz="0" w:space="0" w:color="auto"/>
                    <w:left w:val="none" w:sz="0" w:space="0" w:color="auto"/>
                    <w:bottom w:val="none" w:sz="0" w:space="0" w:color="auto"/>
                    <w:right w:val="none" w:sz="0" w:space="0" w:color="auto"/>
                  </w:divBdr>
                </w:div>
              </w:divsChild>
            </w:div>
            <w:div w:id="229921407">
              <w:marLeft w:val="0"/>
              <w:marRight w:val="0"/>
              <w:marTop w:val="0"/>
              <w:marBottom w:val="0"/>
              <w:divBdr>
                <w:top w:val="none" w:sz="0" w:space="0" w:color="auto"/>
                <w:left w:val="none" w:sz="0" w:space="0" w:color="auto"/>
                <w:bottom w:val="none" w:sz="0" w:space="0" w:color="auto"/>
                <w:right w:val="none" w:sz="0" w:space="0" w:color="auto"/>
              </w:divBdr>
              <w:divsChild>
                <w:div w:id="1042094315">
                  <w:marLeft w:val="0"/>
                  <w:marRight w:val="0"/>
                  <w:marTop w:val="0"/>
                  <w:marBottom w:val="0"/>
                  <w:divBdr>
                    <w:top w:val="none" w:sz="0" w:space="0" w:color="auto"/>
                    <w:left w:val="none" w:sz="0" w:space="0" w:color="auto"/>
                    <w:bottom w:val="none" w:sz="0" w:space="0" w:color="auto"/>
                    <w:right w:val="none" w:sz="0" w:space="0" w:color="auto"/>
                  </w:divBdr>
                </w:div>
              </w:divsChild>
            </w:div>
            <w:div w:id="231426642">
              <w:marLeft w:val="0"/>
              <w:marRight w:val="0"/>
              <w:marTop w:val="0"/>
              <w:marBottom w:val="0"/>
              <w:divBdr>
                <w:top w:val="none" w:sz="0" w:space="0" w:color="auto"/>
                <w:left w:val="none" w:sz="0" w:space="0" w:color="auto"/>
                <w:bottom w:val="none" w:sz="0" w:space="0" w:color="auto"/>
                <w:right w:val="none" w:sz="0" w:space="0" w:color="auto"/>
              </w:divBdr>
              <w:divsChild>
                <w:div w:id="1795514115">
                  <w:marLeft w:val="0"/>
                  <w:marRight w:val="0"/>
                  <w:marTop w:val="0"/>
                  <w:marBottom w:val="0"/>
                  <w:divBdr>
                    <w:top w:val="none" w:sz="0" w:space="0" w:color="auto"/>
                    <w:left w:val="none" w:sz="0" w:space="0" w:color="auto"/>
                    <w:bottom w:val="none" w:sz="0" w:space="0" w:color="auto"/>
                    <w:right w:val="none" w:sz="0" w:space="0" w:color="auto"/>
                  </w:divBdr>
                </w:div>
              </w:divsChild>
            </w:div>
            <w:div w:id="232543282">
              <w:marLeft w:val="0"/>
              <w:marRight w:val="0"/>
              <w:marTop w:val="0"/>
              <w:marBottom w:val="0"/>
              <w:divBdr>
                <w:top w:val="none" w:sz="0" w:space="0" w:color="auto"/>
                <w:left w:val="none" w:sz="0" w:space="0" w:color="auto"/>
                <w:bottom w:val="none" w:sz="0" w:space="0" w:color="auto"/>
                <w:right w:val="none" w:sz="0" w:space="0" w:color="auto"/>
              </w:divBdr>
              <w:divsChild>
                <w:div w:id="2028288144">
                  <w:marLeft w:val="0"/>
                  <w:marRight w:val="0"/>
                  <w:marTop w:val="0"/>
                  <w:marBottom w:val="0"/>
                  <w:divBdr>
                    <w:top w:val="none" w:sz="0" w:space="0" w:color="auto"/>
                    <w:left w:val="none" w:sz="0" w:space="0" w:color="auto"/>
                    <w:bottom w:val="none" w:sz="0" w:space="0" w:color="auto"/>
                    <w:right w:val="none" w:sz="0" w:space="0" w:color="auto"/>
                  </w:divBdr>
                </w:div>
              </w:divsChild>
            </w:div>
            <w:div w:id="232786756">
              <w:marLeft w:val="0"/>
              <w:marRight w:val="0"/>
              <w:marTop w:val="0"/>
              <w:marBottom w:val="0"/>
              <w:divBdr>
                <w:top w:val="none" w:sz="0" w:space="0" w:color="auto"/>
                <w:left w:val="none" w:sz="0" w:space="0" w:color="auto"/>
                <w:bottom w:val="none" w:sz="0" w:space="0" w:color="auto"/>
                <w:right w:val="none" w:sz="0" w:space="0" w:color="auto"/>
              </w:divBdr>
              <w:divsChild>
                <w:div w:id="187106805">
                  <w:marLeft w:val="0"/>
                  <w:marRight w:val="0"/>
                  <w:marTop w:val="0"/>
                  <w:marBottom w:val="0"/>
                  <w:divBdr>
                    <w:top w:val="none" w:sz="0" w:space="0" w:color="auto"/>
                    <w:left w:val="none" w:sz="0" w:space="0" w:color="auto"/>
                    <w:bottom w:val="none" w:sz="0" w:space="0" w:color="auto"/>
                    <w:right w:val="none" w:sz="0" w:space="0" w:color="auto"/>
                  </w:divBdr>
                </w:div>
              </w:divsChild>
            </w:div>
            <w:div w:id="233469556">
              <w:marLeft w:val="0"/>
              <w:marRight w:val="0"/>
              <w:marTop w:val="0"/>
              <w:marBottom w:val="0"/>
              <w:divBdr>
                <w:top w:val="none" w:sz="0" w:space="0" w:color="auto"/>
                <w:left w:val="none" w:sz="0" w:space="0" w:color="auto"/>
                <w:bottom w:val="none" w:sz="0" w:space="0" w:color="auto"/>
                <w:right w:val="none" w:sz="0" w:space="0" w:color="auto"/>
              </w:divBdr>
              <w:divsChild>
                <w:div w:id="1904556697">
                  <w:marLeft w:val="0"/>
                  <w:marRight w:val="0"/>
                  <w:marTop w:val="0"/>
                  <w:marBottom w:val="0"/>
                  <w:divBdr>
                    <w:top w:val="none" w:sz="0" w:space="0" w:color="auto"/>
                    <w:left w:val="none" w:sz="0" w:space="0" w:color="auto"/>
                    <w:bottom w:val="none" w:sz="0" w:space="0" w:color="auto"/>
                    <w:right w:val="none" w:sz="0" w:space="0" w:color="auto"/>
                  </w:divBdr>
                </w:div>
              </w:divsChild>
            </w:div>
            <w:div w:id="233709897">
              <w:marLeft w:val="0"/>
              <w:marRight w:val="0"/>
              <w:marTop w:val="0"/>
              <w:marBottom w:val="0"/>
              <w:divBdr>
                <w:top w:val="none" w:sz="0" w:space="0" w:color="auto"/>
                <w:left w:val="none" w:sz="0" w:space="0" w:color="auto"/>
                <w:bottom w:val="none" w:sz="0" w:space="0" w:color="auto"/>
                <w:right w:val="none" w:sz="0" w:space="0" w:color="auto"/>
              </w:divBdr>
              <w:divsChild>
                <w:div w:id="529804625">
                  <w:marLeft w:val="0"/>
                  <w:marRight w:val="0"/>
                  <w:marTop w:val="0"/>
                  <w:marBottom w:val="0"/>
                  <w:divBdr>
                    <w:top w:val="none" w:sz="0" w:space="0" w:color="auto"/>
                    <w:left w:val="none" w:sz="0" w:space="0" w:color="auto"/>
                    <w:bottom w:val="none" w:sz="0" w:space="0" w:color="auto"/>
                    <w:right w:val="none" w:sz="0" w:space="0" w:color="auto"/>
                  </w:divBdr>
                </w:div>
              </w:divsChild>
            </w:div>
            <w:div w:id="235938673">
              <w:marLeft w:val="0"/>
              <w:marRight w:val="0"/>
              <w:marTop w:val="0"/>
              <w:marBottom w:val="0"/>
              <w:divBdr>
                <w:top w:val="none" w:sz="0" w:space="0" w:color="auto"/>
                <w:left w:val="none" w:sz="0" w:space="0" w:color="auto"/>
                <w:bottom w:val="none" w:sz="0" w:space="0" w:color="auto"/>
                <w:right w:val="none" w:sz="0" w:space="0" w:color="auto"/>
              </w:divBdr>
              <w:divsChild>
                <w:div w:id="1251086401">
                  <w:marLeft w:val="0"/>
                  <w:marRight w:val="0"/>
                  <w:marTop w:val="0"/>
                  <w:marBottom w:val="0"/>
                  <w:divBdr>
                    <w:top w:val="none" w:sz="0" w:space="0" w:color="auto"/>
                    <w:left w:val="none" w:sz="0" w:space="0" w:color="auto"/>
                    <w:bottom w:val="none" w:sz="0" w:space="0" w:color="auto"/>
                    <w:right w:val="none" w:sz="0" w:space="0" w:color="auto"/>
                  </w:divBdr>
                </w:div>
              </w:divsChild>
            </w:div>
            <w:div w:id="235943728">
              <w:marLeft w:val="0"/>
              <w:marRight w:val="0"/>
              <w:marTop w:val="0"/>
              <w:marBottom w:val="0"/>
              <w:divBdr>
                <w:top w:val="none" w:sz="0" w:space="0" w:color="auto"/>
                <w:left w:val="none" w:sz="0" w:space="0" w:color="auto"/>
                <w:bottom w:val="none" w:sz="0" w:space="0" w:color="auto"/>
                <w:right w:val="none" w:sz="0" w:space="0" w:color="auto"/>
              </w:divBdr>
              <w:divsChild>
                <w:div w:id="288779058">
                  <w:marLeft w:val="0"/>
                  <w:marRight w:val="0"/>
                  <w:marTop w:val="0"/>
                  <w:marBottom w:val="0"/>
                  <w:divBdr>
                    <w:top w:val="none" w:sz="0" w:space="0" w:color="auto"/>
                    <w:left w:val="none" w:sz="0" w:space="0" w:color="auto"/>
                    <w:bottom w:val="none" w:sz="0" w:space="0" w:color="auto"/>
                    <w:right w:val="none" w:sz="0" w:space="0" w:color="auto"/>
                  </w:divBdr>
                </w:div>
              </w:divsChild>
            </w:div>
            <w:div w:id="236717817">
              <w:marLeft w:val="0"/>
              <w:marRight w:val="0"/>
              <w:marTop w:val="0"/>
              <w:marBottom w:val="0"/>
              <w:divBdr>
                <w:top w:val="none" w:sz="0" w:space="0" w:color="auto"/>
                <w:left w:val="none" w:sz="0" w:space="0" w:color="auto"/>
                <w:bottom w:val="none" w:sz="0" w:space="0" w:color="auto"/>
                <w:right w:val="none" w:sz="0" w:space="0" w:color="auto"/>
              </w:divBdr>
              <w:divsChild>
                <w:div w:id="1569613234">
                  <w:marLeft w:val="0"/>
                  <w:marRight w:val="0"/>
                  <w:marTop w:val="0"/>
                  <w:marBottom w:val="0"/>
                  <w:divBdr>
                    <w:top w:val="none" w:sz="0" w:space="0" w:color="auto"/>
                    <w:left w:val="none" w:sz="0" w:space="0" w:color="auto"/>
                    <w:bottom w:val="none" w:sz="0" w:space="0" w:color="auto"/>
                    <w:right w:val="none" w:sz="0" w:space="0" w:color="auto"/>
                  </w:divBdr>
                </w:div>
              </w:divsChild>
            </w:div>
            <w:div w:id="236943427">
              <w:marLeft w:val="0"/>
              <w:marRight w:val="0"/>
              <w:marTop w:val="0"/>
              <w:marBottom w:val="0"/>
              <w:divBdr>
                <w:top w:val="none" w:sz="0" w:space="0" w:color="auto"/>
                <w:left w:val="none" w:sz="0" w:space="0" w:color="auto"/>
                <w:bottom w:val="none" w:sz="0" w:space="0" w:color="auto"/>
                <w:right w:val="none" w:sz="0" w:space="0" w:color="auto"/>
              </w:divBdr>
              <w:divsChild>
                <w:div w:id="1844391549">
                  <w:marLeft w:val="0"/>
                  <w:marRight w:val="0"/>
                  <w:marTop w:val="0"/>
                  <w:marBottom w:val="0"/>
                  <w:divBdr>
                    <w:top w:val="none" w:sz="0" w:space="0" w:color="auto"/>
                    <w:left w:val="none" w:sz="0" w:space="0" w:color="auto"/>
                    <w:bottom w:val="none" w:sz="0" w:space="0" w:color="auto"/>
                    <w:right w:val="none" w:sz="0" w:space="0" w:color="auto"/>
                  </w:divBdr>
                </w:div>
              </w:divsChild>
            </w:div>
            <w:div w:id="237138606">
              <w:marLeft w:val="0"/>
              <w:marRight w:val="0"/>
              <w:marTop w:val="0"/>
              <w:marBottom w:val="0"/>
              <w:divBdr>
                <w:top w:val="none" w:sz="0" w:space="0" w:color="auto"/>
                <w:left w:val="none" w:sz="0" w:space="0" w:color="auto"/>
                <w:bottom w:val="none" w:sz="0" w:space="0" w:color="auto"/>
                <w:right w:val="none" w:sz="0" w:space="0" w:color="auto"/>
              </w:divBdr>
              <w:divsChild>
                <w:div w:id="1265648632">
                  <w:marLeft w:val="0"/>
                  <w:marRight w:val="0"/>
                  <w:marTop w:val="0"/>
                  <w:marBottom w:val="0"/>
                  <w:divBdr>
                    <w:top w:val="none" w:sz="0" w:space="0" w:color="auto"/>
                    <w:left w:val="none" w:sz="0" w:space="0" w:color="auto"/>
                    <w:bottom w:val="none" w:sz="0" w:space="0" w:color="auto"/>
                    <w:right w:val="none" w:sz="0" w:space="0" w:color="auto"/>
                  </w:divBdr>
                </w:div>
              </w:divsChild>
            </w:div>
            <w:div w:id="237444419">
              <w:marLeft w:val="0"/>
              <w:marRight w:val="0"/>
              <w:marTop w:val="0"/>
              <w:marBottom w:val="0"/>
              <w:divBdr>
                <w:top w:val="none" w:sz="0" w:space="0" w:color="auto"/>
                <w:left w:val="none" w:sz="0" w:space="0" w:color="auto"/>
                <w:bottom w:val="none" w:sz="0" w:space="0" w:color="auto"/>
                <w:right w:val="none" w:sz="0" w:space="0" w:color="auto"/>
              </w:divBdr>
              <w:divsChild>
                <w:div w:id="242375059">
                  <w:marLeft w:val="0"/>
                  <w:marRight w:val="0"/>
                  <w:marTop w:val="0"/>
                  <w:marBottom w:val="0"/>
                  <w:divBdr>
                    <w:top w:val="none" w:sz="0" w:space="0" w:color="auto"/>
                    <w:left w:val="none" w:sz="0" w:space="0" w:color="auto"/>
                    <w:bottom w:val="none" w:sz="0" w:space="0" w:color="auto"/>
                    <w:right w:val="none" w:sz="0" w:space="0" w:color="auto"/>
                  </w:divBdr>
                </w:div>
              </w:divsChild>
            </w:div>
            <w:div w:id="237592605">
              <w:marLeft w:val="0"/>
              <w:marRight w:val="0"/>
              <w:marTop w:val="300"/>
              <w:marBottom w:val="300"/>
              <w:divBdr>
                <w:top w:val="none" w:sz="0" w:space="0" w:color="auto"/>
                <w:left w:val="none" w:sz="0" w:space="0" w:color="auto"/>
                <w:bottom w:val="none" w:sz="0" w:space="0" w:color="auto"/>
                <w:right w:val="none" w:sz="0" w:space="0" w:color="auto"/>
              </w:divBdr>
            </w:div>
            <w:div w:id="237910524">
              <w:marLeft w:val="0"/>
              <w:marRight w:val="0"/>
              <w:marTop w:val="0"/>
              <w:marBottom w:val="0"/>
              <w:divBdr>
                <w:top w:val="none" w:sz="0" w:space="0" w:color="auto"/>
                <w:left w:val="none" w:sz="0" w:space="0" w:color="auto"/>
                <w:bottom w:val="none" w:sz="0" w:space="0" w:color="auto"/>
                <w:right w:val="none" w:sz="0" w:space="0" w:color="auto"/>
              </w:divBdr>
              <w:divsChild>
                <w:div w:id="1535927190">
                  <w:marLeft w:val="0"/>
                  <w:marRight w:val="0"/>
                  <w:marTop w:val="0"/>
                  <w:marBottom w:val="0"/>
                  <w:divBdr>
                    <w:top w:val="none" w:sz="0" w:space="0" w:color="auto"/>
                    <w:left w:val="none" w:sz="0" w:space="0" w:color="auto"/>
                    <w:bottom w:val="none" w:sz="0" w:space="0" w:color="auto"/>
                    <w:right w:val="none" w:sz="0" w:space="0" w:color="auto"/>
                  </w:divBdr>
                </w:div>
              </w:divsChild>
            </w:div>
            <w:div w:id="237911693">
              <w:marLeft w:val="0"/>
              <w:marRight w:val="0"/>
              <w:marTop w:val="0"/>
              <w:marBottom w:val="0"/>
              <w:divBdr>
                <w:top w:val="none" w:sz="0" w:space="0" w:color="auto"/>
                <w:left w:val="none" w:sz="0" w:space="0" w:color="auto"/>
                <w:bottom w:val="none" w:sz="0" w:space="0" w:color="auto"/>
                <w:right w:val="none" w:sz="0" w:space="0" w:color="auto"/>
              </w:divBdr>
              <w:divsChild>
                <w:div w:id="1397318006">
                  <w:marLeft w:val="0"/>
                  <w:marRight w:val="0"/>
                  <w:marTop w:val="0"/>
                  <w:marBottom w:val="0"/>
                  <w:divBdr>
                    <w:top w:val="none" w:sz="0" w:space="0" w:color="auto"/>
                    <w:left w:val="none" w:sz="0" w:space="0" w:color="auto"/>
                    <w:bottom w:val="none" w:sz="0" w:space="0" w:color="auto"/>
                    <w:right w:val="none" w:sz="0" w:space="0" w:color="auto"/>
                  </w:divBdr>
                </w:div>
              </w:divsChild>
            </w:div>
            <w:div w:id="238906980">
              <w:marLeft w:val="0"/>
              <w:marRight w:val="0"/>
              <w:marTop w:val="0"/>
              <w:marBottom w:val="0"/>
              <w:divBdr>
                <w:top w:val="none" w:sz="0" w:space="0" w:color="auto"/>
                <w:left w:val="none" w:sz="0" w:space="0" w:color="auto"/>
                <w:bottom w:val="none" w:sz="0" w:space="0" w:color="auto"/>
                <w:right w:val="none" w:sz="0" w:space="0" w:color="auto"/>
              </w:divBdr>
              <w:divsChild>
                <w:div w:id="686639466">
                  <w:marLeft w:val="0"/>
                  <w:marRight w:val="0"/>
                  <w:marTop w:val="0"/>
                  <w:marBottom w:val="0"/>
                  <w:divBdr>
                    <w:top w:val="none" w:sz="0" w:space="0" w:color="auto"/>
                    <w:left w:val="none" w:sz="0" w:space="0" w:color="auto"/>
                    <w:bottom w:val="none" w:sz="0" w:space="0" w:color="auto"/>
                    <w:right w:val="none" w:sz="0" w:space="0" w:color="auto"/>
                  </w:divBdr>
                </w:div>
              </w:divsChild>
            </w:div>
            <w:div w:id="243301989">
              <w:marLeft w:val="0"/>
              <w:marRight w:val="0"/>
              <w:marTop w:val="0"/>
              <w:marBottom w:val="0"/>
              <w:divBdr>
                <w:top w:val="none" w:sz="0" w:space="0" w:color="auto"/>
                <w:left w:val="none" w:sz="0" w:space="0" w:color="auto"/>
                <w:bottom w:val="none" w:sz="0" w:space="0" w:color="auto"/>
                <w:right w:val="none" w:sz="0" w:space="0" w:color="auto"/>
              </w:divBdr>
              <w:divsChild>
                <w:div w:id="385295646">
                  <w:marLeft w:val="0"/>
                  <w:marRight w:val="0"/>
                  <w:marTop w:val="0"/>
                  <w:marBottom w:val="0"/>
                  <w:divBdr>
                    <w:top w:val="none" w:sz="0" w:space="0" w:color="auto"/>
                    <w:left w:val="none" w:sz="0" w:space="0" w:color="auto"/>
                    <w:bottom w:val="none" w:sz="0" w:space="0" w:color="auto"/>
                    <w:right w:val="none" w:sz="0" w:space="0" w:color="auto"/>
                  </w:divBdr>
                </w:div>
              </w:divsChild>
            </w:div>
            <w:div w:id="244187518">
              <w:marLeft w:val="0"/>
              <w:marRight w:val="0"/>
              <w:marTop w:val="0"/>
              <w:marBottom w:val="0"/>
              <w:divBdr>
                <w:top w:val="none" w:sz="0" w:space="0" w:color="auto"/>
                <w:left w:val="none" w:sz="0" w:space="0" w:color="auto"/>
                <w:bottom w:val="none" w:sz="0" w:space="0" w:color="auto"/>
                <w:right w:val="none" w:sz="0" w:space="0" w:color="auto"/>
              </w:divBdr>
              <w:divsChild>
                <w:div w:id="888422044">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300"/>
              <w:marBottom w:val="300"/>
              <w:divBdr>
                <w:top w:val="none" w:sz="0" w:space="0" w:color="auto"/>
                <w:left w:val="none" w:sz="0" w:space="0" w:color="auto"/>
                <w:bottom w:val="none" w:sz="0" w:space="0" w:color="auto"/>
                <w:right w:val="none" w:sz="0" w:space="0" w:color="auto"/>
              </w:divBdr>
            </w:div>
            <w:div w:id="245461421">
              <w:marLeft w:val="0"/>
              <w:marRight w:val="0"/>
              <w:marTop w:val="0"/>
              <w:marBottom w:val="0"/>
              <w:divBdr>
                <w:top w:val="none" w:sz="0" w:space="0" w:color="auto"/>
                <w:left w:val="none" w:sz="0" w:space="0" w:color="auto"/>
                <w:bottom w:val="none" w:sz="0" w:space="0" w:color="auto"/>
                <w:right w:val="none" w:sz="0" w:space="0" w:color="auto"/>
              </w:divBdr>
              <w:divsChild>
                <w:div w:id="326828276">
                  <w:marLeft w:val="0"/>
                  <w:marRight w:val="0"/>
                  <w:marTop w:val="0"/>
                  <w:marBottom w:val="0"/>
                  <w:divBdr>
                    <w:top w:val="none" w:sz="0" w:space="0" w:color="auto"/>
                    <w:left w:val="none" w:sz="0" w:space="0" w:color="auto"/>
                    <w:bottom w:val="none" w:sz="0" w:space="0" w:color="auto"/>
                    <w:right w:val="none" w:sz="0" w:space="0" w:color="auto"/>
                  </w:divBdr>
                </w:div>
              </w:divsChild>
            </w:div>
            <w:div w:id="246112668">
              <w:marLeft w:val="0"/>
              <w:marRight w:val="0"/>
              <w:marTop w:val="0"/>
              <w:marBottom w:val="0"/>
              <w:divBdr>
                <w:top w:val="none" w:sz="0" w:space="0" w:color="auto"/>
                <w:left w:val="none" w:sz="0" w:space="0" w:color="auto"/>
                <w:bottom w:val="none" w:sz="0" w:space="0" w:color="auto"/>
                <w:right w:val="none" w:sz="0" w:space="0" w:color="auto"/>
              </w:divBdr>
              <w:divsChild>
                <w:div w:id="902377189">
                  <w:marLeft w:val="0"/>
                  <w:marRight w:val="0"/>
                  <w:marTop w:val="0"/>
                  <w:marBottom w:val="0"/>
                  <w:divBdr>
                    <w:top w:val="none" w:sz="0" w:space="0" w:color="auto"/>
                    <w:left w:val="none" w:sz="0" w:space="0" w:color="auto"/>
                    <w:bottom w:val="none" w:sz="0" w:space="0" w:color="auto"/>
                    <w:right w:val="none" w:sz="0" w:space="0" w:color="auto"/>
                  </w:divBdr>
                </w:div>
              </w:divsChild>
            </w:div>
            <w:div w:id="246352745">
              <w:marLeft w:val="0"/>
              <w:marRight w:val="0"/>
              <w:marTop w:val="0"/>
              <w:marBottom w:val="0"/>
              <w:divBdr>
                <w:top w:val="none" w:sz="0" w:space="0" w:color="auto"/>
                <w:left w:val="none" w:sz="0" w:space="0" w:color="auto"/>
                <w:bottom w:val="none" w:sz="0" w:space="0" w:color="auto"/>
                <w:right w:val="none" w:sz="0" w:space="0" w:color="auto"/>
              </w:divBdr>
              <w:divsChild>
                <w:div w:id="322241960">
                  <w:marLeft w:val="0"/>
                  <w:marRight w:val="0"/>
                  <w:marTop w:val="0"/>
                  <w:marBottom w:val="0"/>
                  <w:divBdr>
                    <w:top w:val="none" w:sz="0" w:space="0" w:color="auto"/>
                    <w:left w:val="none" w:sz="0" w:space="0" w:color="auto"/>
                    <w:bottom w:val="none" w:sz="0" w:space="0" w:color="auto"/>
                    <w:right w:val="none" w:sz="0" w:space="0" w:color="auto"/>
                  </w:divBdr>
                </w:div>
              </w:divsChild>
            </w:div>
            <w:div w:id="246886451">
              <w:marLeft w:val="0"/>
              <w:marRight w:val="0"/>
              <w:marTop w:val="0"/>
              <w:marBottom w:val="0"/>
              <w:divBdr>
                <w:top w:val="none" w:sz="0" w:space="0" w:color="auto"/>
                <w:left w:val="none" w:sz="0" w:space="0" w:color="auto"/>
                <w:bottom w:val="none" w:sz="0" w:space="0" w:color="auto"/>
                <w:right w:val="none" w:sz="0" w:space="0" w:color="auto"/>
              </w:divBdr>
              <w:divsChild>
                <w:div w:id="1496989531">
                  <w:marLeft w:val="0"/>
                  <w:marRight w:val="0"/>
                  <w:marTop w:val="0"/>
                  <w:marBottom w:val="0"/>
                  <w:divBdr>
                    <w:top w:val="none" w:sz="0" w:space="0" w:color="auto"/>
                    <w:left w:val="none" w:sz="0" w:space="0" w:color="auto"/>
                    <w:bottom w:val="none" w:sz="0" w:space="0" w:color="auto"/>
                    <w:right w:val="none" w:sz="0" w:space="0" w:color="auto"/>
                  </w:divBdr>
                </w:div>
              </w:divsChild>
            </w:div>
            <w:div w:id="248582372">
              <w:marLeft w:val="0"/>
              <w:marRight w:val="0"/>
              <w:marTop w:val="0"/>
              <w:marBottom w:val="0"/>
              <w:divBdr>
                <w:top w:val="none" w:sz="0" w:space="0" w:color="auto"/>
                <w:left w:val="none" w:sz="0" w:space="0" w:color="auto"/>
                <w:bottom w:val="none" w:sz="0" w:space="0" w:color="auto"/>
                <w:right w:val="none" w:sz="0" w:space="0" w:color="auto"/>
              </w:divBdr>
              <w:divsChild>
                <w:div w:id="383912127">
                  <w:marLeft w:val="0"/>
                  <w:marRight w:val="0"/>
                  <w:marTop w:val="0"/>
                  <w:marBottom w:val="0"/>
                  <w:divBdr>
                    <w:top w:val="none" w:sz="0" w:space="0" w:color="auto"/>
                    <w:left w:val="none" w:sz="0" w:space="0" w:color="auto"/>
                    <w:bottom w:val="none" w:sz="0" w:space="0" w:color="auto"/>
                    <w:right w:val="none" w:sz="0" w:space="0" w:color="auto"/>
                  </w:divBdr>
                </w:div>
              </w:divsChild>
            </w:div>
            <w:div w:id="250428224">
              <w:marLeft w:val="0"/>
              <w:marRight w:val="0"/>
              <w:marTop w:val="0"/>
              <w:marBottom w:val="0"/>
              <w:divBdr>
                <w:top w:val="none" w:sz="0" w:space="0" w:color="auto"/>
                <w:left w:val="none" w:sz="0" w:space="0" w:color="auto"/>
                <w:bottom w:val="none" w:sz="0" w:space="0" w:color="auto"/>
                <w:right w:val="none" w:sz="0" w:space="0" w:color="auto"/>
              </w:divBdr>
              <w:divsChild>
                <w:div w:id="961766731">
                  <w:marLeft w:val="0"/>
                  <w:marRight w:val="0"/>
                  <w:marTop w:val="0"/>
                  <w:marBottom w:val="0"/>
                  <w:divBdr>
                    <w:top w:val="none" w:sz="0" w:space="0" w:color="auto"/>
                    <w:left w:val="none" w:sz="0" w:space="0" w:color="auto"/>
                    <w:bottom w:val="none" w:sz="0" w:space="0" w:color="auto"/>
                    <w:right w:val="none" w:sz="0" w:space="0" w:color="auto"/>
                  </w:divBdr>
                </w:div>
              </w:divsChild>
            </w:div>
            <w:div w:id="251014151">
              <w:marLeft w:val="0"/>
              <w:marRight w:val="0"/>
              <w:marTop w:val="0"/>
              <w:marBottom w:val="0"/>
              <w:divBdr>
                <w:top w:val="none" w:sz="0" w:space="0" w:color="auto"/>
                <w:left w:val="none" w:sz="0" w:space="0" w:color="auto"/>
                <w:bottom w:val="none" w:sz="0" w:space="0" w:color="auto"/>
                <w:right w:val="none" w:sz="0" w:space="0" w:color="auto"/>
              </w:divBdr>
              <w:divsChild>
                <w:div w:id="1306357751">
                  <w:marLeft w:val="0"/>
                  <w:marRight w:val="0"/>
                  <w:marTop w:val="0"/>
                  <w:marBottom w:val="0"/>
                  <w:divBdr>
                    <w:top w:val="none" w:sz="0" w:space="0" w:color="auto"/>
                    <w:left w:val="none" w:sz="0" w:space="0" w:color="auto"/>
                    <w:bottom w:val="none" w:sz="0" w:space="0" w:color="auto"/>
                    <w:right w:val="none" w:sz="0" w:space="0" w:color="auto"/>
                  </w:divBdr>
                </w:div>
              </w:divsChild>
            </w:div>
            <w:div w:id="251164447">
              <w:marLeft w:val="0"/>
              <w:marRight w:val="0"/>
              <w:marTop w:val="0"/>
              <w:marBottom w:val="0"/>
              <w:divBdr>
                <w:top w:val="none" w:sz="0" w:space="0" w:color="auto"/>
                <w:left w:val="none" w:sz="0" w:space="0" w:color="auto"/>
                <w:bottom w:val="none" w:sz="0" w:space="0" w:color="auto"/>
                <w:right w:val="none" w:sz="0" w:space="0" w:color="auto"/>
              </w:divBdr>
              <w:divsChild>
                <w:div w:id="1734232116">
                  <w:marLeft w:val="0"/>
                  <w:marRight w:val="0"/>
                  <w:marTop w:val="0"/>
                  <w:marBottom w:val="0"/>
                  <w:divBdr>
                    <w:top w:val="none" w:sz="0" w:space="0" w:color="auto"/>
                    <w:left w:val="none" w:sz="0" w:space="0" w:color="auto"/>
                    <w:bottom w:val="none" w:sz="0" w:space="0" w:color="auto"/>
                    <w:right w:val="none" w:sz="0" w:space="0" w:color="auto"/>
                  </w:divBdr>
                </w:div>
              </w:divsChild>
            </w:div>
            <w:div w:id="252707581">
              <w:marLeft w:val="0"/>
              <w:marRight w:val="0"/>
              <w:marTop w:val="0"/>
              <w:marBottom w:val="0"/>
              <w:divBdr>
                <w:top w:val="none" w:sz="0" w:space="0" w:color="auto"/>
                <w:left w:val="none" w:sz="0" w:space="0" w:color="auto"/>
                <w:bottom w:val="none" w:sz="0" w:space="0" w:color="auto"/>
                <w:right w:val="none" w:sz="0" w:space="0" w:color="auto"/>
              </w:divBdr>
              <w:divsChild>
                <w:div w:id="1917477658">
                  <w:marLeft w:val="0"/>
                  <w:marRight w:val="0"/>
                  <w:marTop w:val="0"/>
                  <w:marBottom w:val="0"/>
                  <w:divBdr>
                    <w:top w:val="none" w:sz="0" w:space="0" w:color="auto"/>
                    <w:left w:val="none" w:sz="0" w:space="0" w:color="auto"/>
                    <w:bottom w:val="none" w:sz="0" w:space="0" w:color="auto"/>
                    <w:right w:val="none" w:sz="0" w:space="0" w:color="auto"/>
                  </w:divBdr>
                </w:div>
              </w:divsChild>
            </w:div>
            <w:div w:id="252904230">
              <w:marLeft w:val="0"/>
              <w:marRight w:val="0"/>
              <w:marTop w:val="300"/>
              <w:marBottom w:val="300"/>
              <w:divBdr>
                <w:top w:val="none" w:sz="0" w:space="0" w:color="auto"/>
                <w:left w:val="none" w:sz="0" w:space="0" w:color="auto"/>
                <w:bottom w:val="none" w:sz="0" w:space="0" w:color="auto"/>
                <w:right w:val="none" w:sz="0" w:space="0" w:color="auto"/>
              </w:divBdr>
            </w:div>
            <w:div w:id="253167866">
              <w:marLeft w:val="0"/>
              <w:marRight w:val="0"/>
              <w:marTop w:val="0"/>
              <w:marBottom w:val="0"/>
              <w:divBdr>
                <w:top w:val="none" w:sz="0" w:space="0" w:color="auto"/>
                <w:left w:val="none" w:sz="0" w:space="0" w:color="auto"/>
                <w:bottom w:val="none" w:sz="0" w:space="0" w:color="auto"/>
                <w:right w:val="none" w:sz="0" w:space="0" w:color="auto"/>
              </w:divBdr>
              <w:divsChild>
                <w:div w:id="1695111311">
                  <w:marLeft w:val="0"/>
                  <w:marRight w:val="0"/>
                  <w:marTop w:val="0"/>
                  <w:marBottom w:val="0"/>
                  <w:divBdr>
                    <w:top w:val="none" w:sz="0" w:space="0" w:color="auto"/>
                    <w:left w:val="none" w:sz="0" w:space="0" w:color="auto"/>
                    <w:bottom w:val="none" w:sz="0" w:space="0" w:color="auto"/>
                    <w:right w:val="none" w:sz="0" w:space="0" w:color="auto"/>
                  </w:divBdr>
                </w:div>
              </w:divsChild>
            </w:div>
            <w:div w:id="253170289">
              <w:marLeft w:val="0"/>
              <w:marRight w:val="0"/>
              <w:marTop w:val="300"/>
              <w:marBottom w:val="300"/>
              <w:divBdr>
                <w:top w:val="none" w:sz="0" w:space="0" w:color="auto"/>
                <w:left w:val="none" w:sz="0" w:space="0" w:color="auto"/>
                <w:bottom w:val="none" w:sz="0" w:space="0" w:color="auto"/>
                <w:right w:val="none" w:sz="0" w:space="0" w:color="auto"/>
              </w:divBdr>
            </w:div>
            <w:div w:id="254019575">
              <w:marLeft w:val="0"/>
              <w:marRight w:val="0"/>
              <w:marTop w:val="0"/>
              <w:marBottom w:val="0"/>
              <w:divBdr>
                <w:top w:val="none" w:sz="0" w:space="0" w:color="auto"/>
                <w:left w:val="none" w:sz="0" w:space="0" w:color="auto"/>
                <w:bottom w:val="none" w:sz="0" w:space="0" w:color="auto"/>
                <w:right w:val="none" w:sz="0" w:space="0" w:color="auto"/>
              </w:divBdr>
              <w:divsChild>
                <w:div w:id="680204497">
                  <w:marLeft w:val="0"/>
                  <w:marRight w:val="0"/>
                  <w:marTop w:val="0"/>
                  <w:marBottom w:val="0"/>
                  <w:divBdr>
                    <w:top w:val="none" w:sz="0" w:space="0" w:color="auto"/>
                    <w:left w:val="none" w:sz="0" w:space="0" w:color="auto"/>
                    <w:bottom w:val="none" w:sz="0" w:space="0" w:color="auto"/>
                    <w:right w:val="none" w:sz="0" w:space="0" w:color="auto"/>
                  </w:divBdr>
                </w:div>
              </w:divsChild>
            </w:div>
            <w:div w:id="254434783">
              <w:marLeft w:val="0"/>
              <w:marRight w:val="0"/>
              <w:marTop w:val="0"/>
              <w:marBottom w:val="0"/>
              <w:divBdr>
                <w:top w:val="none" w:sz="0" w:space="0" w:color="auto"/>
                <w:left w:val="none" w:sz="0" w:space="0" w:color="auto"/>
                <w:bottom w:val="none" w:sz="0" w:space="0" w:color="auto"/>
                <w:right w:val="none" w:sz="0" w:space="0" w:color="auto"/>
              </w:divBdr>
              <w:divsChild>
                <w:div w:id="317615686">
                  <w:marLeft w:val="0"/>
                  <w:marRight w:val="0"/>
                  <w:marTop w:val="0"/>
                  <w:marBottom w:val="0"/>
                  <w:divBdr>
                    <w:top w:val="none" w:sz="0" w:space="0" w:color="auto"/>
                    <w:left w:val="none" w:sz="0" w:space="0" w:color="auto"/>
                    <w:bottom w:val="none" w:sz="0" w:space="0" w:color="auto"/>
                    <w:right w:val="none" w:sz="0" w:space="0" w:color="auto"/>
                  </w:divBdr>
                </w:div>
              </w:divsChild>
            </w:div>
            <w:div w:id="256599276">
              <w:marLeft w:val="0"/>
              <w:marRight w:val="0"/>
              <w:marTop w:val="0"/>
              <w:marBottom w:val="0"/>
              <w:divBdr>
                <w:top w:val="none" w:sz="0" w:space="0" w:color="auto"/>
                <w:left w:val="none" w:sz="0" w:space="0" w:color="auto"/>
                <w:bottom w:val="none" w:sz="0" w:space="0" w:color="auto"/>
                <w:right w:val="none" w:sz="0" w:space="0" w:color="auto"/>
              </w:divBdr>
              <w:divsChild>
                <w:div w:id="1362899715">
                  <w:marLeft w:val="0"/>
                  <w:marRight w:val="0"/>
                  <w:marTop w:val="0"/>
                  <w:marBottom w:val="0"/>
                  <w:divBdr>
                    <w:top w:val="none" w:sz="0" w:space="0" w:color="auto"/>
                    <w:left w:val="none" w:sz="0" w:space="0" w:color="auto"/>
                    <w:bottom w:val="none" w:sz="0" w:space="0" w:color="auto"/>
                    <w:right w:val="none" w:sz="0" w:space="0" w:color="auto"/>
                  </w:divBdr>
                </w:div>
              </w:divsChild>
            </w:div>
            <w:div w:id="257641461">
              <w:marLeft w:val="0"/>
              <w:marRight w:val="0"/>
              <w:marTop w:val="0"/>
              <w:marBottom w:val="0"/>
              <w:divBdr>
                <w:top w:val="none" w:sz="0" w:space="0" w:color="auto"/>
                <w:left w:val="none" w:sz="0" w:space="0" w:color="auto"/>
                <w:bottom w:val="none" w:sz="0" w:space="0" w:color="auto"/>
                <w:right w:val="none" w:sz="0" w:space="0" w:color="auto"/>
              </w:divBdr>
              <w:divsChild>
                <w:div w:id="655577111">
                  <w:marLeft w:val="0"/>
                  <w:marRight w:val="0"/>
                  <w:marTop w:val="0"/>
                  <w:marBottom w:val="0"/>
                  <w:divBdr>
                    <w:top w:val="none" w:sz="0" w:space="0" w:color="auto"/>
                    <w:left w:val="none" w:sz="0" w:space="0" w:color="auto"/>
                    <w:bottom w:val="none" w:sz="0" w:space="0" w:color="auto"/>
                    <w:right w:val="none" w:sz="0" w:space="0" w:color="auto"/>
                  </w:divBdr>
                </w:div>
              </w:divsChild>
            </w:div>
            <w:div w:id="257979968">
              <w:marLeft w:val="0"/>
              <w:marRight w:val="0"/>
              <w:marTop w:val="0"/>
              <w:marBottom w:val="0"/>
              <w:divBdr>
                <w:top w:val="none" w:sz="0" w:space="0" w:color="auto"/>
                <w:left w:val="none" w:sz="0" w:space="0" w:color="auto"/>
                <w:bottom w:val="none" w:sz="0" w:space="0" w:color="auto"/>
                <w:right w:val="none" w:sz="0" w:space="0" w:color="auto"/>
              </w:divBdr>
              <w:divsChild>
                <w:div w:id="1886793445">
                  <w:marLeft w:val="0"/>
                  <w:marRight w:val="0"/>
                  <w:marTop w:val="0"/>
                  <w:marBottom w:val="0"/>
                  <w:divBdr>
                    <w:top w:val="none" w:sz="0" w:space="0" w:color="auto"/>
                    <w:left w:val="none" w:sz="0" w:space="0" w:color="auto"/>
                    <w:bottom w:val="none" w:sz="0" w:space="0" w:color="auto"/>
                    <w:right w:val="none" w:sz="0" w:space="0" w:color="auto"/>
                  </w:divBdr>
                </w:div>
              </w:divsChild>
            </w:div>
            <w:div w:id="258291387">
              <w:marLeft w:val="0"/>
              <w:marRight w:val="0"/>
              <w:marTop w:val="0"/>
              <w:marBottom w:val="0"/>
              <w:divBdr>
                <w:top w:val="none" w:sz="0" w:space="0" w:color="auto"/>
                <w:left w:val="none" w:sz="0" w:space="0" w:color="auto"/>
                <w:bottom w:val="none" w:sz="0" w:space="0" w:color="auto"/>
                <w:right w:val="none" w:sz="0" w:space="0" w:color="auto"/>
              </w:divBdr>
              <w:divsChild>
                <w:div w:id="1915164377">
                  <w:marLeft w:val="0"/>
                  <w:marRight w:val="0"/>
                  <w:marTop w:val="0"/>
                  <w:marBottom w:val="0"/>
                  <w:divBdr>
                    <w:top w:val="none" w:sz="0" w:space="0" w:color="auto"/>
                    <w:left w:val="none" w:sz="0" w:space="0" w:color="auto"/>
                    <w:bottom w:val="none" w:sz="0" w:space="0" w:color="auto"/>
                    <w:right w:val="none" w:sz="0" w:space="0" w:color="auto"/>
                  </w:divBdr>
                </w:div>
              </w:divsChild>
            </w:div>
            <w:div w:id="259992320">
              <w:marLeft w:val="0"/>
              <w:marRight w:val="0"/>
              <w:marTop w:val="0"/>
              <w:marBottom w:val="0"/>
              <w:divBdr>
                <w:top w:val="none" w:sz="0" w:space="0" w:color="auto"/>
                <w:left w:val="none" w:sz="0" w:space="0" w:color="auto"/>
                <w:bottom w:val="none" w:sz="0" w:space="0" w:color="auto"/>
                <w:right w:val="none" w:sz="0" w:space="0" w:color="auto"/>
              </w:divBdr>
              <w:divsChild>
                <w:div w:id="60836406">
                  <w:marLeft w:val="0"/>
                  <w:marRight w:val="0"/>
                  <w:marTop w:val="0"/>
                  <w:marBottom w:val="0"/>
                  <w:divBdr>
                    <w:top w:val="none" w:sz="0" w:space="0" w:color="auto"/>
                    <w:left w:val="none" w:sz="0" w:space="0" w:color="auto"/>
                    <w:bottom w:val="none" w:sz="0" w:space="0" w:color="auto"/>
                    <w:right w:val="none" w:sz="0" w:space="0" w:color="auto"/>
                  </w:divBdr>
                </w:div>
              </w:divsChild>
            </w:div>
            <w:div w:id="260454274">
              <w:marLeft w:val="0"/>
              <w:marRight w:val="0"/>
              <w:marTop w:val="0"/>
              <w:marBottom w:val="0"/>
              <w:divBdr>
                <w:top w:val="none" w:sz="0" w:space="0" w:color="auto"/>
                <w:left w:val="none" w:sz="0" w:space="0" w:color="auto"/>
                <w:bottom w:val="none" w:sz="0" w:space="0" w:color="auto"/>
                <w:right w:val="none" w:sz="0" w:space="0" w:color="auto"/>
              </w:divBdr>
              <w:divsChild>
                <w:div w:id="1974552101">
                  <w:marLeft w:val="0"/>
                  <w:marRight w:val="0"/>
                  <w:marTop w:val="0"/>
                  <w:marBottom w:val="0"/>
                  <w:divBdr>
                    <w:top w:val="none" w:sz="0" w:space="0" w:color="auto"/>
                    <w:left w:val="none" w:sz="0" w:space="0" w:color="auto"/>
                    <w:bottom w:val="none" w:sz="0" w:space="0" w:color="auto"/>
                    <w:right w:val="none" w:sz="0" w:space="0" w:color="auto"/>
                  </w:divBdr>
                </w:div>
              </w:divsChild>
            </w:div>
            <w:div w:id="260796029">
              <w:marLeft w:val="0"/>
              <w:marRight w:val="0"/>
              <w:marTop w:val="0"/>
              <w:marBottom w:val="0"/>
              <w:divBdr>
                <w:top w:val="none" w:sz="0" w:space="0" w:color="auto"/>
                <w:left w:val="none" w:sz="0" w:space="0" w:color="auto"/>
                <w:bottom w:val="none" w:sz="0" w:space="0" w:color="auto"/>
                <w:right w:val="none" w:sz="0" w:space="0" w:color="auto"/>
              </w:divBdr>
              <w:divsChild>
                <w:div w:id="47730283">
                  <w:marLeft w:val="0"/>
                  <w:marRight w:val="0"/>
                  <w:marTop w:val="0"/>
                  <w:marBottom w:val="0"/>
                  <w:divBdr>
                    <w:top w:val="none" w:sz="0" w:space="0" w:color="auto"/>
                    <w:left w:val="none" w:sz="0" w:space="0" w:color="auto"/>
                    <w:bottom w:val="none" w:sz="0" w:space="0" w:color="auto"/>
                    <w:right w:val="none" w:sz="0" w:space="0" w:color="auto"/>
                  </w:divBdr>
                </w:div>
              </w:divsChild>
            </w:div>
            <w:div w:id="261232546">
              <w:marLeft w:val="0"/>
              <w:marRight w:val="0"/>
              <w:marTop w:val="0"/>
              <w:marBottom w:val="0"/>
              <w:divBdr>
                <w:top w:val="none" w:sz="0" w:space="0" w:color="auto"/>
                <w:left w:val="none" w:sz="0" w:space="0" w:color="auto"/>
                <w:bottom w:val="none" w:sz="0" w:space="0" w:color="auto"/>
                <w:right w:val="none" w:sz="0" w:space="0" w:color="auto"/>
              </w:divBdr>
              <w:divsChild>
                <w:div w:id="646781851">
                  <w:marLeft w:val="0"/>
                  <w:marRight w:val="0"/>
                  <w:marTop w:val="0"/>
                  <w:marBottom w:val="0"/>
                  <w:divBdr>
                    <w:top w:val="none" w:sz="0" w:space="0" w:color="auto"/>
                    <w:left w:val="none" w:sz="0" w:space="0" w:color="auto"/>
                    <w:bottom w:val="none" w:sz="0" w:space="0" w:color="auto"/>
                    <w:right w:val="none" w:sz="0" w:space="0" w:color="auto"/>
                  </w:divBdr>
                </w:div>
              </w:divsChild>
            </w:div>
            <w:div w:id="261650139">
              <w:marLeft w:val="0"/>
              <w:marRight w:val="0"/>
              <w:marTop w:val="0"/>
              <w:marBottom w:val="0"/>
              <w:divBdr>
                <w:top w:val="none" w:sz="0" w:space="0" w:color="auto"/>
                <w:left w:val="none" w:sz="0" w:space="0" w:color="auto"/>
                <w:bottom w:val="none" w:sz="0" w:space="0" w:color="auto"/>
                <w:right w:val="none" w:sz="0" w:space="0" w:color="auto"/>
              </w:divBdr>
              <w:divsChild>
                <w:div w:id="649940671">
                  <w:marLeft w:val="0"/>
                  <w:marRight w:val="0"/>
                  <w:marTop w:val="0"/>
                  <w:marBottom w:val="0"/>
                  <w:divBdr>
                    <w:top w:val="none" w:sz="0" w:space="0" w:color="auto"/>
                    <w:left w:val="none" w:sz="0" w:space="0" w:color="auto"/>
                    <w:bottom w:val="none" w:sz="0" w:space="0" w:color="auto"/>
                    <w:right w:val="none" w:sz="0" w:space="0" w:color="auto"/>
                  </w:divBdr>
                </w:div>
              </w:divsChild>
            </w:div>
            <w:div w:id="261765069">
              <w:marLeft w:val="0"/>
              <w:marRight w:val="0"/>
              <w:marTop w:val="300"/>
              <w:marBottom w:val="300"/>
              <w:divBdr>
                <w:top w:val="none" w:sz="0" w:space="0" w:color="auto"/>
                <w:left w:val="none" w:sz="0" w:space="0" w:color="auto"/>
                <w:bottom w:val="none" w:sz="0" w:space="0" w:color="auto"/>
                <w:right w:val="none" w:sz="0" w:space="0" w:color="auto"/>
              </w:divBdr>
            </w:div>
            <w:div w:id="262080410">
              <w:marLeft w:val="0"/>
              <w:marRight w:val="0"/>
              <w:marTop w:val="0"/>
              <w:marBottom w:val="0"/>
              <w:divBdr>
                <w:top w:val="none" w:sz="0" w:space="0" w:color="auto"/>
                <w:left w:val="none" w:sz="0" w:space="0" w:color="auto"/>
                <w:bottom w:val="none" w:sz="0" w:space="0" w:color="auto"/>
                <w:right w:val="none" w:sz="0" w:space="0" w:color="auto"/>
              </w:divBdr>
              <w:divsChild>
                <w:div w:id="1601178815">
                  <w:marLeft w:val="0"/>
                  <w:marRight w:val="0"/>
                  <w:marTop w:val="0"/>
                  <w:marBottom w:val="0"/>
                  <w:divBdr>
                    <w:top w:val="none" w:sz="0" w:space="0" w:color="auto"/>
                    <w:left w:val="none" w:sz="0" w:space="0" w:color="auto"/>
                    <w:bottom w:val="none" w:sz="0" w:space="0" w:color="auto"/>
                    <w:right w:val="none" w:sz="0" w:space="0" w:color="auto"/>
                  </w:divBdr>
                </w:div>
              </w:divsChild>
            </w:div>
            <w:div w:id="263196225">
              <w:marLeft w:val="0"/>
              <w:marRight w:val="0"/>
              <w:marTop w:val="300"/>
              <w:marBottom w:val="300"/>
              <w:divBdr>
                <w:top w:val="none" w:sz="0" w:space="0" w:color="auto"/>
                <w:left w:val="none" w:sz="0" w:space="0" w:color="auto"/>
                <w:bottom w:val="none" w:sz="0" w:space="0" w:color="auto"/>
                <w:right w:val="none" w:sz="0" w:space="0" w:color="auto"/>
              </w:divBdr>
            </w:div>
            <w:div w:id="263391161">
              <w:marLeft w:val="0"/>
              <w:marRight w:val="0"/>
              <w:marTop w:val="300"/>
              <w:marBottom w:val="300"/>
              <w:divBdr>
                <w:top w:val="none" w:sz="0" w:space="0" w:color="auto"/>
                <w:left w:val="none" w:sz="0" w:space="0" w:color="auto"/>
                <w:bottom w:val="none" w:sz="0" w:space="0" w:color="auto"/>
                <w:right w:val="none" w:sz="0" w:space="0" w:color="auto"/>
              </w:divBdr>
            </w:div>
            <w:div w:id="266470039">
              <w:marLeft w:val="0"/>
              <w:marRight w:val="0"/>
              <w:marTop w:val="0"/>
              <w:marBottom w:val="0"/>
              <w:divBdr>
                <w:top w:val="none" w:sz="0" w:space="0" w:color="auto"/>
                <w:left w:val="none" w:sz="0" w:space="0" w:color="auto"/>
                <w:bottom w:val="none" w:sz="0" w:space="0" w:color="auto"/>
                <w:right w:val="none" w:sz="0" w:space="0" w:color="auto"/>
              </w:divBdr>
              <w:divsChild>
                <w:div w:id="971985356">
                  <w:marLeft w:val="0"/>
                  <w:marRight w:val="0"/>
                  <w:marTop w:val="0"/>
                  <w:marBottom w:val="0"/>
                  <w:divBdr>
                    <w:top w:val="none" w:sz="0" w:space="0" w:color="auto"/>
                    <w:left w:val="none" w:sz="0" w:space="0" w:color="auto"/>
                    <w:bottom w:val="none" w:sz="0" w:space="0" w:color="auto"/>
                    <w:right w:val="none" w:sz="0" w:space="0" w:color="auto"/>
                  </w:divBdr>
                </w:div>
              </w:divsChild>
            </w:div>
            <w:div w:id="266617147">
              <w:marLeft w:val="0"/>
              <w:marRight w:val="0"/>
              <w:marTop w:val="0"/>
              <w:marBottom w:val="0"/>
              <w:divBdr>
                <w:top w:val="none" w:sz="0" w:space="0" w:color="auto"/>
                <w:left w:val="none" w:sz="0" w:space="0" w:color="auto"/>
                <w:bottom w:val="none" w:sz="0" w:space="0" w:color="auto"/>
                <w:right w:val="none" w:sz="0" w:space="0" w:color="auto"/>
              </w:divBdr>
              <w:divsChild>
                <w:div w:id="1208253859">
                  <w:marLeft w:val="0"/>
                  <w:marRight w:val="0"/>
                  <w:marTop w:val="0"/>
                  <w:marBottom w:val="0"/>
                  <w:divBdr>
                    <w:top w:val="none" w:sz="0" w:space="0" w:color="auto"/>
                    <w:left w:val="none" w:sz="0" w:space="0" w:color="auto"/>
                    <w:bottom w:val="none" w:sz="0" w:space="0" w:color="auto"/>
                    <w:right w:val="none" w:sz="0" w:space="0" w:color="auto"/>
                  </w:divBdr>
                </w:div>
              </w:divsChild>
            </w:div>
            <w:div w:id="270432080">
              <w:marLeft w:val="0"/>
              <w:marRight w:val="0"/>
              <w:marTop w:val="300"/>
              <w:marBottom w:val="300"/>
              <w:divBdr>
                <w:top w:val="none" w:sz="0" w:space="0" w:color="auto"/>
                <w:left w:val="none" w:sz="0" w:space="0" w:color="auto"/>
                <w:bottom w:val="none" w:sz="0" w:space="0" w:color="auto"/>
                <w:right w:val="none" w:sz="0" w:space="0" w:color="auto"/>
              </w:divBdr>
            </w:div>
            <w:div w:id="272443004">
              <w:marLeft w:val="0"/>
              <w:marRight w:val="0"/>
              <w:marTop w:val="0"/>
              <w:marBottom w:val="0"/>
              <w:divBdr>
                <w:top w:val="none" w:sz="0" w:space="0" w:color="auto"/>
                <w:left w:val="none" w:sz="0" w:space="0" w:color="auto"/>
                <w:bottom w:val="none" w:sz="0" w:space="0" w:color="auto"/>
                <w:right w:val="none" w:sz="0" w:space="0" w:color="auto"/>
              </w:divBdr>
              <w:divsChild>
                <w:div w:id="105468961">
                  <w:marLeft w:val="0"/>
                  <w:marRight w:val="0"/>
                  <w:marTop w:val="0"/>
                  <w:marBottom w:val="0"/>
                  <w:divBdr>
                    <w:top w:val="none" w:sz="0" w:space="0" w:color="auto"/>
                    <w:left w:val="none" w:sz="0" w:space="0" w:color="auto"/>
                    <w:bottom w:val="none" w:sz="0" w:space="0" w:color="auto"/>
                    <w:right w:val="none" w:sz="0" w:space="0" w:color="auto"/>
                  </w:divBdr>
                </w:div>
              </w:divsChild>
            </w:div>
            <w:div w:id="273371125">
              <w:marLeft w:val="0"/>
              <w:marRight w:val="0"/>
              <w:marTop w:val="300"/>
              <w:marBottom w:val="300"/>
              <w:divBdr>
                <w:top w:val="none" w:sz="0" w:space="0" w:color="auto"/>
                <w:left w:val="none" w:sz="0" w:space="0" w:color="auto"/>
                <w:bottom w:val="none" w:sz="0" w:space="0" w:color="auto"/>
                <w:right w:val="none" w:sz="0" w:space="0" w:color="auto"/>
              </w:divBdr>
            </w:div>
            <w:div w:id="274489054">
              <w:marLeft w:val="0"/>
              <w:marRight w:val="0"/>
              <w:marTop w:val="0"/>
              <w:marBottom w:val="0"/>
              <w:divBdr>
                <w:top w:val="none" w:sz="0" w:space="0" w:color="auto"/>
                <w:left w:val="none" w:sz="0" w:space="0" w:color="auto"/>
                <w:bottom w:val="none" w:sz="0" w:space="0" w:color="auto"/>
                <w:right w:val="none" w:sz="0" w:space="0" w:color="auto"/>
              </w:divBdr>
              <w:divsChild>
                <w:div w:id="1118377696">
                  <w:marLeft w:val="0"/>
                  <w:marRight w:val="0"/>
                  <w:marTop w:val="0"/>
                  <w:marBottom w:val="0"/>
                  <w:divBdr>
                    <w:top w:val="none" w:sz="0" w:space="0" w:color="auto"/>
                    <w:left w:val="none" w:sz="0" w:space="0" w:color="auto"/>
                    <w:bottom w:val="none" w:sz="0" w:space="0" w:color="auto"/>
                    <w:right w:val="none" w:sz="0" w:space="0" w:color="auto"/>
                  </w:divBdr>
                </w:div>
              </w:divsChild>
            </w:div>
            <w:div w:id="275217087">
              <w:marLeft w:val="0"/>
              <w:marRight w:val="0"/>
              <w:marTop w:val="0"/>
              <w:marBottom w:val="0"/>
              <w:divBdr>
                <w:top w:val="none" w:sz="0" w:space="0" w:color="auto"/>
                <w:left w:val="none" w:sz="0" w:space="0" w:color="auto"/>
                <w:bottom w:val="none" w:sz="0" w:space="0" w:color="auto"/>
                <w:right w:val="none" w:sz="0" w:space="0" w:color="auto"/>
              </w:divBdr>
              <w:divsChild>
                <w:div w:id="1419325060">
                  <w:marLeft w:val="0"/>
                  <w:marRight w:val="0"/>
                  <w:marTop w:val="0"/>
                  <w:marBottom w:val="0"/>
                  <w:divBdr>
                    <w:top w:val="none" w:sz="0" w:space="0" w:color="auto"/>
                    <w:left w:val="none" w:sz="0" w:space="0" w:color="auto"/>
                    <w:bottom w:val="none" w:sz="0" w:space="0" w:color="auto"/>
                    <w:right w:val="none" w:sz="0" w:space="0" w:color="auto"/>
                  </w:divBdr>
                </w:div>
              </w:divsChild>
            </w:div>
            <w:div w:id="276914016">
              <w:marLeft w:val="0"/>
              <w:marRight w:val="0"/>
              <w:marTop w:val="0"/>
              <w:marBottom w:val="0"/>
              <w:divBdr>
                <w:top w:val="none" w:sz="0" w:space="0" w:color="auto"/>
                <w:left w:val="none" w:sz="0" w:space="0" w:color="auto"/>
                <w:bottom w:val="none" w:sz="0" w:space="0" w:color="auto"/>
                <w:right w:val="none" w:sz="0" w:space="0" w:color="auto"/>
              </w:divBdr>
              <w:divsChild>
                <w:div w:id="1160346249">
                  <w:marLeft w:val="0"/>
                  <w:marRight w:val="0"/>
                  <w:marTop w:val="0"/>
                  <w:marBottom w:val="0"/>
                  <w:divBdr>
                    <w:top w:val="none" w:sz="0" w:space="0" w:color="auto"/>
                    <w:left w:val="none" w:sz="0" w:space="0" w:color="auto"/>
                    <w:bottom w:val="none" w:sz="0" w:space="0" w:color="auto"/>
                    <w:right w:val="none" w:sz="0" w:space="0" w:color="auto"/>
                  </w:divBdr>
                </w:div>
              </w:divsChild>
            </w:div>
            <w:div w:id="279185906">
              <w:marLeft w:val="0"/>
              <w:marRight w:val="0"/>
              <w:marTop w:val="0"/>
              <w:marBottom w:val="0"/>
              <w:divBdr>
                <w:top w:val="none" w:sz="0" w:space="0" w:color="auto"/>
                <w:left w:val="none" w:sz="0" w:space="0" w:color="auto"/>
                <w:bottom w:val="none" w:sz="0" w:space="0" w:color="auto"/>
                <w:right w:val="none" w:sz="0" w:space="0" w:color="auto"/>
              </w:divBdr>
              <w:divsChild>
                <w:div w:id="1401636479">
                  <w:marLeft w:val="0"/>
                  <w:marRight w:val="0"/>
                  <w:marTop w:val="0"/>
                  <w:marBottom w:val="0"/>
                  <w:divBdr>
                    <w:top w:val="none" w:sz="0" w:space="0" w:color="auto"/>
                    <w:left w:val="none" w:sz="0" w:space="0" w:color="auto"/>
                    <w:bottom w:val="none" w:sz="0" w:space="0" w:color="auto"/>
                    <w:right w:val="none" w:sz="0" w:space="0" w:color="auto"/>
                  </w:divBdr>
                </w:div>
              </w:divsChild>
            </w:div>
            <w:div w:id="279650860">
              <w:marLeft w:val="0"/>
              <w:marRight w:val="0"/>
              <w:marTop w:val="0"/>
              <w:marBottom w:val="0"/>
              <w:divBdr>
                <w:top w:val="none" w:sz="0" w:space="0" w:color="auto"/>
                <w:left w:val="none" w:sz="0" w:space="0" w:color="auto"/>
                <w:bottom w:val="none" w:sz="0" w:space="0" w:color="auto"/>
                <w:right w:val="none" w:sz="0" w:space="0" w:color="auto"/>
              </w:divBdr>
              <w:divsChild>
                <w:div w:id="2036348799">
                  <w:marLeft w:val="0"/>
                  <w:marRight w:val="0"/>
                  <w:marTop w:val="0"/>
                  <w:marBottom w:val="0"/>
                  <w:divBdr>
                    <w:top w:val="none" w:sz="0" w:space="0" w:color="auto"/>
                    <w:left w:val="none" w:sz="0" w:space="0" w:color="auto"/>
                    <w:bottom w:val="none" w:sz="0" w:space="0" w:color="auto"/>
                    <w:right w:val="none" w:sz="0" w:space="0" w:color="auto"/>
                  </w:divBdr>
                </w:div>
              </w:divsChild>
            </w:div>
            <w:div w:id="282347770">
              <w:marLeft w:val="0"/>
              <w:marRight w:val="0"/>
              <w:marTop w:val="0"/>
              <w:marBottom w:val="0"/>
              <w:divBdr>
                <w:top w:val="none" w:sz="0" w:space="0" w:color="auto"/>
                <w:left w:val="none" w:sz="0" w:space="0" w:color="auto"/>
                <w:bottom w:val="none" w:sz="0" w:space="0" w:color="auto"/>
                <w:right w:val="none" w:sz="0" w:space="0" w:color="auto"/>
              </w:divBdr>
              <w:divsChild>
                <w:div w:id="1976715049">
                  <w:marLeft w:val="0"/>
                  <w:marRight w:val="0"/>
                  <w:marTop w:val="0"/>
                  <w:marBottom w:val="0"/>
                  <w:divBdr>
                    <w:top w:val="none" w:sz="0" w:space="0" w:color="auto"/>
                    <w:left w:val="none" w:sz="0" w:space="0" w:color="auto"/>
                    <w:bottom w:val="none" w:sz="0" w:space="0" w:color="auto"/>
                    <w:right w:val="none" w:sz="0" w:space="0" w:color="auto"/>
                  </w:divBdr>
                </w:div>
              </w:divsChild>
            </w:div>
            <w:div w:id="282884217">
              <w:marLeft w:val="0"/>
              <w:marRight w:val="0"/>
              <w:marTop w:val="300"/>
              <w:marBottom w:val="300"/>
              <w:divBdr>
                <w:top w:val="none" w:sz="0" w:space="0" w:color="auto"/>
                <w:left w:val="none" w:sz="0" w:space="0" w:color="auto"/>
                <w:bottom w:val="none" w:sz="0" w:space="0" w:color="auto"/>
                <w:right w:val="none" w:sz="0" w:space="0" w:color="auto"/>
              </w:divBdr>
            </w:div>
            <w:div w:id="283928697">
              <w:marLeft w:val="0"/>
              <w:marRight w:val="0"/>
              <w:marTop w:val="0"/>
              <w:marBottom w:val="0"/>
              <w:divBdr>
                <w:top w:val="none" w:sz="0" w:space="0" w:color="auto"/>
                <w:left w:val="none" w:sz="0" w:space="0" w:color="auto"/>
                <w:bottom w:val="none" w:sz="0" w:space="0" w:color="auto"/>
                <w:right w:val="none" w:sz="0" w:space="0" w:color="auto"/>
              </w:divBdr>
              <w:divsChild>
                <w:div w:id="488178709">
                  <w:marLeft w:val="0"/>
                  <w:marRight w:val="0"/>
                  <w:marTop w:val="0"/>
                  <w:marBottom w:val="0"/>
                  <w:divBdr>
                    <w:top w:val="none" w:sz="0" w:space="0" w:color="auto"/>
                    <w:left w:val="none" w:sz="0" w:space="0" w:color="auto"/>
                    <w:bottom w:val="none" w:sz="0" w:space="0" w:color="auto"/>
                    <w:right w:val="none" w:sz="0" w:space="0" w:color="auto"/>
                  </w:divBdr>
                </w:div>
              </w:divsChild>
            </w:div>
            <w:div w:id="284118971">
              <w:marLeft w:val="0"/>
              <w:marRight w:val="0"/>
              <w:marTop w:val="0"/>
              <w:marBottom w:val="0"/>
              <w:divBdr>
                <w:top w:val="none" w:sz="0" w:space="0" w:color="auto"/>
                <w:left w:val="none" w:sz="0" w:space="0" w:color="auto"/>
                <w:bottom w:val="none" w:sz="0" w:space="0" w:color="auto"/>
                <w:right w:val="none" w:sz="0" w:space="0" w:color="auto"/>
              </w:divBdr>
              <w:divsChild>
                <w:div w:id="400643372">
                  <w:marLeft w:val="0"/>
                  <w:marRight w:val="0"/>
                  <w:marTop w:val="0"/>
                  <w:marBottom w:val="0"/>
                  <w:divBdr>
                    <w:top w:val="none" w:sz="0" w:space="0" w:color="auto"/>
                    <w:left w:val="none" w:sz="0" w:space="0" w:color="auto"/>
                    <w:bottom w:val="none" w:sz="0" w:space="0" w:color="auto"/>
                    <w:right w:val="none" w:sz="0" w:space="0" w:color="auto"/>
                  </w:divBdr>
                </w:div>
              </w:divsChild>
            </w:div>
            <w:div w:id="284120153">
              <w:marLeft w:val="0"/>
              <w:marRight w:val="0"/>
              <w:marTop w:val="0"/>
              <w:marBottom w:val="0"/>
              <w:divBdr>
                <w:top w:val="none" w:sz="0" w:space="0" w:color="auto"/>
                <w:left w:val="none" w:sz="0" w:space="0" w:color="auto"/>
                <w:bottom w:val="none" w:sz="0" w:space="0" w:color="auto"/>
                <w:right w:val="none" w:sz="0" w:space="0" w:color="auto"/>
              </w:divBdr>
              <w:divsChild>
                <w:div w:id="1952857323">
                  <w:marLeft w:val="0"/>
                  <w:marRight w:val="0"/>
                  <w:marTop w:val="0"/>
                  <w:marBottom w:val="0"/>
                  <w:divBdr>
                    <w:top w:val="none" w:sz="0" w:space="0" w:color="auto"/>
                    <w:left w:val="none" w:sz="0" w:space="0" w:color="auto"/>
                    <w:bottom w:val="none" w:sz="0" w:space="0" w:color="auto"/>
                    <w:right w:val="none" w:sz="0" w:space="0" w:color="auto"/>
                  </w:divBdr>
                </w:div>
              </w:divsChild>
            </w:div>
            <w:div w:id="287973405">
              <w:marLeft w:val="0"/>
              <w:marRight w:val="0"/>
              <w:marTop w:val="0"/>
              <w:marBottom w:val="0"/>
              <w:divBdr>
                <w:top w:val="none" w:sz="0" w:space="0" w:color="auto"/>
                <w:left w:val="none" w:sz="0" w:space="0" w:color="auto"/>
                <w:bottom w:val="none" w:sz="0" w:space="0" w:color="auto"/>
                <w:right w:val="none" w:sz="0" w:space="0" w:color="auto"/>
              </w:divBdr>
              <w:divsChild>
                <w:div w:id="786580261">
                  <w:marLeft w:val="0"/>
                  <w:marRight w:val="0"/>
                  <w:marTop w:val="0"/>
                  <w:marBottom w:val="0"/>
                  <w:divBdr>
                    <w:top w:val="none" w:sz="0" w:space="0" w:color="auto"/>
                    <w:left w:val="none" w:sz="0" w:space="0" w:color="auto"/>
                    <w:bottom w:val="none" w:sz="0" w:space="0" w:color="auto"/>
                    <w:right w:val="none" w:sz="0" w:space="0" w:color="auto"/>
                  </w:divBdr>
                </w:div>
              </w:divsChild>
            </w:div>
            <w:div w:id="289633006">
              <w:marLeft w:val="0"/>
              <w:marRight w:val="0"/>
              <w:marTop w:val="0"/>
              <w:marBottom w:val="0"/>
              <w:divBdr>
                <w:top w:val="none" w:sz="0" w:space="0" w:color="auto"/>
                <w:left w:val="none" w:sz="0" w:space="0" w:color="auto"/>
                <w:bottom w:val="none" w:sz="0" w:space="0" w:color="auto"/>
                <w:right w:val="none" w:sz="0" w:space="0" w:color="auto"/>
              </w:divBdr>
              <w:divsChild>
                <w:div w:id="273446183">
                  <w:marLeft w:val="0"/>
                  <w:marRight w:val="0"/>
                  <w:marTop w:val="0"/>
                  <w:marBottom w:val="0"/>
                  <w:divBdr>
                    <w:top w:val="none" w:sz="0" w:space="0" w:color="auto"/>
                    <w:left w:val="none" w:sz="0" w:space="0" w:color="auto"/>
                    <w:bottom w:val="none" w:sz="0" w:space="0" w:color="auto"/>
                    <w:right w:val="none" w:sz="0" w:space="0" w:color="auto"/>
                  </w:divBdr>
                </w:div>
              </w:divsChild>
            </w:div>
            <w:div w:id="290205944">
              <w:marLeft w:val="0"/>
              <w:marRight w:val="0"/>
              <w:marTop w:val="0"/>
              <w:marBottom w:val="0"/>
              <w:divBdr>
                <w:top w:val="none" w:sz="0" w:space="0" w:color="auto"/>
                <w:left w:val="none" w:sz="0" w:space="0" w:color="auto"/>
                <w:bottom w:val="none" w:sz="0" w:space="0" w:color="auto"/>
                <w:right w:val="none" w:sz="0" w:space="0" w:color="auto"/>
              </w:divBdr>
              <w:divsChild>
                <w:div w:id="1805728702">
                  <w:marLeft w:val="0"/>
                  <w:marRight w:val="0"/>
                  <w:marTop w:val="0"/>
                  <w:marBottom w:val="0"/>
                  <w:divBdr>
                    <w:top w:val="none" w:sz="0" w:space="0" w:color="auto"/>
                    <w:left w:val="none" w:sz="0" w:space="0" w:color="auto"/>
                    <w:bottom w:val="none" w:sz="0" w:space="0" w:color="auto"/>
                    <w:right w:val="none" w:sz="0" w:space="0" w:color="auto"/>
                  </w:divBdr>
                </w:div>
              </w:divsChild>
            </w:div>
            <w:div w:id="290865699">
              <w:marLeft w:val="0"/>
              <w:marRight w:val="0"/>
              <w:marTop w:val="0"/>
              <w:marBottom w:val="0"/>
              <w:divBdr>
                <w:top w:val="none" w:sz="0" w:space="0" w:color="auto"/>
                <w:left w:val="none" w:sz="0" w:space="0" w:color="auto"/>
                <w:bottom w:val="none" w:sz="0" w:space="0" w:color="auto"/>
                <w:right w:val="none" w:sz="0" w:space="0" w:color="auto"/>
              </w:divBdr>
              <w:divsChild>
                <w:div w:id="1160660453">
                  <w:marLeft w:val="0"/>
                  <w:marRight w:val="0"/>
                  <w:marTop w:val="0"/>
                  <w:marBottom w:val="0"/>
                  <w:divBdr>
                    <w:top w:val="none" w:sz="0" w:space="0" w:color="auto"/>
                    <w:left w:val="none" w:sz="0" w:space="0" w:color="auto"/>
                    <w:bottom w:val="none" w:sz="0" w:space="0" w:color="auto"/>
                    <w:right w:val="none" w:sz="0" w:space="0" w:color="auto"/>
                  </w:divBdr>
                </w:div>
              </w:divsChild>
            </w:div>
            <w:div w:id="291135175">
              <w:marLeft w:val="0"/>
              <w:marRight w:val="0"/>
              <w:marTop w:val="0"/>
              <w:marBottom w:val="0"/>
              <w:divBdr>
                <w:top w:val="none" w:sz="0" w:space="0" w:color="auto"/>
                <w:left w:val="none" w:sz="0" w:space="0" w:color="auto"/>
                <w:bottom w:val="none" w:sz="0" w:space="0" w:color="auto"/>
                <w:right w:val="none" w:sz="0" w:space="0" w:color="auto"/>
              </w:divBdr>
              <w:divsChild>
                <w:div w:id="500511921">
                  <w:marLeft w:val="0"/>
                  <w:marRight w:val="0"/>
                  <w:marTop w:val="0"/>
                  <w:marBottom w:val="0"/>
                  <w:divBdr>
                    <w:top w:val="none" w:sz="0" w:space="0" w:color="auto"/>
                    <w:left w:val="none" w:sz="0" w:space="0" w:color="auto"/>
                    <w:bottom w:val="none" w:sz="0" w:space="0" w:color="auto"/>
                    <w:right w:val="none" w:sz="0" w:space="0" w:color="auto"/>
                  </w:divBdr>
                </w:div>
              </w:divsChild>
            </w:div>
            <w:div w:id="292836562">
              <w:marLeft w:val="0"/>
              <w:marRight w:val="0"/>
              <w:marTop w:val="0"/>
              <w:marBottom w:val="0"/>
              <w:divBdr>
                <w:top w:val="none" w:sz="0" w:space="0" w:color="auto"/>
                <w:left w:val="none" w:sz="0" w:space="0" w:color="auto"/>
                <w:bottom w:val="none" w:sz="0" w:space="0" w:color="auto"/>
                <w:right w:val="none" w:sz="0" w:space="0" w:color="auto"/>
              </w:divBdr>
              <w:divsChild>
                <w:div w:id="588540589">
                  <w:marLeft w:val="0"/>
                  <w:marRight w:val="0"/>
                  <w:marTop w:val="0"/>
                  <w:marBottom w:val="0"/>
                  <w:divBdr>
                    <w:top w:val="none" w:sz="0" w:space="0" w:color="auto"/>
                    <w:left w:val="none" w:sz="0" w:space="0" w:color="auto"/>
                    <w:bottom w:val="none" w:sz="0" w:space="0" w:color="auto"/>
                    <w:right w:val="none" w:sz="0" w:space="0" w:color="auto"/>
                  </w:divBdr>
                </w:div>
              </w:divsChild>
            </w:div>
            <w:div w:id="295334761">
              <w:marLeft w:val="0"/>
              <w:marRight w:val="0"/>
              <w:marTop w:val="300"/>
              <w:marBottom w:val="300"/>
              <w:divBdr>
                <w:top w:val="none" w:sz="0" w:space="0" w:color="auto"/>
                <w:left w:val="none" w:sz="0" w:space="0" w:color="auto"/>
                <w:bottom w:val="none" w:sz="0" w:space="0" w:color="auto"/>
                <w:right w:val="none" w:sz="0" w:space="0" w:color="auto"/>
              </w:divBdr>
            </w:div>
            <w:div w:id="296879819">
              <w:marLeft w:val="0"/>
              <w:marRight w:val="0"/>
              <w:marTop w:val="0"/>
              <w:marBottom w:val="0"/>
              <w:divBdr>
                <w:top w:val="none" w:sz="0" w:space="0" w:color="auto"/>
                <w:left w:val="none" w:sz="0" w:space="0" w:color="auto"/>
                <w:bottom w:val="none" w:sz="0" w:space="0" w:color="auto"/>
                <w:right w:val="none" w:sz="0" w:space="0" w:color="auto"/>
              </w:divBdr>
              <w:divsChild>
                <w:div w:id="2117289335">
                  <w:marLeft w:val="0"/>
                  <w:marRight w:val="0"/>
                  <w:marTop w:val="0"/>
                  <w:marBottom w:val="0"/>
                  <w:divBdr>
                    <w:top w:val="none" w:sz="0" w:space="0" w:color="auto"/>
                    <w:left w:val="none" w:sz="0" w:space="0" w:color="auto"/>
                    <w:bottom w:val="none" w:sz="0" w:space="0" w:color="auto"/>
                    <w:right w:val="none" w:sz="0" w:space="0" w:color="auto"/>
                  </w:divBdr>
                </w:div>
              </w:divsChild>
            </w:div>
            <w:div w:id="297421682">
              <w:marLeft w:val="0"/>
              <w:marRight w:val="0"/>
              <w:marTop w:val="0"/>
              <w:marBottom w:val="0"/>
              <w:divBdr>
                <w:top w:val="none" w:sz="0" w:space="0" w:color="auto"/>
                <w:left w:val="none" w:sz="0" w:space="0" w:color="auto"/>
                <w:bottom w:val="none" w:sz="0" w:space="0" w:color="auto"/>
                <w:right w:val="none" w:sz="0" w:space="0" w:color="auto"/>
              </w:divBdr>
              <w:divsChild>
                <w:div w:id="2120442761">
                  <w:marLeft w:val="0"/>
                  <w:marRight w:val="0"/>
                  <w:marTop w:val="0"/>
                  <w:marBottom w:val="0"/>
                  <w:divBdr>
                    <w:top w:val="none" w:sz="0" w:space="0" w:color="auto"/>
                    <w:left w:val="none" w:sz="0" w:space="0" w:color="auto"/>
                    <w:bottom w:val="none" w:sz="0" w:space="0" w:color="auto"/>
                    <w:right w:val="none" w:sz="0" w:space="0" w:color="auto"/>
                  </w:divBdr>
                </w:div>
              </w:divsChild>
            </w:div>
            <w:div w:id="297994752">
              <w:marLeft w:val="0"/>
              <w:marRight w:val="0"/>
              <w:marTop w:val="0"/>
              <w:marBottom w:val="0"/>
              <w:divBdr>
                <w:top w:val="none" w:sz="0" w:space="0" w:color="auto"/>
                <w:left w:val="none" w:sz="0" w:space="0" w:color="auto"/>
                <w:bottom w:val="none" w:sz="0" w:space="0" w:color="auto"/>
                <w:right w:val="none" w:sz="0" w:space="0" w:color="auto"/>
              </w:divBdr>
              <w:divsChild>
                <w:div w:id="263618332">
                  <w:marLeft w:val="0"/>
                  <w:marRight w:val="0"/>
                  <w:marTop w:val="0"/>
                  <w:marBottom w:val="0"/>
                  <w:divBdr>
                    <w:top w:val="none" w:sz="0" w:space="0" w:color="auto"/>
                    <w:left w:val="none" w:sz="0" w:space="0" w:color="auto"/>
                    <w:bottom w:val="none" w:sz="0" w:space="0" w:color="auto"/>
                    <w:right w:val="none" w:sz="0" w:space="0" w:color="auto"/>
                  </w:divBdr>
                </w:div>
              </w:divsChild>
            </w:div>
            <w:div w:id="298539122">
              <w:marLeft w:val="0"/>
              <w:marRight w:val="0"/>
              <w:marTop w:val="0"/>
              <w:marBottom w:val="0"/>
              <w:divBdr>
                <w:top w:val="none" w:sz="0" w:space="0" w:color="auto"/>
                <w:left w:val="none" w:sz="0" w:space="0" w:color="auto"/>
                <w:bottom w:val="none" w:sz="0" w:space="0" w:color="auto"/>
                <w:right w:val="none" w:sz="0" w:space="0" w:color="auto"/>
              </w:divBdr>
              <w:divsChild>
                <w:div w:id="1958677248">
                  <w:marLeft w:val="0"/>
                  <w:marRight w:val="0"/>
                  <w:marTop w:val="0"/>
                  <w:marBottom w:val="0"/>
                  <w:divBdr>
                    <w:top w:val="none" w:sz="0" w:space="0" w:color="auto"/>
                    <w:left w:val="none" w:sz="0" w:space="0" w:color="auto"/>
                    <w:bottom w:val="none" w:sz="0" w:space="0" w:color="auto"/>
                    <w:right w:val="none" w:sz="0" w:space="0" w:color="auto"/>
                  </w:divBdr>
                </w:div>
              </w:divsChild>
            </w:div>
            <w:div w:id="299309769">
              <w:marLeft w:val="0"/>
              <w:marRight w:val="0"/>
              <w:marTop w:val="0"/>
              <w:marBottom w:val="0"/>
              <w:divBdr>
                <w:top w:val="none" w:sz="0" w:space="0" w:color="auto"/>
                <w:left w:val="none" w:sz="0" w:space="0" w:color="auto"/>
                <w:bottom w:val="none" w:sz="0" w:space="0" w:color="auto"/>
                <w:right w:val="none" w:sz="0" w:space="0" w:color="auto"/>
              </w:divBdr>
              <w:divsChild>
                <w:div w:id="1362129028">
                  <w:marLeft w:val="0"/>
                  <w:marRight w:val="0"/>
                  <w:marTop w:val="0"/>
                  <w:marBottom w:val="0"/>
                  <w:divBdr>
                    <w:top w:val="none" w:sz="0" w:space="0" w:color="auto"/>
                    <w:left w:val="none" w:sz="0" w:space="0" w:color="auto"/>
                    <w:bottom w:val="none" w:sz="0" w:space="0" w:color="auto"/>
                    <w:right w:val="none" w:sz="0" w:space="0" w:color="auto"/>
                  </w:divBdr>
                </w:div>
              </w:divsChild>
            </w:div>
            <w:div w:id="300766080">
              <w:marLeft w:val="0"/>
              <w:marRight w:val="0"/>
              <w:marTop w:val="0"/>
              <w:marBottom w:val="0"/>
              <w:divBdr>
                <w:top w:val="none" w:sz="0" w:space="0" w:color="auto"/>
                <w:left w:val="none" w:sz="0" w:space="0" w:color="auto"/>
                <w:bottom w:val="none" w:sz="0" w:space="0" w:color="auto"/>
                <w:right w:val="none" w:sz="0" w:space="0" w:color="auto"/>
              </w:divBdr>
              <w:divsChild>
                <w:div w:id="1186210515">
                  <w:marLeft w:val="0"/>
                  <w:marRight w:val="0"/>
                  <w:marTop w:val="0"/>
                  <w:marBottom w:val="0"/>
                  <w:divBdr>
                    <w:top w:val="none" w:sz="0" w:space="0" w:color="auto"/>
                    <w:left w:val="none" w:sz="0" w:space="0" w:color="auto"/>
                    <w:bottom w:val="none" w:sz="0" w:space="0" w:color="auto"/>
                    <w:right w:val="none" w:sz="0" w:space="0" w:color="auto"/>
                  </w:divBdr>
                </w:div>
              </w:divsChild>
            </w:div>
            <w:div w:id="301156351">
              <w:marLeft w:val="0"/>
              <w:marRight w:val="0"/>
              <w:marTop w:val="0"/>
              <w:marBottom w:val="0"/>
              <w:divBdr>
                <w:top w:val="none" w:sz="0" w:space="0" w:color="auto"/>
                <w:left w:val="none" w:sz="0" w:space="0" w:color="auto"/>
                <w:bottom w:val="none" w:sz="0" w:space="0" w:color="auto"/>
                <w:right w:val="none" w:sz="0" w:space="0" w:color="auto"/>
              </w:divBdr>
              <w:divsChild>
                <w:div w:id="1171218075">
                  <w:marLeft w:val="0"/>
                  <w:marRight w:val="0"/>
                  <w:marTop w:val="0"/>
                  <w:marBottom w:val="0"/>
                  <w:divBdr>
                    <w:top w:val="none" w:sz="0" w:space="0" w:color="auto"/>
                    <w:left w:val="none" w:sz="0" w:space="0" w:color="auto"/>
                    <w:bottom w:val="none" w:sz="0" w:space="0" w:color="auto"/>
                    <w:right w:val="none" w:sz="0" w:space="0" w:color="auto"/>
                  </w:divBdr>
                </w:div>
              </w:divsChild>
            </w:div>
            <w:div w:id="301739691">
              <w:marLeft w:val="0"/>
              <w:marRight w:val="0"/>
              <w:marTop w:val="0"/>
              <w:marBottom w:val="0"/>
              <w:divBdr>
                <w:top w:val="none" w:sz="0" w:space="0" w:color="auto"/>
                <w:left w:val="none" w:sz="0" w:space="0" w:color="auto"/>
                <w:bottom w:val="none" w:sz="0" w:space="0" w:color="auto"/>
                <w:right w:val="none" w:sz="0" w:space="0" w:color="auto"/>
              </w:divBdr>
              <w:divsChild>
                <w:div w:id="1731153335">
                  <w:marLeft w:val="0"/>
                  <w:marRight w:val="0"/>
                  <w:marTop w:val="0"/>
                  <w:marBottom w:val="0"/>
                  <w:divBdr>
                    <w:top w:val="none" w:sz="0" w:space="0" w:color="auto"/>
                    <w:left w:val="none" w:sz="0" w:space="0" w:color="auto"/>
                    <w:bottom w:val="none" w:sz="0" w:space="0" w:color="auto"/>
                    <w:right w:val="none" w:sz="0" w:space="0" w:color="auto"/>
                  </w:divBdr>
                </w:div>
              </w:divsChild>
            </w:div>
            <w:div w:id="307560554">
              <w:marLeft w:val="0"/>
              <w:marRight w:val="0"/>
              <w:marTop w:val="300"/>
              <w:marBottom w:val="300"/>
              <w:divBdr>
                <w:top w:val="none" w:sz="0" w:space="0" w:color="auto"/>
                <w:left w:val="none" w:sz="0" w:space="0" w:color="auto"/>
                <w:bottom w:val="none" w:sz="0" w:space="0" w:color="auto"/>
                <w:right w:val="none" w:sz="0" w:space="0" w:color="auto"/>
              </w:divBdr>
            </w:div>
            <w:div w:id="308169512">
              <w:marLeft w:val="0"/>
              <w:marRight w:val="0"/>
              <w:marTop w:val="0"/>
              <w:marBottom w:val="0"/>
              <w:divBdr>
                <w:top w:val="none" w:sz="0" w:space="0" w:color="auto"/>
                <w:left w:val="none" w:sz="0" w:space="0" w:color="auto"/>
                <w:bottom w:val="none" w:sz="0" w:space="0" w:color="auto"/>
                <w:right w:val="none" w:sz="0" w:space="0" w:color="auto"/>
              </w:divBdr>
              <w:divsChild>
                <w:div w:id="1789616289">
                  <w:marLeft w:val="0"/>
                  <w:marRight w:val="0"/>
                  <w:marTop w:val="0"/>
                  <w:marBottom w:val="0"/>
                  <w:divBdr>
                    <w:top w:val="none" w:sz="0" w:space="0" w:color="auto"/>
                    <w:left w:val="none" w:sz="0" w:space="0" w:color="auto"/>
                    <w:bottom w:val="none" w:sz="0" w:space="0" w:color="auto"/>
                    <w:right w:val="none" w:sz="0" w:space="0" w:color="auto"/>
                  </w:divBdr>
                </w:div>
              </w:divsChild>
            </w:div>
            <w:div w:id="310797174">
              <w:marLeft w:val="0"/>
              <w:marRight w:val="0"/>
              <w:marTop w:val="300"/>
              <w:marBottom w:val="300"/>
              <w:divBdr>
                <w:top w:val="none" w:sz="0" w:space="0" w:color="auto"/>
                <w:left w:val="none" w:sz="0" w:space="0" w:color="auto"/>
                <w:bottom w:val="none" w:sz="0" w:space="0" w:color="auto"/>
                <w:right w:val="none" w:sz="0" w:space="0" w:color="auto"/>
              </w:divBdr>
            </w:div>
            <w:div w:id="310839508">
              <w:marLeft w:val="0"/>
              <w:marRight w:val="0"/>
              <w:marTop w:val="0"/>
              <w:marBottom w:val="0"/>
              <w:divBdr>
                <w:top w:val="none" w:sz="0" w:space="0" w:color="auto"/>
                <w:left w:val="none" w:sz="0" w:space="0" w:color="auto"/>
                <w:bottom w:val="none" w:sz="0" w:space="0" w:color="auto"/>
                <w:right w:val="none" w:sz="0" w:space="0" w:color="auto"/>
              </w:divBdr>
              <w:divsChild>
                <w:div w:id="1113327210">
                  <w:marLeft w:val="0"/>
                  <w:marRight w:val="0"/>
                  <w:marTop w:val="0"/>
                  <w:marBottom w:val="0"/>
                  <w:divBdr>
                    <w:top w:val="none" w:sz="0" w:space="0" w:color="auto"/>
                    <w:left w:val="none" w:sz="0" w:space="0" w:color="auto"/>
                    <w:bottom w:val="none" w:sz="0" w:space="0" w:color="auto"/>
                    <w:right w:val="none" w:sz="0" w:space="0" w:color="auto"/>
                  </w:divBdr>
                </w:div>
              </w:divsChild>
            </w:div>
            <w:div w:id="311521564">
              <w:marLeft w:val="0"/>
              <w:marRight w:val="0"/>
              <w:marTop w:val="0"/>
              <w:marBottom w:val="0"/>
              <w:divBdr>
                <w:top w:val="none" w:sz="0" w:space="0" w:color="auto"/>
                <w:left w:val="none" w:sz="0" w:space="0" w:color="auto"/>
                <w:bottom w:val="none" w:sz="0" w:space="0" w:color="auto"/>
                <w:right w:val="none" w:sz="0" w:space="0" w:color="auto"/>
              </w:divBdr>
              <w:divsChild>
                <w:div w:id="1349865731">
                  <w:marLeft w:val="0"/>
                  <w:marRight w:val="0"/>
                  <w:marTop w:val="0"/>
                  <w:marBottom w:val="0"/>
                  <w:divBdr>
                    <w:top w:val="none" w:sz="0" w:space="0" w:color="auto"/>
                    <w:left w:val="none" w:sz="0" w:space="0" w:color="auto"/>
                    <w:bottom w:val="none" w:sz="0" w:space="0" w:color="auto"/>
                    <w:right w:val="none" w:sz="0" w:space="0" w:color="auto"/>
                  </w:divBdr>
                </w:div>
              </w:divsChild>
            </w:div>
            <w:div w:id="312106130">
              <w:marLeft w:val="0"/>
              <w:marRight w:val="0"/>
              <w:marTop w:val="0"/>
              <w:marBottom w:val="0"/>
              <w:divBdr>
                <w:top w:val="none" w:sz="0" w:space="0" w:color="auto"/>
                <w:left w:val="none" w:sz="0" w:space="0" w:color="auto"/>
                <w:bottom w:val="none" w:sz="0" w:space="0" w:color="auto"/>
                <w:right w:val="none" w:sz="0" w:space="0" w:color="auto"/>
              </w:divBdr>
              <w:divsChild>
                <w:div w:id="1973705571">
                  <w:marLeft w:val="0"/>
                  <w:marRight w:val="0"/>
                  <w:marTop w:val="0"/>
                  <w:marBottom w:val="0"/>
                  <w:divBdr>
                    <w:top w:val="none" w:sz="0" w:space="0" w:color="auto"/>
                    <w:left w:val="none" w:sz="0" w:space="0" w:color="auto"/>
                    <w:bottom w:val="none" w:sz="0" w:space="0" w:color="auto"/>
                    <w:right w:val="none" w:sz="0" w:space="0" w:color="auto"/>
                  </w:divBdr>
                </w:div>
              </w:divsChild>
            </w:div>
            <w:div w:id="312174391">
              <w:marLeft w:val="0"/>
              <w:marRight w:val="0"/>
              <w:marTop w:val="0"/>
              <w:marBottom w:val="0"/>
              <w:divBdr>
                <w:top w:val="none" w:sz="0" w:space="0" w:color="auto"/>
                <w:left w:val="none" w:sz="0" w:space="0" w:color="auto"/>
                <w:bottom w:val="none" w:sz="0" w:space="0" w:color="auto"/>
                <w:right w:val="none" w:sz="0" w:space="0" w:color="auto"/>
              </w:divBdr>
              <w:divsChild>
                <w:div w:id="901059689">
                  <w:marLeft w:val="0"/>
                  <w:marRight w:val="0"/>
                  <w:marTop w:val="0"/>
                  <w:marBottom w:val="0"/>
                  <w:divBdr>
                    <w:top w:val="none" w:sz="0" w:space="0" w:color="auto"/>
                    <w:left w:val="none" w:sz="0" w:space="0" w:color="auto"/>
                    <w:bottom w:val="none" w:sz="0" w:space="0" w:color="auto"/>
                    <w:right w:val="none" w:sz="0" w:space="0" w:color="auto"/>
                  </w:divBdr>
                </w:div>
              </w:divsChild>
            </w:div>
            <w:div w:id="313221353">
              <w:marLeft w:val="0"/>
              <w:marRight w:val="0"/>
              <w:marTop w:val="0"/>
              <w:marBottom w:val="0"/>
              <w:divBdr>
                <w:top w:val="none" w:sz="0" w:space="0" w:color="auto"/>
                <w:left w:val="none" w:sz="0" w:space="0" w:color="auto"/>
                <w:bottom w:val="none" w:sz="0" w:space="0" w:color="auto"/>
                <w:right w:val="none" w:sz="0" w:space="0" w:color="auto"/>
              </w:divBdr>
              <w:divsChild>
                <w:div w:id="1294287050">
                  <w:marLeft w:val="0"/>
                  <w:marRight w:val="0"/>
                  <w:marTop w:val="0"/>
                  <w:marBottom w:val="0"/>
                  <w:divBdr>
                    <w:top w:val="none" w:sz="0" w:space="0" w:color="auto"/>
                    <w:left w:val="none" w:sz="0" w:space="0" w:color="auto"/>
                    <w:bottom w:val="none" w:sz="0" w:space="0" w:color="auto"/>
                    <w:right w:val="none" w:sz="0" w:space="0" w:color="auto"/>
                  </w:divBdr>
                </w:div>
              </w:divsChild>
            </w:div>
            <w:div w:id="314526899">
              <w:marLeft w:val="0"/>
              <w:marRight w:val="0"/>
              <w:marTop w:val="0"/>
              <w:marBottom w:val="0"/>
              <w:divBdr>
                <w:top w:val="none" w:sz="0" w:space="0" w:color="auto"/>
                <w:left w:val="none" w:sz="0" w:space="0" w:color="auto"/>
                <w:bottom w:val="none" w:sz="0" w:space="0" w:color="auto"/>
                <w:right w:val="none" w:sz="0" w:space="0" w:color="auto"/>
              </w:divBdr>
              <w:divsChild>
                <w:div w:id="1585530825">
                  <w:marLeft w:val="0"/>
                  <w:marRight w:val="0"/>
                  <w:marTop w:val="0"/>
                  <w:marBottom w:val="0"/>
                  <w:divBdr>
                    <w:top w:val="none" w:sz="0" w:space="0" w:color="auto"/>
                    <w:left w:val="none" w:sz="0" w:space="0" w:color="auto"/>
                    <w:bottom w:val="none" w:sz="0" w:space="0" w:color="auto"/>
                    <w:right w:val="none" w:sz="0" w:space="0" w:color="auto"/>
                  </w:divBdr>
                </w:div>
              </w:divsChild>
            </w:div>
            <w:div w:id="314838852">
              <w:marLeft w:val="0"/>
              <w:marRight w:val="0"/>
              <w:marTop w:val="0"/>
              <w:marBottom w:val="0"/>
              <w:divBdr>
                <w:top w:val="none" w:sz="0" w:space="0" w:color="auto"/>
                <w:left w:val="none" w:sz="0" w:space="0" w:color="auto"/>
                <w:bottom w:val="none" w:sz="0" w:space="0" w:color="auto"/>
                <w:right w:val="none" w:sz="0" w:space="0" w:color="auto"/>
              </w:divBdr>
              <w:divsChild>
                <w:div w:id="1394352187">
                  <w:marLeft w:val="0"/>
                  <w:marRight w:val="0"/>
                  <w:marTop w:val="0"/>
                  <w:marBottom w:val="0"/>
                  <w:divBdr>
                    <w:top w:val="none" w:sz="0" w:space="0" w:color="auto"/>
                    <w:left w:val="none" w:sz="0" w:space="0" w:color="auto"/>
                    <w:bottom w:val="none" w:sz="0" w:space="0" w:color="auto"/>
                    <w:right w:val="none" w:sz="0" w:space="0" w:color="auto"/>
                  </w:divBdr>
                </w:div>
              </w:divsChild>
            </w:div>
            <w:div w:id="317422742">
              <w:marLeft w:val="0"/>
              <w:marRight w:val="0"/>
              <w:marTop w:val="0"/>
              <w:marBottom w:val="0"/>
              <w:divBdr>
                <w:top w:val="none" w:sz="0" w:space="0" w:color="auto"/>
                <w:left w:val="none" w:sz="0" w:space="0" w:color="auto"/>
                <w:bottom w:val="none" w:sz="0" w:space="0" w:color="auto"/>
                <w:right w:val="none" w:sz="0" w:space="0" w:color="auto"/>
              </w:divBdr>
              <w:divsChild>
                <w:div w:id="1388338206">
                  <w:marLeft w:val="0"/>
                  <w:marRight w:val="0"/>
                  <w:marTop w:val="0"/>
                  <w:marBottom w:val="0"/>
                  <w:divBdr>
                    <w:top w:val="none" w:sz="0" w:space="0" w:color="auto"/>
                    <w:left w:val="none" w:sz="0" w:space="0" w:color="auto"/>
                    <w:bottom w:val="none" w:sz="0" w:space="0" w:color="auto"/>
                    <w:right w:val="none" w:sz="0" w:space="0" w:color="auto"/>
                  </w:divBdr>
                </w:div>
              </w:divsChild>
            </w:div>
            <w:div w:id="317852487">
              <w:marLeft w:val="0"/>
              <w:marRight w:val="0"/>
              <w:marTop w:val="0"/>
              <w:marBottom w:val="0"/>
              <w:divBdr>
                <w:top w:val="none" w:sz="0" w:space="0" w:color="auto"/>
                <w:left w:val="none" w:sz="0" w:space="0" w:color="auto"/>
                <w:bottom w:val="none" w:sz="0" w:space="0" w:color="auto"/>
                <w:right w:val="none" w:sz="0" w:space="0" w:color="auto"/>
              </w:divBdr>
              <w:divsChild>
                <w:div w:id="99954845">
                  <w:marLeft w:val="0"/>
                  <w:marRight w:val="0"/>
                  <w:marTop w:val="0"/>
                  <w:marBottom w:val="0"/>
                  <w:divBdr>
                    <w:top w:val="none" w:sz="0" w:space="0" w:color="auto"/>
                    <w:left w:val="none" w:sz="0" w:space="0" w:color="auto"/>
                    <w:bottom w:val="none" w:sz="0" w:space="0" w:color="auto"/>
                    <w:right w:val="none" w:sz="0" w:space="0" w:color="auto"/>
                  </w:divBdr>
                </w:div>
              </w:divsChild>
            </w:div>
            <w:div w:id="318926840">
              <w:marLeft w:val="0"/>
              <w:marRight w:val="0"/>
              <w:marTop w:val="0"/>
              <w:marBottom w:val="0"/>
              <w:divBdr>
                <w:top w:val="none" w:sz="0" w:space="0" w:color="auto"/>
                <w:left w:val="none" w:sz="0" w:space="0" w:color="auto"/>
                <w:bottom w:val="none" w:sz="0" w:space="0" w:color="auto"/>
                <w:right w:val="none" w:sz="0" w:space="0" w:color="auto"/>
              </w:divBdr>
              <w:divsChild>
                <w:div w:id="1260675089">
                  <w:marLeft w:val="0"/>
                  <w:marRight w:val="0"/>
                  <w:marTop w:val="0"/>
                  <w:marBottom w:val="0"/>
                  <w:divBdr>
                    <w:top w:val="none" w:sz="0" w:space="0" w:color="auto"/>
                    <w:left w:val="none" w:sz="0" w:space="0" w:color="auto"/>
                    <w:bottom w:val="none" w:sz="0" w:space="0" w:color="auto"/>
                    <w:right w:val="none" w:sz="0" w:space="0" w:color="auto"/>
                  </w:divBdr>
                </w:div>
              </w:divsChild>
            </w:div>
            <w:div w:id="318929002">
              <w:marLeft w:val="0"/>
              <w:marRight w:val="0"/>
              <w:marTop w:val="0"/>
              <w:marBottom w:val="0"/>
              <w:divBdr>
                <w:top w:val="none" w:sz="0" w:space="0" w:color="auto"/>
                <w:left w:val="none" w:sz="0" w:space="0" w:color="auto"/>
                <w:bottom w:val="none" w:sz="0" w:space="0" w:color="auto"/>
                <w:right w:val="none" w:sz="0" w:space="0" w:color="auto"/>
              </w:divBdr>
              <w:divsChild>
                <w:div w:id="1116944241">
                  <w:marLeft w:val="0"/>
                  <w:marRight w:val="0"/>
                  <w:marTop w:val="0"/>
                  <w:marBottom w:val="0"/>
                  <w:divBdr>
                    <w:top w:val="none" w:sz="0" w:space="0" w:color="auto"/>
                    <w:left w:val="none" w:sz="0" w:space="0" w:color="auto"/>
                    <w:bottom w:val="none" w:sz="0" w:space="0" w:color="auto"/>
                    <w:right w:val="none" w:sz="0" w:space="0" w:color="auto"/>
                  </w:divBdr>
                </w:div>
              </w:divsChild>
            </w:div>
            <w:div w:id="320621600">
              <w:marLeft w:val="0"/>
              <w:marRight w:val="0"/>
              <w:marTop w:val="0"/>
              <w:marBottom w:val="0"/>
              <w:divBdr>
                <w:top w:val="none" w:sz="0" w:space="0" w:color="auto"/>
                <w:left w:val="none" w:sz="0" w:space="0" w:color="auto"/>
                <w:bottom w:val="none" w:sz="0" w:space="0" w:color="auto"/>
                <w:right w:val="none" w:sz="0" w:space="0" w:color="auto"/>
              </w:divBdr>
              <w:divsChild>
                <w:div w:id="863591995">
                  <w:marLeft w:val="0"/>
                  <w:marRight w:val="0"/>
                  <w:marTop w:val="0"/>
                  <w:marBottom w:val="0"/>
                  <w:divBdr>
                    <w:top w:val="none" w:sz="0" w:space="0" w:color="auto"/>
                    <w:left w:val="none" w:sz="0" w:space="0" w:color="auto"/>
                    <w:bottom w:val="none" w:sz="0" w:space="0" w:color="auto"/>
                    <w:right w:val="none" w:sz="0" w:space="0" w:color="auto"/>
                  </w:divBdr>
                </w:div>
              </w:divsChild>
            </w:div>
            <w:div w:id="320819412">
              <w:marLeft w:val="0"/>
              <w:marRight w:val="0"/>
              <w:marTop w:val="0"/>
              <w:marBottom w:val="0"/>
              <w:divBdr>
                <w:top w:val="none" w:sz="0" w:space="0" w:color="auto"/>
                <w:left w:val="none" w:sz="0" w:space="0" w:color="auto"/>
                <w:bottom w:val="none" w:sz="0" w:space="0" w:color="auto"/>
                <w:right w:val="none" w:sz="0" w:space="0" w:color="auto"/>
              </w:divBdr>
              <w:divsChild>
                <w:div w:id="1187869154">
                  <w:marLeft w:val="0"/>
                  <w:marRight w:val="0"/>
                  <w:marTop w:val="0"/>
                  <w:marBottom w:val="0"/>
                  <w:divBdr>
                    <w:top w:val="none" w:sz="0" w:space="0" w:color="auto"/>
                    <w:left w:val="none" w:sz="0" w:space="0" w:color="auto"/>
                    <w:bottom w:val="none" w:sz="0" w:space="0" w:color="auto"/>
                    <w:right w:val="none" w:sz="0" w:space="0" w:color="auto"/>
                  </w:divBdr>
                </w:div>
              </w:divsChild>
            </w:div>
            <w:div w:id="321277534">
              <w:marLeft w:val="0"/>
              <w:marRight w:val="0"/>
              <w:marTop w:val="0"/>
              <w:marBottom w:val="0"/>
              <w:divBdr>
                <w:top w:val="none" w:sz="0" w:space="0" w:color="auto"/>
                <w:left w:val="none" w:sz="0" w:space="0" w:color="auto"/>
                <w:bottom w:val="none" w:sz="0" w:space="0" w:color="auto"/>
                <w:right w:val="none" w:sz="0" w:space="0" w:color="auto"/>
              </w:divBdr>
              <w:divsChild>
                <w:div w:id="312027539">
                  <w:marLeft w:val="0"/>
                  <w:marRight w:val="0"/>
                  <w:marTop w:val="0"/>
                  <w:marBottom w:val="0"/>
                  <w:divBdr>
                    <w:top w:val="none" w:sz="0" w:space="0" w:color="auto"/>
                    <w:left w:val="none" w:sz="0" w:space="0" w:color="auto"/>
                    <w:bottom w:val="none" w:sz="0" w:space="0" w:color="auto"/>
                    <w:right w:val="none" w:sz="0" w:space="0" w:color="auto"/>
                  </w:divBdr>
                </w:div>
              </w:divsChild>
            </w:div>
            <w:div w:id="322468948">
              <w:marLeft w:val="0"/>
              <w:marRight w:val="0"/>
              <w:marTop w:val="0"/>
              <w:marBottom w:val="0"/>
              <w:divBdr>
                <w:top w:val="none" w:sz="0" w:space="0" w:color="auto"/>
                <w:left w:val="none" w:sz="0" w:space="0" w:color="auto"/>
                <w:bottom w:val="none" w:sz="0" w:space="0" w:color="auto"/>
                <w:right w:val="none" w:sz="0" w:space="0" w:color="auto"/>
              </w:divBdr>
              <w:divsChild>
                <w:div w:id="877160015">
                  <w:marLeft w:val="0"/>
                  <w:marRight w:val="0"/>
                  <w:marTop w:val="0"/>
                  <w:marBottom w:val="0"/>
                  <w:divBdr>
                    <w:top w:val="none" w:sz="0" w:space="0" w:color="auto"/>
                    <w:left w:val="none" w:sz="0" w:space="0" w:color="auto"/>
                    <w:bottom w:val="none" w:sz="0" w:space="0" w:color="auto"/>
                    <w:right w:val="none" w:sz="0" w:space="0" w:color="auto"/>
                  </w:divBdr>
                </w:div>
              </w:divsChild>
            </w:div>
            <w:div w:id="325401196">
              <w:marLeft w:val="0"/>
              <w:marRight w:val="0"/>
              <w:marTop w:val="0"/>
              <w:marBottom w:val="0"/>
              <w:divBdr>
                <w:top w:val="none" w:sz="0" w:space="0" w:color="auto"/>
                <w:left w:val="none" w:sz="0" w:space="0" w:color="auto"/>
                <w:bottom w:val="none" w:sz="0" w:space="0" w:color="auto"/>
                <w:right w:val="none" w:sz="0" w:space="0" w:color="auto"/>
              </w:divBdr>
              <w:divsChild>
                <w:div w:id="1454790382">
                  <w:marLeft w:val="0"/>
                  <w:marRight w:val="0"/>
                  <w:marTop w:val="0"/>
                  <w:marBottom w:val="0"/>
                  <w:divBdr>
                    <w:top w:val="none" w:sz="0" w:space="0" w:color="auto"/>
                    <w:left w:val="none" w:sz="0" w:space="0" w:color="auto"/>
                    <w:bottom w:val="none" w:sz="0" w:space="0" w:color="auto"/>
                    <w:right w:val="none" w:sz="0" w:space="0" w:color="auto"/>
                  </w:divBdr>
                </w:div>
              </w:divsChild>
            </w:div>
            <w:div w:id="326133799">
              <w:marLeft w:val="0"/>
              <w:marRight w:val="0"/>
              <w:marTop w:val="300"/>
              <w:marBottom w:val="300"/>
              <w:divBdr>
                <w:top w:val="none" w:sz="0" w:space="0" w:color="auto"/>
                <w:left w:val="none" w:sz="0" w:space="0" w:color="auto"/>
                <w:bottom w:val="none" w:sz="0" w:space="0" w:color="auto"/>
                <w:right w:val="none" w:sz="0" w:space="0" w:color="auto"/>
              </w:divBdr>
            </w:div>
            <w:div w:id="327098980">
              <w:marLeft w:val="0"/>
              <w:marRight w:val="0"/>
              <w:marTop w:val="0"/>
              <w:marBottom w:val="0"/>
              <w:divBdr>
                <w:top w:val="none" w:sz="0" w:space="0" w:color="auto"/>
                <w:left w:val="none" w:sz="0" w:space="0" w:color="auto"/>
                <w:bottom w:val="none" w:sz="0" w:space="0" w:color="auto"/>
                <w:right w:val="none" w:sz="0" w:space="0" w:color="auto"/>
              </w:divBdr>
              <w:divsChild>
                <w:div w:id="1007756361">
                  <w:marLeft w:val="0"/>
                  <w:marRight w:val="0"/>
                  <w:marTop w:val="0"/>
                  <w:marBottom w:val="0"/>
                  <w:divBdr>
                    <w:top w:val="none" w:sz="0" w:space="0" w:color="auto"/>
                    <w:left w:val="none" w:sz="0" w:space="0" w:color="auto"/>
                    <w:bottom w:val="none" w:sz="0" w:space="0" w:color="auto"/>
                    <w:right w:val="none" w:sz="0" w:space="0" w:color="auto"/>
                  </w:divBdr>
                </w:div>
              </w:divsChild>
            </w:div>
            <w:div w:id="327830653">
              <w:marLeft w:val="0"/>
              <w:marRight w:val="0"/>
              <w:marTop w:val="0"/>
              <w:marBottom w:val="0"/>
              <w:divBdr>
                <w:top w:val="none" w:sz="0" w:space="0" w:color="auto"/>
                <w:left w:val="none" w:sz="0" w:space="0" w:color="auto"/>
                <w:bottom w:val="none" w:sz="0" w:space="0" w:color="auto"/>
                <w:right w:val="none" w:sz="0" w:space="0" w:color="auto"/>
              </w:divBdr>
              <w:divsChild>
                <w:div w:id="2108770673">
                  <w:marLeft w:val="0"/>
                  <w:marRight w:val="0"/>
                  <w:marTop w:val="0"/>
                  <w:marBottom w:val="0"/>
                  <w:divBdr>
                    <w:top w:val="none" w:sz="0" w:space="0" w:color="auto"/>
                    <w:left w:val="none" w:sz="0" w:space="0" w:color="auto"/>
                    <w:bottom w:val="none" w:sz="0" w:space="0" w:color="auto"/>
                    <w:right w:val="none" w:sz="0" w:space="0" w:color="auto"/>
                  </w:divBdr>
                </w:div>
              </w:divsChild>
            </w:div>
            <w:div w:id="328406510">
              <w:marLeft w:val="0"/>
              <w:marRight w:val="0"/>
              <w:marTop w:val="0"/>
              <w:marBottom w:val="0"/>
              <w:divBdr>
                <w:top w:val="none" w:sz="0" w:space="0" w:color="auto"/>
                <w:left w:val="none" w:sz="0" w:space="0" w:color="auto"/>
                <w:bottom w:val="none" w:sz="0" w:space="0" w:color="auto"/>
                <w:right w:val="none" w:sz="0" w:space="0" w:color="auto"/>
              </w:divBdr>
              <w:divsChild>
                <w:div w:id="1189759492">
                  <w:marLeft w:val="0"/>
                  <w:marRight w:val="0"/>
                  <w:marTop w:val="0"/>
                  <w:marBottom w:val="0"/>
                  <w:divBdr>
                    <w:top w:val="none" w:sz="0" w:space="0" w:color="auto"/>
                    <w:left w:val="none" w:sz="0" w:space="0" w:color="auto"/>
                    <w:bottom w:val="none" w:sz="0" w:space="0" w:color="auto"/>
                    <w:right w:val="none" w:sz="0" w:space="0" w:color="auto"/>
                  </w:divBdr>
                </w:div>
              </w:divsChild>
            </w:div>
            <w:div w:id="331683493">
              <w:marLeft w:val="0"/>
              <w:marRight w:val="0"/>
              <w:marTop w:val="0"/>
              <w:marBottom w:val="0"/>
              <w:divBdr>
                <w:top w:val="none" w:sz="0" w:space="0" w:color="auto"/>
                <w:left w:val="none" w:sz="0" w:space="0" w:color="auto"/>
                <w:bottom w:val="none" w:sz="0" w:space="0" w:color="auto"/>
                <w:right w:val="none" w:sz="0" w:space="0" w:color="auto"/>
              </w:divBdr>
              <w:divsChild>
                <w:div w:id="2086415143">
                  <w:marLeft w:val="0"/>
                  <w:marRight w:val="0"/>
                  <w:marTop w:val="0"/>
                  <w:marBottom w:val="0"/>
                  <w:divBdr>
                    <w:top w:val="none" w:sz="0" w:space="0" w:color="auto"/>
                    <w:left w:val="none" w:sz="0" w:space="0" w:color="auto"/>
                    <w:bottom w:val="none" w:sz="0" w:space="0" w:color="auto"/>
                    <w:right w:val="none" w:sz="0" w:space="0" w:color="auto"/>
                  </w:divBdr>
                  <w:divsChild>
                    <w:div w:id="289438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226553">
              <w:marLeft w:val="0"/>
              <w:marRight w:val="0"/>
              <w:marTop w:val="0"/>
              <w:marBottom w:val="0"/>
              <w:divBdr>
                <w:top w:val="none" w:sz="0" w:space="0" w:color="auto"/>
                <w:left w:val="none" w:sz="0" w:space="0" w:color="auto"/>
                <w:bottom w:val="none" w:sz="0" w:space="0" w:color="auto"/>
                <w:right w:val="none" w:sz="0" w:space="0" w:color="auto"/>
              </w:divBdr>
              <w:divsChild>
                <w:div w:id="1029768526">
                  <w:marLeft w:val="0"/>
                  <w:marRight w:val="0"/>
                  <w:marTop w:val="0"/>
                  <w:marBottom w:val="0"/>
                  <w:divBdr>
                    <w:top w:val="none" w:sz="0" w:space="0" w:color="auto"/>
                    <w:left w:val="none" w:sz="0" w:space="0" w:color="auto"/>
                    <w:bottom w:val="none" w:sz="0" w:space="0" w:color="auto"/>
                    <w:right w:val="none" w:sz="0" w:space="0" w:color="auto"/>
                  </w:divBdr>
                </w:div>
              </w:divsChild>
            </w:div>
            <w:div w:id="334385518">
              <w:marLeft w:val="0"/>
              <w:marRight w:val="0"/>
              <w:marTop w:val="0"/>
              <w:marBottom w:val="0"/>
              <w:divBdr>
                <w:top w:val="none" w:sz="0" w:space="0" w:color="auto"/>
                <w:left w:val="none" w:sz="0" w:space="0" w:color="auto"/>
                <w:bottom w:val="none" w:sz="0" w:space="0" w:color="auto"/>
                <w:right w:val="none" w:sz="0" w:space="0" w:color="auto"/>
              </w:divBdr>
              <w:divsChild>
                <w:div w:id="1434940808">
                  <w:marLeft w:val="0"/>
                  <w:marRight w:val="0"/>
                  <w:marTop w:val="0"/>
                  <w:marBottom w:val="0"/>
                  <w:divBdr>
                    <w:top w:val="none" w:sz="0" w:space="0" w:color="auto"/>
                    <w:left w:val="none" w:sz="0" w:space="0" w:color="auto"/>
                    <w:bottom w:val="none" w:sz="0" w:space="0" w:color="auto"/>
                    <w:right w:val="none" w:sz="0" w:space="0" w:color="auto"/>
                  </w:divBdr>
                </w:div>
              </w:divsChild>
            </w:div>
            <w:div w:id="336814239">
              <w:marLeft w:val="0"/>
              <w:marRight w:val="0"/>
              <w:marTop w:val="0"/>
              <w:marBottom w:val="0"/>
              <w:divBdr>
                <w:top w:val="none" w:sz="0" w:space="0" w:color="auto"/>
                <w:left w:val="none" w:sz="0" w:space="0" w:color="auto"/>
                <w:bottom w:val="none" w:sz="0" w:space="0" w:color="auto"/>
                <w:right w:val="none" w:sz="0" w:space="0" w:color="auto"/>
              </w:divBdr>
              <w:divsChild>
                <w:div w:id="110445099">
                  <w:marLeft w:val="0"/>
                  <w:marRight w:val="0"/>
                  <w:marTop w:val="0"/>
                  <w:marBottom w:val="0"/>
                  <w:divBdr>
                    <w:top w:val="none" w:sz="0" w:space="0" w:color="auto"/>
                    <w:left w:val="none" w:sz="0" w:space="0" w:color="auto"/>
                    <w:bottom w:val="none" w:sz="0" w:space="0" w:color="auto"/>
                    <w:right w:val="none" w:sz="0" w:space="0" w:color="auto"/>
                  </w:divBdr>
                </w:div>
              </w:divsChild>
            </w:div>
            <w:div w:id="340744861">
              <w:marLeft w:val="0"/>
              <w:marRight w:val="0"/>
              <w:marTop w:val="0"/>
              <w:marBottom w:val="0"/>
              <w:divBdr>
                <w:top w:val="none" w:sz="0" w:space="0" w:color="auto"/>
                <w:left w:val="none" w:sz="0" w:space="0" w:color="auto"/>
                <w:bottom w:val="none" w:sz="0" w:space="0" w:color="auto"/>
                <w:right w:val="none" w:sz="0" w:space="0" w:color="auto"/>
              </w:divBdr>
              <w:divsChild>
                <w:div w:id="1174299475">
                  <w:marLeft w:val="0"/>
                  <w:marRight w:val="0"/>
                  <w:marTop w:val="0"/>
                  <w:marBottom w:val="0"/>
                  <w:divBdr>
                    <w:top w:val="none" w:sz="0" w:space="0" w:color="auto"/>
                    <w:left w:val="none" w:sz="0" w:space="0" w:color="auto"/>
                    <w:bottom w:val="none" w:sz="0" w:space="0" w:color="auto"/>
                    <w:right w:val="none" w:sz="0" w:space="0" w:color="auto"/>
                  </w:divBdr>
                </w:div>
              </w:divsChild>
            </w:div>
            <w:div w:id="341051923">
              <w:marLeft w:val="0"/>
              <w:marRight w:val="0"/>
              <w:marTop w:val="0"/>
              <w:marBottom w:val="0"/>
              <w:divBdr>
                <w:top w:val="none" w:sz="0" w:space="0" w:color="auto"/>
                <w:left w:val="none" w:sz="0" w:space="0" w:color="auto"/>
                <w:bottom w:val="none" w:sz="0" w:space="0" w:color="auto"/>
                <w:right w:val="none" w:sz="0" w:space="0" w:color="auto"/>
              </w:divBdr>
              <w:divsChild>
                <w:div w:id="2090956662">
                  <w:marLeft w:val="0"/>
                  <w:marRight w:val="0"/>
                  <w:marTop w:val="0"/>
                  <w:marBottom w:val="0"/>
                  <w:divBdr>
                    <w:top w:val="none" w:sz="0" w:space="0" w:color="auto"/>
                    <w:left w:val="none" w:sz="0" w:space="0" w:color="auto"/>
                    <w:bottom w:val="none" w:sz="0" w:space="0" w:color="auto"/>
                    <w:right w:val="none" w:sz="0" w:space="0" w:color="auto"/>
                  </w:divBdr>
                </w:div>
              </w:divsChild>
            </w:div>
            <w:div w:id="343285664">
              <w:marLeft w:val="0"/>
              <w:marRight w:val="0"/>
              <w:marTop w:val="0"/>
              <w:marBottom w:val="0"/>
              <w:divBdr>
                <w:top w:val="none" w:sz="0" w:space="0" w:color="auto"/>
                <w:left w:val="none" w:sz="0" w:space="0" w:color="auto"/>
                <w:bottom w:val="none" w:sz="0" w:space="0" w:color="auto"/>
                <w:right w:val="none" w:sz="0" w:space="0" w:color="auto"/>
              </w:divBdr>
              <w:divsChild>
                <w:div w:id="1468819964">
                  <w:marLeft w:val="0"/>
                  <w:marRight w:val="0"/>
                  <w:marTop w:val="0"/>
                  <w:marBottom w:val="0"/>
                  <w:divBdr>
                    <w:top w:val="none" w:sz="0" w:space="0" w:color="auto"/>
                    <w:left w:val="none" w:sz="0" w:space="0" w:color="auto"/>
                    <w:bottom w:val="none" w:sz="0" w:space="0" w:color="auto"/>
                    <w:right w:val="none" w:sz="0" w:space="0" w:color="auto"/>
                  </w:divBdr>
                </w:div>
              </w:divsChild>
            </w:div>
            <w:div w:id="343289147">
              <w:marLeft w:val="0"/>
              <w:marRight w:val="0"/>
              <w:marTop w:val="300"/>
              <w:marBottom w:val="300"/>
              <w:divBdr>
                <w:top w:val="none" w:sz="0" w:space="0" w:color="auto"/>
                <w:left w:val="none" w:sz="0" w:space="0" w:color="auto"/>
                <w:bottom w:val="none" w:sz="0" w:space="0" w:color="auto"/>
                <w:right w:val="none" w:sz="0" w:space="0" w:color="auto"/>
              </w:divBdr>
            </w:div>
            <w:div w:id="343632727">
              <w:marLeft w:val="0"/>
              <w:marRight w:val="0"/>
              <w:marTop w:val="300"/>
              <w:marBottom w:val="300"/>
              <w:divBdr>
                <w:top w:val="none" w:sz="0" w:space="0" w:color="auto"/>
                <w:left w:val="none" w:sz="0" w:space="0" w:color="auto"/>
                <w:bottom w:val="none" w:sz="0" w:space="0" w:color="auto"/>
                <w:right w:val="none" w:sz="0" w:space="0" w:color="auto"/>
              </w:divBdr>
            </w:div>
            <w:div w:id="345787115">
              <w:marLeft w:val="0"/>
              <w:marRight w:val="0"/>
              <w:marTop w:val="0"/>
              <w:marBottom w:val="0"/>
              <w:divBdr>
                <w:top w:val="none" w:sz="0" w:space="0" w:color="auto"/>
                <w:left w:val="none" w:sz="0" w:space="0" w:color="auto"/>
                <w:bottom w:val="none" w:sz="0" w:space="0" w:color="auto"/>
                <w:right w:val="none" w:sz="0" w:space="0" w:color="auto"/>
              </w:divBdr>
              <w:divsChild>
                <w:div w:id="1857185629">
                  <w:marLeft w:val="0"/>
                  <w:marRight w:val="0"/>
                  <w:marTop w:val="0"/>
                  <w:marBottom w:val="0"/>
                  <w:divBdr>
                    <w:top w:val="none" w:sz="0" w:space="0" w:color="auto"/>
                    <w:left w:val="none" w:sz="0" w:space="0" w:color="auto"/>
                    <w:bottom w:val="none" w:sz="0" w:space="0" w:color="auto"/>
                    <w:right w:val="none" w:sz="0" w:space="0" w:color="auto"/>
                  </w:divBdr>
                </w:div>
              </w:divsChild>
            </w:div>
            <w:div w:id="347103166">
              <w:marLeft w:val="0"/>
              <w:marRight w:val="0"/>
              <w:marTop w:val="0"/>
              <w:marBottom w:val="0"/>
              <w:divBdr>
                <w:top w:val="none" w:sz="0" w:space="0" w:color="auto"/>
                <w:left w:val="none" w:sz="0" w:space="0" w:color="auto"/>
                <w:bottom w:val="none" w:sz="0" w:space="0" w:color="auto"/>
                <w:right w:val="none" w:sz="0" w:space="0" w:color="auto"/>
              </w:divBdr>
              <w:divsChild>
                <w:div w:id="158424408">
                  <w:marLeft w:val="0"/>
                  <w:marRight w:val="0"/>
                  <w:marTop w:val="0"/>
                  <w:marBottom w:val="0"/>
                  <w:divBdr>
                    <w:top w:val="none" w:sz="0" w:space="0" w:color="auto"/>
                    <w:left w:val="none" w:sz="0" w:space="0" w:color="auto"/>
                    <w:bottom w:val="none" w:sz="0" w:space="0" w:color="auto"/>
                    <w:right w:val="none" w:sz="0" w:space="0" w:color="auto"/>
                  </w:divBdr>
                </w:div>
              </w:divsChild>
            </w:div>
            <w:div w:id="347174040">
              <w:marLeft w:val="0"/>
              <w:marRight w:val="0"/>
              <w:marTop w:val="0"/>
              <w:marBottom w:val="0"/>
              <w:divBdr>
                <w:top w:val="none" w:sz="0" w:space="0" w:color="auto"/>
                <w:left w:val="none" w:sz="0" w:space="0" w:color="auto"/>
                <w:bottom w:val="none" w:sz="0" w:space="0" w:color="auto"/>
                <w:right w:val="none" w:sz="0" w:space="0" w:color="auto"/>
              </w:divBdr>
              <w:divsChild>
                <w:div w:id="747001596">
                  <w:marLeft w:val="0"/>
                  <w:marRight w:val="0"/>
                  <w:marTop w:val="0"/>
                  <w:marBottom w:val="0"/>
                  <w:divBdr>
                    <w:top w:val="none" w:sz="0" w:space="0" w:color="auto"/>
                    <w:left w:val="none" w:sz="0" w:space="0" w:color="auto"/>
                    <w:bottom w:val="none" w:sz="0" w:space="0" w:color="auto"/>
                    <w:right w:val="none" w:sz="0" w:space="0" w:color="auto"/>
                  </w:divBdr>
                </w:div>
              </w:divsChild>
            </w:div>
            <w:div w:id="347219430">
              <w:marLeft w:val="0"/>
              <w:marRight w:val="0"/>
              <w:marTop w:val="0"/>
              <w:marBottom w:val="0"/>
              <w:divBdr>
                <w:top w:val="none" w:sz="0" w:space="0" w:color="auto"/>
                <w:left w:val="none" w:sz="0" w:space="0" w:color="auto"/>
                <w:bottom w:val="none" w:sz="0" w:space="0" w:color="auto"/>
                <w:right w:val="none" w:sz="0" w:space="0" w:color="auto"/>
              </w:divBdr>
              <w:divsChild>
                <w:div w:id="1653748977">
                  <w:marLeft w:val="0"/>
                  <w:marRight w:val="0"/>
                  <w:marTop w:val="0"/>
                  <w:marBottom w:val="0"/>
                  <w:divBdr>
                    <w:top w:val="none" w:sz="0" w:space="0" w:color="auto"/>
                    <w:left w:val="none" w:sz="0" w:space="0" w:color="auto"/>
                    <w:bottom w:val="none" w:sz="0" w:space="0" w:color="auto"/>
                    <w:right w:val="none" w:sz="0" w:space="0" w:color="auto"/>
                  </w:divBdr>
                </w:div>
              </w:divsChild>
            </w:div>
            <w:div w:id="348875730">
              <w:marLeft w:val="0"/>
              <w:marRight w:val="0"/>
              <w:marTop w:val="0"/>
              <w:marBottom w:val="0"/>
              <w:divBdr>
                <w:top w:val="none" w:sz="0" w:space="0" w:color="auto"/>
                <w:left w:val="none" w:sz="0" w:space="0" w:color="auto"/>
                <w:bottom w:val="none" w:sz="0" w:space="0" w:color="auto"/>
                <w:right w:val="none" w:sz="0" w:space="0" w:color="auto"/>
              </w:divBdr>
              <w:divsChild>
                <w:div w:id="960113514">
                  <w:marLeft w:val="0"/>
                  <w:marRight w:val="0"/>
                  <w:marTop w:val="0"/>
                  <w:marBottom w:val="0"/>
                  <w:divBdr>
                    <w:top w:val="none" w:sz="0" w:space="0" w:color="auto"/>
                    <w:left w:val="none" w:sz="0" w:space="0" w:color="auto"/>
                    <w:bottom w:val="none" w:sz="0" w:space="0" w:color="auto"/>
                    <w:right w:val="none" w:sz="0" w:space="0" w:color="auto"/>
                  </w:divBdr>
                </w:div>
              </w:divsChild>
            </w:div>
            <w:div w:id="348994768">
              <w:marLeft w:val="0"/>
              <w:marRight w:val="0"/>
              <w:marTop w:val="0"/>
              <w:marBottom w:val="0"/>
              <w:divBdr>
                <w:top w:val="none" w:sz="0" w:space="0" w:color="auto"/>
                <w:left w:val="none" w:sz="0" w:space="0" w:color="auto"/>
                <w:bottom w:val="none" w:sz="0" w:space="0" w:color="auto"/>
                <w:right w:val="none" w:sz="0" w:space="0" w:color="auto"/>
              </w:divBdr>
              <w:divsChild>
                <w:div w:id="656225094">
                  <w:marLeft w:val="0"/>
                  <w:marRight w:val="0"/>
                  <w:marTop w:val="0"/>
                  <w:marBottom w:val="0"/>
                  <w:divBdr>
                    <w:top w:val="none" w:sz="0" w:space="0" w:color="auto"/>
                    <w:left w:val="none" w:sz="0" w:space="0" w:color="auto"/>
                    <w:bottom w:val="none" w:sz="0" w:space="0" w:color="auto"/>
                    <w:right w:val="none" w:sz="0" w:space="0" w:color="auto"/>
                  </w:divBdr>
                </w:div>
              </w:divsChild>
            </w:div>
            <w:div w:id="350839998">
              <w:marLeft w:val="0"/>
              <w:marRight w:val="0"/>
              <w:marTop w:val="0"/>
              <w:marBottom w:val="0"/>
              <w:divBdr>
                <w:top w:val="none" w:sz="0" w:space="0" w:color="auto"/>
                <w:left w:val="none" w:sz="0" w:space="0" w:color="auto"/>
                <w:bottom w:val="none" w:sz="0" w:space="0" w:color="auto"/>
                <w:right w:val="none" w:sz="0" w:space="0" w:color="auto"/>
              </w:divBdr>
              <w:divsChild>
                <w:div w:id="240260655">
                  <w:marLeft w:val="0"/>
                  <w:marRight w:val="0"/>
                  <w:marTop w:val="0"/>
                  <w:marBottom w:val="0"/>
                  <w:divBdr>
                    <w:top w:val="none" w:sz="0" w:space="0" w:color="auto"/>
                    <w:left w:val="none" w:sz="0" w:space="0" w:color="auto"/>
                    <w:bottom w:val="none" w:sz="0" w:space="0" w:color="auto"/>
                    <w:right w:val="none" w:sz="0" w:space="0" w:color="auto"/>
                  </w:divBdr>
                </w:div>
              </w:divsChild>
            </w:div>
            <w:div w:id="351541115">
              <w:marLeft w:val="0"/>
              <w:marRight w:val="0"/>
              <w:marTop w:val="0"/>
              <w:marBottom w:val="0"/>
              <w:divBdr>
                <w:top w:val="none" w:sz="0" w:space="0" w:color="auto"/>
                <w:left w:val="none" w:sz="0" w:space="0" w:color="auto"/>
                <w:bottom w:val="none" w:sz="0" w:space="0" w:color="auto"/>
                <w:right w:val="none" w:sz="0" w:space="0" w:color="auto"/>
              </w:divBdr>
              <w:divsChild>
                <w:div w:id="1115445038">
                  <w:marLeft w:val="0"/>
                  <w:marRight w:val="0"/>
                  <w:marTop w:val="0"/>
                  <w:marBottom w:val="0"/>
                  <w:divBdr>
                    <w:top w:val="none" w:sz="0" w:space="0" w:color="auto"/>
                    <w:left w:val="none" w:sz="0" w:space="0" w:color="auto"/>
                    <w:bottom w:val="none" w:sz="0" w:space="0" w:color="auto"/>
                    <w:right w:val="none" w:sz="0" w:space="0" w:color="auto"/>
                  </w:divBdr>
                </w:div>
              </w:divsChild>
            </w:div>
            <w:div w:id="352272752">
              <w:marLeft w:val="0"/>
              <w:marRight w:val="0"/>
              <w:marTop w:val="0"/>
              <w:marBottom w:val="0"/>
              <w:divBdr>
                <w:top w:val="none" w:sz="0" w:space="0" w:color="auto"/>
                <w:left w:val="none" w:sz="0" w:space="0" w:color="auto"/>
                <w:bottom w:val="none" w:sz="0" w:space="0" w:color="auto"/>
                <w:right w:val="none" w:sz="0" w:space="0" w:color="auto"/>
              </w:divBdr>
              <w:divsChild>
                <w:div w:id="1721707914">
                  <w:marLeft w:val="0"/>
                  <w:marRight w:val="0"/>
                  <w:marTop w:val="0"/>
                  <w:marBottom w:val="0"/>
                  <w:divBdr>
                    <w:top w:val="none" w:sz="0" w:space="0" w:color="auto"/>
                    <w:left w:val="none" w:sz="0" w:space="0" w:color="auto"/>
                    <w:bottom w:val="none" w:sz="0" w:space="0" w:color="auto"/>
                    <w:right w:val="none" w:sz="0" w:space="0" w:color="auto"/>
                  </w:divBdr>
                </w:div>
              </w:divsChild>
            </w:div>
            <w:div w:id="352849013">
              <w:marLeft w:val="0"/>
              <w:marRight w:val="0"/>
              <w:marTop w:val="0"/>
              <w:marBottom w:val="0"/>
              <w:divBdr>
                <w:top w:val="none" w:sz="0" w:space="0" w:color="auto"/>
                <w:left w:val="none" w:sz="0" w:space="0" w:color="auto"/>
                <w:bottom w:val="none" w:sz="0" w:space="0" w:color="auto"/>
                <w:right w:val="none" w:sz="0" w:space="0" w:color="auto"/>
              </w:divBdr>
              <w:divsChild>
                <w:div w:id="1575124634">
                  <w:marLeft w:val="0"/>
                  <w:marRight w:val="0"/>
                  <w:marTop w:val="0"/>
                  <w:marBottom w:val="0"/>
                  <w:divBdr>
                    <w:top w:val="none" w:sz="0" w:space="0" w:color="auto"/>
                    <w:left w:val="none" w:sz="0" w:space="0" w:color="auto"/>
                    <w:bottom w:val="none" w:sz="0" w:space="0" w:color="auto"/>
                    <w:right w:val="none" w:sz="0" w:space="0" w:color="auto"/>
                  </w:divBdr>
                </w:div>
              </w:divsChild>
            </w:div>
            <w:div w:id="354503919">
              <w:marLeft w:val="0"/>
              <w:marRight w:val="0"/>
              <w:marTop w:val="0"/>
              <w:marBottom w:val="0"/>
              <w:divBdr>
                <w:top w:val="none" w:sz="0" w:space="0" w:color="auto"/>
                <w:left w:val="none" w:sz="0" w:space="0" w:color="auto"/>
                <w:bottom w:val="none" w:sz="0" w:space="0" w:color="auto"/>
                <w:right w:val="none" w:sz="0" w:space="0" w:color="auto"/>
              </w:divBdr>
              <w:divsChild>
                <w:div w:id="943154340">
                  <w:marLeft w:val="0"/>
                  <w:marRight w:val="0"/>
                  <w:marTop w:val="0"/>
                  <w:marBottom w:val="0"/>
                  <w:divBdr>
                    <w:top w:val="none" w:sz="0" w:space="0" w:color="auto"/>
                    <w:left w:val="none" w:sz="0" w:space="0" w:color="auto"/>
                    <w:bottom w:val="none" w:sz="0" w:space="0" w:color="auto"/>
                    <w:right w:val="none" w:sz="0" w:space="0" w:color="auto"/>
                  </w:divBdr>
                </w:div>
              </w:divsChild>
            </w:div>
            <w:div w:id="355237232">
              <w:marLeft w:val="0"/>
              <w:marRight w:val="0"/>
              <w:marTop w:val="0"/>
              <w:marBottom w:val="0"/>
              <w:divBdr>
                <w:top w:val="none" w:sz="0" w:space="0" w:color="auto"/>
                <w:left w:val="none" w:sz="0" w:space="0" w:color="auto"/>
                <w:bottom w:val="none" w:sz="0" w:space="0" w:color="auto"/>
                <w:right w:val="none" w:sz="0" w:space="0" w:color="auto"/>
              </w:divBdr>
              <w:divsChild>
                <w:div w:id="1391226618">
                  <w:marLeft w:val="0"/>
                  <w:marRight w:val="0"/>
                  <w:marTop w:val="0"/>
                  <w:marBottom w:val="0"/>
                  <w:divBdr>
                    <w:top w:val="none" w:sz="0" w:space="0" w:color="auto"/>
                    <w:left w:val="none" w:sz="0" w:space="0" w:color="auto"/>
                    <w:bottom w:val="none" w:sz="0" w:space="0" w:color="auto"/>
                    <w:right w:val="none" w:sz="0" w:space="0" w:color="auto"/>
                  </w:divBdr>
                </w:div>
              </w:divsChild>
            </w:div>
            <w:div w:id="355422899">
              <w:marLeft w:val="0"/>
              <w:marRight w:val="0"/>
              <w:marTop w:val="0"/>
              <w:marBottom w:val="0"/>
              <w:divBdr>
                <w:top w:val="none" w:sz="0" w:space="0" w:color="auto"/>
                <w:left w:val="none" w:sz="0" w:space="0" w:color="auto"/>
                <w:bottom w:val="none" w:sz="0" w:space="0" w:color="auto"/>
                <w:right w:val="none" w:sz="0" w:space="0" w:color="auto"/>
              </w:divBdr>
              <w:divsChild>
                <w:div w:id="1934967653">
                  <w:marLeft w:val="0"/>
                  <w:marRight w:val="0"/>
                  <w:marTop w:val="0"/>
                  <w:marBottom w:val="0"/>
                  <w:divBdr>
                    <w:top w:val="none" w:sz="0" w:space="0" w:color="auto"/>
                    <w:left w:val="none" w:sz="0" w:space="0" w:color="auto"/>
                    <w:bottom w:val="none" w:sz="0" w:space="0" w:color="auto"/>
                    <w:right w:val="none" w:sz="0" w:space="0" w:color="auto"/>
                  </w:divBdr>
                </w:div>
              </w:divsChild>
            </w:div>
            <w:div w:id="361395511">
              <w:marLeft w:val="0"/>
              <w:marRight w:val="0"/>
              <w:marTop w:val="0"/>
              <w:marBottom w:val="0"/>
              <w:divBdr>
                <w:top w:val="none" w:sz="0" w:space="0" w:color="auto"/>
                <w:left w:val="none" w:sz="0" w:space="0" w:color="auto"/>
                <w:bottom w:val="none" w:sz="0" w:space="0" w:color="auto"/>
                <w:right w:val="none" w:sz="0" w:space="0" w:color="auto"/>
              </w:divBdr>
              <w:divsChild>
                <w:div w:id="1384987609">
                  <w:marLeft w:val="0"/>
                  <w:marRight w:val="0"/>
                  <w:marTop w:val="0"/>
                  <w:marBottom w:val="0"/>
                  <w:divBdr>
                    <w:top w:val="none" w:sz="0" w:space="0" w:color="auto"/>
                    <w:left w:val="none" w:sz="0" w:space="0" w:color="auto"/>
                    <w:bottom w:val="none" w:sz="0" w:space="0" w:color="auto"/>
                    <w:right w:val="none" w:sz="0" w:space="0" w:color="auto"/>
                  </w:divBdr>
                </w:div>
              </w:divsChild>
            </w:div>
            <w:div w:id="362557196">
              <w:marLeft w:val="0"/>
              <w:marRight w:val="0"/>
              <w:marTop w:val="0"/>
              <w:marBottom w:val="0"/>
              <w:divBdr>
                <w:top w:val="none" w:sz="0" w:space="0" w:color="auto"/>
                <w:left w:val="none" w:sz="0" w:space="0" w:color="auto"/>
                <w:bottom w:val="none" w:sz="0" w:space="0" w:color="auto"/>
                <w:right w:val="none" w:sz="0" w:space="0" w:color="auto"/>
              </w:divBdr>
              <w:divsChild>
                <w:div w:id="945697326">
                  <w:marLeft w:val="0"/>
                  <w:marRight w:val="0"/>
                  <w:marTop w:val="0"/>
                  <w:marBottom w:val="0"/>
                  <w:divBdr>
                    <w:top w:val="none" w:sz="0" w:space="0" w:color="auto"/>
                    <w:left w:val="none" w:sz="0" w:space="0" w:color="auto"/>
                    <w:bottom w:val="none" w:sz="0" w:space="0" w:color="auto"/>
                    <w:right w:val="none" w:sz="0" w:space="0" w:color="auto"/>
                  </w:divBdr>
                </w:div>
              </w:divsChild>
            </w:div>
            <w:div w:id="362629736">
              <w:marLeft w:val="0"/>
              <w:marRight w:val="0"/>
              <w:marTop w:val="300"/>
              <w:marBottom w:val="300"/>
              <w:divBdr>
                <w:top w:val="none" w:sz="0" w:space="0" w:color="auto"/>
                <w:left w:val="none" w:sz="0" w:space="0" w:color="auto"/>
                <w:bottom w:val="none" w:sz="0" w:space="0" w:color="auto"/>
                <w:right w:val="none" w:sz="0" w:space="0" w:color="auto"/>
              </w:divBdr>
            </w:div>
            <w:div w:id="363024451">
              <w:marLeft w:val="0"/>
              <w:marRight w:val="0"/>
              <w:marTop w:val="0"/>
              <w:marBottom w:val="0"/>
              <w:divBdr>
                <w:top w:val="none" w:sz="0" w:space="0" w:color="auto"/>
                <w:left w:val="none" w:sz="0" w:space="0" w:color="auto"/>
                <w:bottom w:val="none" w:sz="0" w:space="0" w:color="auto"/>
                <w:right w:val="none" w:sz="0" w:space="0" w:color="auto"/>
              </w:divBdr>
              <w:divsChild>
                <w:div w:id="558202062">
                  <w:marLeft w:val="0"/>
                  <w:marRight w:val="0"/>
                  <w:marTop w:val="0"/>
                  <w:marBottom w:val="0"/>
                  <w:divBdr>
                    <w:top w:val="none" w:sz="0" w:space="0" w:color="auto"/>
                    <w:left w:val="none" w:sz="0" w:space="0" w:color="auto"/>
                    <w:bottom w:val="none" w:sz="0" w:space="0" w:color="auto"/>
                    <w:right w:val="none" w:sz="0" w:space="0" w:color="auto"/>
                  </w:divBdr>
                </w:div>
              </w:divsChild>
            </w:div>
            <w:div w:id="364864707">
              <w:marLeft w:val="0"/>
              <w:marRight w:val="0"/>
              <w:marTop w:val="0"/>
              <w:marBottom w:val="0"/>
              <w:divBdr>
                <w:top w:val="none" w:sz="0" w:space="0" w:color="auto"/>
                <w:left w:val="none" w:sz="0" w:space="0" w:color="auto"/>
                <w:bottom w:val="none" w:sz="0" w:space="0" w:color="auto"/>
                <w:right w:val="none" w:sz="0" w:space="0" w:color="auto"/>
              </w:divBdr>
              <w:divsChild>
                <w:div w:id="1241715580">
                  <w:marLeft w:val="0"/>
                  <w:marRight w:val="0"/>
                  <w:marTop w:val="0"/>
                  <w:marBottom w:val="0"/>
                  <w:divBdr>
                    <w:top w:val="none" w:sz="0" w:space="0" w:color="auto"/>
                    <w:left w:val="none" w:sz="0" w:space="0" w:color="auto"/>
                    <w:bottom w:val="none" w:sz="0" w:space="0" w:color="auto"/>
                    <w:right w:val="none" w:sz="0" w:space="0" w:color="auto"/>
                  </w:divBdr>
                </w:div>
              </w:divsChild>
            </w:div>
            <w:div w:id="366415209">
              <w:marLeft w:val="0"/>
              <w:marRight w:val="0"/>
              <w:marTop w:val="0"/>
              <w:marBottom w:val="0"/>
              <w:divBdr>
                <w:top w:val="none" w:sz="0" w:space="0" w:color="auto"/>
                <w:left w:val="none" w:sz="0" w:space="0" w:color="auto"/>
                <w:bottom w:val="none" w:sz="0" w:space="0" w:color="auto"/>
                <w:right w:val="none" w:sz="0" w:space="0" w:color="auto"/>
              </w:divBdr>
              <w:divsChild>
                <w:div w:id="1856648593">
                  <w:marLeft w:val="0"/>
                  <w:marRight w:val="0"/>
                  <w:marTop w:val="0"/>
                  <w:marBottom w:val="0"/>
                  <w:divBdr>
                    <w:top w:val="none" w:sz="0" w:space="0" w:color="auto"/>
                    <w:left w:val="none" w:sz="0" w:space="0" w:color="auto"/>
                    <w:bottom w:val="none" w:sz="0" w:space="0" w:color="auto"/>
                    <w:right w:val="none" w:sz="0" w:space="0" w:color="auto"/>
                  </w:divBdr>
                </w:div>
              </w:divsChild>
            </w:div>
            <w:div w:id="368841735">
              <w:marLeft w:val="0"/>
              <w:marRight w:val="0"/>
              <w:marTop w:val="0"/>
              <w:marBottom w:val="0"/>
              <w:divBdr>
                <w:top w:val="none" w:sz="0" w:space="0" w:color="auto"/>
                <w:left w:val="none" w:sz="0" w:space="0" w:color="auto"/>
                <w:bottom w:val="none" w:sz="0" w:space="0" w:color="auto"/>
                <w:right w:val="none" w:sz="0" w:space="0" w:color="auto"/>
              </w:divBdr>
              <w:divsChild>
                <w:div w:id="998731447">
                  <w:marLeft w:val="0"/>
                  <w:marRight w:val="0"/>
                  <w:marTop w:val="0"/>
                  <w:marBottom w:val="0"/>
                  <w:divBdr>
                    <w:top w:val="none" w:sz="0" w:space="0" w:color="auto"/>
                    <w:left w:val="none" w:sz="0" w:space="0" w:color="auto"/>
                    <w:bottom w:val="none" w:sz="0" w:space="0" w:color="auto"/>
                    <w:right w:val="none" w:sz="0" w:space="0" w:color="auto"/>
                  </w:divBdr>
                </w:div>
              </w:divsChild>
            </w:div>
            <w:div w:id="370032271">
              <w:marLeft w:val="0"/>
              <w:marRight w:val="0"/>
              <w:marTop w:val="0"/>
              <w:marBottom w:val="0"/>
              <w:divBdr>
                <w:top w:val="none" w:sz="0" w:space="0" w:color="auto"/>
                <w:left w:val="none" w:sz="0" w:space="0" w:color="auto"/>
                <w:bottom w:val="none" w:sz="0" w:space="0" w:color="auto"/>
                <w:right w:val="none" w:sz="0" w:space="0" w:color="auto"/>
              </w:divBdr>
              <w:divsChild>
                <w:div w:id="1865824924">
                  <w:marLeft w:val="0"/>
                  <w:marRight w:val="0"/>
                  <w:marTop w:val="0"/>
                  <w:marBottom w:val="0"/>
                  <w:divBdr>
                    <w:top w:val="none" w:sz="0" w:space="0" w:color="auto"/>
                    <w:left w:val="none" w:sz="0" w:space="0" w:color="auto"/>
                    <w:bottom w:val="none" w:sz="0" w:space="0" w:color="auto"/>
                    <w:right w:val="none" w:sz="0" w:space="0" w:color="auto"/>
                  </w:divBdr>
                </w:div>
              </w:divsChild>
            </w:div>
            <w:div w:id="371152679">
              <w:marLeft w:val="0"/>
              <w:marRight w:val="0"/>
              <w:marTop w:val="0"/>
              <w:marBottom w:val="0"/>
              <w:divBdr>
                <w:top w:val="none" w:sz="0" w:space="0" w:color="auto"/>
                <w:left w:val="none" w:sz="0" w:space="0" w:color="auto"/>
                <w:bottom w:val="none" w:sz="0" w:space="0" w:color="auto"/>
                <w:right w:val="none" w:sz="0" w:space="0" w:color="auto"/>
              </w:divBdr>
              <w:divsChild>
                <w:div w:id="1703742612">
                  <w:marLeft w:val="0"/>
                  <w:marRight w:val="0"/>
                  <w:marTop w:val="0"/>
                  <w:marBottom w:val="0"/>
                  <w:divBdr>
                    <w:top w:val="none" w:sz="0" w:space="0" w:color="auto"/>
                    <w:left w:val="none" w:sz="0" w:space="0" w:color="auto"/>
                    <w:bottom w:val="none" w:sz="0" w:space="0" w:color="auto"/>
                    <w:right w:val="none" w:sz="0" w:space="0" w:color="auto"/>
                  </w:divBdr>
                </w:div>
              </w:divsChild>
            </w:div>
            <w:div w:id="371808515">
              <w:marLeft w:val="0"/>
              <w:marRight w:val="0"/>
              <w:marTop w:val="300"/>
              <w:marBottom w:val="300"/>
              <w:divBdr>
                <w:top w:val="none" w:sz="0" w:space="0" w:color="auto"/>
                <w:left w:val="none" w:sz="0" w:space="0" w:color="auto"/>
                <w:bottom w:val="none" w:sz="0" w:space="0" w:color="auto"/>
                <w:right w:val="none" w:sz="0" w:space="0" w:color="auto"/>
              </w:divBdr>
            </w:div>
            <w:div w:id="371928725">
              <w:marLeft w:val="0"/>
              <w:marRight w:val="0"/>
              <w:marTop w:val="0"/>
              <w:marBottom w:val="0"/>
              <w:divBdr>
                <w:top w:val="none" w:sz="0" w:space="0" w:color="auto"/>
                <w:left w:val="none" w:sz="0" w:space="0" w:color="auto"/>
                <w:bottom w:val="none" w:sz="0" w:space="0" w:color="auto"/>
                <w:right w:val="none" w:sz="0" w:space="0" w:color="auto"/>
              </w:divBdr>
              <w:divsChild>
                <w:div w:id="149953241">
                  <w:marLeft w:val="0"/>
                  <w:marRight w:val="0"/>
                  <w:marTop w:val="0"/>
                  <w:marBottom w:val="0"/>
                  <w:divBdr>
                    <w:top w:val="none" w:sz="0" w:space="0" w:color="auto"/>
                    <w:left w:val="none" w:sz="0" w:space="0" w:color="auto"/>
                    <w:bottom w:val="none" w:sz="0" w:space="0" w:color="auto"/>
                    <w:right w:val="none" w:sz="0" w:space="0" w:color="auto"/>
                  </w:divBdr>
                </w:div>
              </w:divsChild>
            </w:div>
            <w:div w:id="372198220">
              <w:marLeft w:val="0"/>
              <w:marRight w:val="0"/>
              <w:marTop w:val="0"/>
              <w:marBottom w:val="0"/>
              <w:divBdr>
                <w:top w:val="none" w:sz="0" w:space="0" w:color="auto"/>
                <w:left w:val="none" w:sz="0" w:space="0" w:color="auto"/>
                <w:bottom w:val="none" w:sz="0" w:space="0" w:color="auto"/>
                <w:right w:val="none" w:sz="0" w:space="0" w:color="auto"/>
              </w:divBdr>
              <w:divsChild>
                <w:div w:id="709232861">
                  <w:marLeft w:val="0"/>
                  <w:marRight w:val="0"/>
                  <w:marTop w:val="0"/>
                  <w:marBottom w:val="0"/>
                  <w:divBdr>
                    <w:top w:val="none" w:sz="0" w:space="0" w:color="auto"/>
                    <w:left w:val="none" w:sz="0" w:space="0" w:color="auto"/>
                    <w:bottom w:val="none" w:sz="0" w:space="0" w:color="auto"/>
                    <w:right w:val="none" w:sz="0" w:space="0" w:color="auto"/>
                  </w:divBdr>
                </w:div>
              </w:divsChild>
            </w:div>
            <w:div w:id="374619366">
              <w:marLeft w:val="0"/>
              <w:marRight w:val="0"/>
              <w:marTop w:val="0"/>
              <w:marBottom w:val="0"/>
              <w:divBdr>
                <w:top w:val="none" w:sz="0" w:space="0" w:color="auto"/>
                <w:left w:val="none" w:sz="0" w:space="0" w:color="auto"/>
                <w:bottom w:val="none" w:sz="0" w:space="0" w:color="auto"/>
                <w:right w:val="none" w:sz="0" w:space="0" w:color="auto"/>
              </w:divBdr>
              <w:divsChild>
                <w:div w:id="874855756">
                  <w:marLeft w:val="0"/>
                  <w:marRight w:val="0"/>
                  <w:marTop w:val="0"/>
                  <w:marBottom w:val="0"/>
                  <w:divBdr>
                    <w:top w:val="none" w:sz="0" w:space="0" w:color="auto"/>
                    <w:left w:val="none" w:sz="0" w:space="0" w:color="auto"/>
                    <w:bottom w:val="none" w:sz="0" w:space="0" w:color="auto"/>
                    <w:right w:val="none" w:sz="0" w:space="0" w:color="auto"/>
                  </w:divBdr>
                </w:div>
              </w:divsChild>
            </w:div>
            <w:div w:id="375007295">
              <w:marLeft w:val="0"/>
              <w:marRight w:val="0"/>
              <w:marTop w:val="0"/>
              <w:marBottom w:val="0"/>
              <w:divBdr>
                <w:top w:val="none" w:sz="0" w:space="0" w:color="auto"/>
                <w:left w:val="none" w:sz="0" w:space="0" w:color="auto"/>
                <w:bottom w:val="none" w:sz="0" w:space="0" w:color="auto"/>
                <w:right w:val="none" w:sz="0" w:space="0" w:color="auto"/>
              </w:divBdr>
              <w:divsChild>
                <w:div w:id="733773580">
                  <w:marLeft w:val="0"/>
                  <w:marRight w:val="0"/>
                  <w:marTop w:val="0"/>
                  <w:marBottom w:val="0"/>
                  <w:divBdr>
                    <w:top w:val="none" w:sz="0" w:space="0" w:color="auto"/>
                    <w:left w:val="none" w:sz="0" w:space="0" w:color="auto"/>
                    <w:bottom w:val="none" w:sz="0" w:space="0" w:color="auto"/>
                    <w:right w:val="none" w:sz="0" w:space="0" w:color="auto"/>
                  </w:divBdr>
                </w:div>
              </w:divsChild>
            </w:div>
            <w:div w:id="375932960">
              <w:marLeft w:val="0"/>
              <w:marRight w:val="0"/>
              <w:marTop w:val="0"/>
              <w:marBottom w:val="0"/>
              <w:divBdr>
                <w:top w:val="none" w:sz="0" w:space="0" w:color="auto"/>
                <w:left w:val="none" w:sz="0" w:space="0" w:color="auto"/>
                <w:bottom w:val="none" w:sz="0" w:space="0" w:color="auto"/>
                <w:right w:val="none" w:sz="0" w:space="0" w:color="auto"/>
              </w:divBdr>
              <w:divsChild>
                <w:div w:id="1683193272">
                  <w:marLeft w:val="0"/>
                  <w:marRight w:val="0"/>
                  <w:marTop w:val="0"/>
                  <w:marBottom w:val="0"/>
                  <w:divBdr>
                    <w:top w:val="none" w:sz="0" w:space="0" w:color="auto"/>
                    <w:left w:val="none" w:sz="0" w:space="0" w:color="auto"/>
                    <w:bottom w:val="none" w:sz="0" w:space="0" w:color="auto"/>
                    <w:right w:val="none" w:sz="0" w:space="0" w:color="auto"/>
                  </w:divBdr>
                </w:div>
              </w:divsChild>
            </w:div>
            <w:div w:id="378626578">
              <w:marLeft w:val="0"/>
              <w:marRight w:val="0"/>
              <w:marTop w:val="0"/>
              <w:marBottom w:val="0"/>
              <w:divBdr>
                <w:top w:val="none" w:sz="0" w:space="0" w:color="auto"/>
                <w:left w:val="none" w:sz="0" w:space="0" w:color="auto"/>
                <w:bottom w:val="none" w:sz="0" w:space="0" w:color="auto"/>
                <w:right w:val="none" w:sz="0" w:space="0" w:color="auto"/>
              </w:divBdr>
              <w:divsChild>
                <w:div w:id="406222496">
                  <w:marLeft w:val="0"/>
                  <w:marRight w:val="0"/>
                  <w:marTop w:val="0"/>
                  <w:marBottom w:val="0"/>
                  <w:divBdr>
                    <w:top w:val="none" w:sz="0" w:space="0" w:color="auto"/>
                    <w:left w:val="none" w:sz="0" w:space="0" w:color="auto"/>
                    <w:bottom w:val="none" w:sz="0" w:space="0" w:color="auto"/>
                    <w:right w:val="none" w:sz="0" w:space="0" w:color="auto"/>
                  </w:divBdr>
                </w:div>
              </w:divsChild>
            </w:div>
            <w:div w:id="378893702">
              <w:marLeft w:val="0"/>
              <w:marRight w:val="0"/>
              <w:marTop w:val="0"/>
              <w:marBottom w:val="0"/>
              <w:divBdr>
                <w:top w:val="none" w:sz="0" w:space="0" w:color="auto"/>
                <w:left w:val="none" w:sz="0" w:space="0" w:color="auto"/>
                <w:bottom w:val="none" w:sz="0" w:space="0" w:color="auto"/>
                <w:right w:val="none" w:sz="0" w:space="0" w:color="auto"/>
              </w:divBdr>
              <w:divsChild>
                <w:div w:id="1130054121">
                  <w:marLeft w:val="0"/>
                  <w:marRight w:val="0"/>
                  <w:marTop w:val="0"/>
                  <w:marBottom w:val="0"/>
                  <w:divBdr>
                    <w:top w:val="none" w:sz="0" w:space="0" w:color="auto"/>
                    <w:left w:val="none" w:sz="0" w:space="0" w:color="auto"/>
                    <w:bottom w:val="none" w:sz="0" w:space="0" w:color="auto"/>
                    <w:right w:val="none" w:sz="0" w:space="0" w:color="auto"/>
                  </w:divBdr>
                </w:div>
              </w:divsChild>
            </w:div>
            <w:div w:id="380440356">
              <w:marLeft w:val="0"/>
              <w:marRight w:val="0"/>
              <w:marTop w:val="0"/>
              <w:marBottom w:val="0"/>
              <w:divBdr>
                <w:top w:val="none" w:sz="0" w:space="0" w:color="auto"/>
                <w:left w:val="none" w:sz="0" w:space="0" w:color="auto"/>
                <w:bottom w:val="none" w:sz="0" w:space="0" w:color="auto"/>
                <w:right w:val="none" w:sz="0" w:space="0" w:color="auto"/>
              </w:divBdr>
              <w:divsChild>
                <w:div w:id="817723845">
                  <w:marLeft w:val="0"/>
                  <w:marRight w:val="0"/>
                  <w:marTop w:val="0"/>
                  <w:marBottom w:val="0"/>
                  <w:divBdr>
                    <w:top w:val="none" w:sz="0" w:space="0" w:color="auto"/>
                    <w:left w:val="none" w:sz="0" w:space="0" w:color="auto"/>
                    <w:bottom w:val="none" w:sz="0" w:space="0" w:color="auto"/>
                    <w:right w:val="none" w:sz="0" w:space="0" w:color="auto"/>
                  </w:divBdr>
                </w:div>
              </w:divsChild>
            </w:div>
            <w:div w:id="380590704">
              <w:marLeft w:val="0"/>
              <w:marRight w:val="0"/>
              <w:marTop w:val="0"/>
              <w:marBottom w:val="0"/>
              <w:divBdr>
                <w:top w:val="none" w:sz="0" w:space="0" w:color="auto"/>
                <w:left w:val="none" w:sz="0" w:space="0" w:color="auto"/>
                <w:bottom w:val="none" w:sz="0" w:space="0" w:color="auto"/>
                <w:right w:val="none" w:sz="0" w:space="0" w:color="auto"/>
              </w:divBdr>
              <w:divsChild>
                <w:div w:id="1682664549">
                  <w:marLeft w:val="0"/>
                  <w:marRight w:val="0"/>
                  <w:marTop w:val="0"/>
                  <w:marBottom w:val="0"/>
                  <w:divBdr>
                    <w:top w:val="none" w:sz="0" w:space="0" w:color="auto"/>
                    <w:left w:val="none" w:sz="0" w:space="0" w:color="auto"/>
                    <w:bottom w:val="none" w:sz="0" w:space="0" w:color="auto"/>
                    <w:right w:val="none" w:sz="0" w:space="0" w:color="auto"/>
                  </w:divBdr>
                </w:div>
              </w:divsChild>
            </w:div>
            <w:div w:id="380979211">
              <w:marLeft w:val="0"/>
              <w:marRight w:val="0"/>
              <w:marTop w:val="0"/>
              <w:marBottom w:val="0"/>
              <w:divBdr>
                <w:top w:val="none" w:sz="0" w:space="0" w:color="auto"/>
                <w:left w:val="none" w:sz="0" w:space="0" w:color="auto"/>
                <w:bottom w:val="none" w:sz="0" w:space="0" w:color="auto"/>
                <w:right w:val="none" w:sz="0" w:space="0" w:color="auto"/>
              </w:divBdr>
              <w:divsChild>
                <w:div w:id="214047519">
                  <w:marLeft w:val="0"/>
                  <w:marRight w:val="0"/>
                  <w:marTop w:val="0"/>
                  <w:marBottom w:val="0"/>
                  <w:divBdr>
                    <w:top w:val="none" w:sz="0" w:space="0" w:color="auto"/>
                    <w:left w:val="none" w:sz="0" w:space="0" w:color="auto"/>
                    <w:bottom w:val="none" w:sz="0" w:space="0" w:color="auto"/>
                    <w:right w:val="none" w:sz="0" w:space="0" w:color="auto"/>
                  </w:divBdr>
                </w:div>
              </w:divsChild>
            </w:div>
            <w:div w:id="383139838">
              <w:marLeft w:val="0"/>
              <w:marRight w:val="0"/>
              <w:marTop w:val="0"/>
              <w:marBottom w:val="0"/>
              <w:divBdr>
                <w:top w:val="none" w:sz="0" w:space="0" w:color="auto"/>
                <w:left w:val="none" w:sz="0" w:space="0" w:color="auto"/>
                <w:bottom w:val="none" w:sz="0" w:space="0" w:color="auto"/>
                <w:right w:val="none" w:sz="0" w:space="0" w:color="auto"/>
              </w:divBdr>
              <w:divsChild>
                <w:div w:id="2144541251">
                  <w:marLeft w:val="0"/>
                  <w:marRight w:val="0"/>
                  <w:marTop w:val="0"/>
                  <w:marBottom w:val="0"/>
                  <w:divBdr>
                    <w:top w:val="none" w:sz="0" w:space="0" w:color="auto"/>
                    <w:left w:val="none" w:sz="0" w:space="0" w:color="auto"/>
                    <w:bottom w:val="none" w:sz="0" w:space="0" w:color="auto"/>
                    <w:right w:val="none" w:sz="0" w:space="0" w:color="auto"/>
                  </w:divBdr>
                </w:div>
              </w:divsChild>
            </w:div>
            <w:div w:id="383522844">
              <w:marLeft w:val="0"/>
              <w:marRight w:val="0"/>
              <w:marTop w:val="0"/>
              <w:marBottom w:val="0"/>
              <w:divBdr>
                <w:top w:val="none" w:sz="0" w:space="0" w:color="auto"/>
                <w:left w:val="none" w:sz="0" w:space="0" w:color="auto"/>
                <w:bottom w:val="none" w:sz="0" w:space="0" w:color="auto"/>
                <w:right w:val="none" w:sz="0" w:space="0" w:color="auto"/>
              </w:divBdr>
              <w:divsChild>
                <w:div w:id="55786234">
                  <w:marLeft w:val="0"/>
                  <w:marRight w:val="0"/>
                  <w:marTop w:val="0"/>
                  <w:marBottom w:val="0"/>
                  <w:divBdr>
                    <w:top w:val="none" w:sz="0" w:space="0" w:color="auto"/>
                    <w:left w:val="none" w:sz="0" w:space="0" w:color="auto"/>
                    <w:bottom w:val="none" w:sz="0" w:space="0" w:color="auto"/>
                    <w:right w:val="none" w:sz="0" w:space="0" w:color="auto"/>
                  </w:divBdr>
                </w:div>
              </w:divsChild>
            </w:div>
            <w:div w:id="383721195">
              <w:marLeft w:val="0"/>
              <w:marRight w:val="0"/>
              <w:marTop w:val="0"/>
              <w:marBottom w:val="0"/>
              <w:divBdr>
                <w:top w:val="none" w:sz="0" w:space="0" w:color="auto"/>
                <w:left w:val="none" w:sz="0" w:space="0" w:color="auto"/>
                <w:bottom w:val="none" w:sz="0" w:space="0" w:color="auto"/>
                <w:right w:val="none" w:sz="0" w:space="0" w:color="auto"/>
              </w:divBdr>
              <w:divsChild>
                <w:div w:id="1662276821">
                  <w:marLeft w:val="0"/>
                  <w:marRight w:val="0"/>
                  <w:marTop w:val="0"/>
                  <w:marBottom w:val="0"/>
                  <w:divBdr>
                    <w:top w:val="none" w:sz="0" w:space="0" w:color="auto"/>
                    <w:left w:val="none" w:sz="0" w:space="0" w:color="auto"/>
                    <w:bottom w:val="none" w:sz="0" w:space="0" w:color="auto"/>
                    <w:right w:val="none" w:sz="0" w:space="0" w:color="auto"/>
                  </w:divBdr>
                </w:div>
              </w:divsChild>
            </w:div>
            <w:div w:id="384334086">
              <w:marLeft w:val="0"/>
              <w:marRight w:val="0"/>
              <w:marTop w:val="0"/>
              <w:marBottom w:val="0"/>
              <w:divBdr>
                <w:top w:val="none" w:sz="0" w:space="0" w:color="auto"/>
                <w:left w:val="none" w:sz="0" w:space="0" w:color="auto"/>
                <w:bottom w:val="none" w:sz="0" w:space="0" w:color="auto"/>
                <w:right w:val="none" w:sz="0" w:space="0" w:color="auto"/>
              </w:divBdr>
              <w:divsChild>
                <w:div w:id="71247448">
                  <w:marLeft w:val="0"/>
                  <w:marRight w:val="0"/>
                  <w:marTop w:val="0"/>
                  <w:marBottom w:val="0"/>
                  <w:divBdr>
                    <w:top w:val="none" w:sz="0" w:space="0" w:color="auto"/>
                    <w:left w:val="none" w:sz="0" w:space="0" w:color="auto"/>
                    <w:bottom w:val="none" w:sz="0" w:space="0" w:color="auto"/>
                    <w:right w:val="none" w:sz="0" w:space="0" w:color="auto"/>
                  </w:divBdr>
                </w:div>
              </w:divsChild>
            </w:div>
            <w:div w:id="386489284">
              <w:marLeft w:val="0"/>
              <w:marRight w:val="0"/>
              <w:marTop w:val="0"/>
              <w:marBottom w:val="0"/>
              <w:divBdr>
                <w:top w:val="none" w:sz="0" w:space="0" w:color="auto"/>
                <w:left w:val="none" w:sz="0" w:space="0" w:color="auto"/>
                <w:bottom w:val="none" w:sz="0" w:space="0" w:color="auto"/>
                <w:right w:val="none" w:sz="0" w:space="0" w:color="auto"/>
              </w:divBdr>
              <w:divsChild>
                <w:div w:id="1592667640">
                  <w:marLeft w:val="0"/>
                  <w:marRight w:val="0"/>
                  <w:marTop w:val="0"/>
                  <w:marBottom w:val="0"/>
                  <w:divBdr>
                    <w:top w:val="none" w:sz="0" w:space="0" w:color="auto"/>
                    <w:left w:val="none" w:sz="0" w:space="0" w:color="auto"/>
                    <w:bottom w:val="none" w:sz="0" w:space="0" w:color="auto"/>
                    <w:right w:val="none" w:sz="0" w:space="0" w:color="auto"/>
                  </w:divBdr>
                </w:div>
              </w:divsChild>
            </w:div>
            <w:div w:id="387845479">
              <w:marLeft w:val="0"/>
              <w:marRight w:val="0"/>
              <w:marTop w:val="0"/>
              <w:marBottom w:val="0"/>
              <w:divBdr>
                <w:top w:val="none" w:sz="0" w:space="0" w:color="auto"/>
                <w:left w:val="none" w:sz="0" w:space="0" w:color="auto"/>
                <w:bottom w:val="none" w:sz="0" w:space="0" w:color="auto"/>
                <w:right w:val="none" w:sz="0" w:space="0" w:color="auto"/>
              </w:divBdr>
              <w:divsChild>
                <w:div w:id="628364874">
                  <w:marLeft w:val="0"/>
                  <w:marRight w:val="0"/>
                  <w:marTop w:val="0"/>
                  <w:marBottom w:val="0"/>
                  <w:divBdr>
                    <w:top w:val="none" w:sz="0" w:space="0" w:color="auto"/>
                    <w:left w:val="none" w:sz="0" w:space="0" w:color="auto"/>
                    <w:bottom w:val="none" w:sz="0" w:space="0" w:color="auto"/>
                    <w:right w:val="none" w:sz="0" w:space="0" w:color="auto"/>
                  </w:divBdr>
                </w:div>
              </w:divsChild>
            </w:div>
            <w:div w:id="388114733">
              <w:marLeft w:val="0"/>
              <w:marRight w:val="0"/>
              <w:marTop w:val="0"/>
              <w:marBottom w:val="0"/>
              <w:divBdr>
                <w:top w:val="none" w:sz="0" w:space="0" w:color="auto"/>
                <w:left w:val="none" w:sz="0" w:space="0" w:color="auto"/>
                <w:bottom w:val="none" w:sz="0" w:space="0" w:color="auto"/>
                <w:right w:val="none" w:sz="0" w:space="0" w:color="auto"/>
              </w:divBdr>
              <w:divsChild>
                <w:div w:id="837037070">
                  <w:marLeft w:val="0"/>
                  <w:marRight w:val="0"/>
                  <w:marTop w:val="0"/>
                  <w:marBottom w:val="0"/>
                  <w:divBdr>
                    <w:top w:val="none" w:sz="0" w:space="0" w:color="auto"/>
                    <w:left w:val="none" w:sz="0" w:space="0" w:color="auto"/>
                    <w:bottom w:val="none" w:sz="0" w:space="0" w:color="auto"/>
                    <w:right w:val="none" w:sz="0" w:space="0" w:color="auto"/>
                  </w:divBdr>
                </w:div>
              </w:divsChild>
            </w:div>
            <w:div w:id="388185260">
              <w:marLeft w:val="0"/>
              <w:marRight w:val="0"/>
              <w:marTop w:val="300"/>
              <w:marBottom w:val="300"/>
              <w:divBdr>
                <w:top w:val="none" w:sz="0" w:space="0" w:color="auto"/>
                <w:left w:val="none" w:sz="0" w:space="0" w:color="auto"/>
                <w:bottom w:val="none" w:sz="0" w:space="0" w:color="auto"/>
                <w:right w:val="none" w:sz="0" w:space="0" w:color="auto"/>
              </w:divBdr>
            </w:div>
            <w:div w:id="388772925">
              <w:marLeft w:val="0"/>
              <w:marRight w:val="0"/>
              <w:marTop w:val="0"/>
              <w:marBottom w:val="0"/>
              <w:divBdr>
                <w:top w:val="none" w:sz="0" w:space="0" w:color="auto"/>
                <w:left w:val="none" w:sz="0" w:space="0" w:color="auto"/>
                <w:bottom w:val="none" w:sz="0" w:space="0" w:color="auto"/>
                <w:right w:val="none" w:sz="0" w:space="0" w:color="auto"/>
              </w:divBdr>
              <w:divsChild>
                <w:div w:id="1540358481">
                  <w:marLeft w:val="0"/>
                  <w:marRight w:val="0"/>
                  <w:marTop w:val="0"/>
                  <w:marBottom w:val="0"/>
                  <w:divBdr>
                    <w:top w:val="none" w:sz="0" w:space="0" w:color="auto"/>
                    <w:left w:val="none" w:sz="0" w:space="0" w:color="auto"/>
                    <w:bottom w:val="none" w:sz="0" w:space="0" w:color="auto"/>
                    <w:right w:val="none" w:sz="0" w:space="0" w:color="auto"/>
                  </w:divBdr>
                </w:div>
              </w:divsChild>
            </w:div>
            <w:div w:id="389113133">
              <w:marLeft w:val="0"/>
              <w:marRight w:val="0"/>
              <w:marTop w:val="0"/>
              <w:marBottom w:val="0"/>
              <w:divBdr>
                <w:top w:val="none" w:sz="0" w:space="0" w:color="auto"/>
                <w:left w:val="none" w:sz="0" w:space="0" w:color="auto"/>
                <w:bottom w:val="none" w:sz="0" w:space="0" w:color="auto"/>
                <w:right w:val="none" w:sz="0" w:space="0" w:color="auto"/>
              </w:divBdr>
              <w:divsChild>
                <w:div w:id="389034085">
                  <w:marLeft w:val="0"/>
                  <w:marRight w:val="0"/>
                  <w:marTop w:val="0"/>
                  <w:marBottom w:val="0"/>
                  <w:divBdr>
                    <w:top w:val="none" w:sz="0" w:space="0" w:color="auto"/>
                    <w:left w:val="none" w:sz="0" w:space="0" w:color="auto"/>
                    <w:bottom w:val="none" w:sz="0" w:space="0" w:color="auto"/>
                    <w:right w:val="none" w:sz="0" w:space="0" w:color="auto"/>
                  </w:divBdr>
                </w:div>
              </w:divsChild>
            </w:div>
            <w:div w:id="389422104">
              <w:marLeft w:val="0"/>
              <w:marRight w:val="0"/>
              <w:marTop w:val="0"/>
              <w:marBottom w:val="0"/>
              <w:divBdr>
                <w:top w:val="none" w:sz="0" w:space="0" w:color="auto"/>
                <w:left w:val="none" w:sz="0" w:space="0" w:color="auto"/>
                <w:bottom w:val="none" w:sz="0" w:space="0" w:color="auto"/>
                <w:right w:val="none" w:sz="0" w:space="0" w:color="auto"/>
              </w:divBdr>
              <w:divsChild>
                <w:div w:id="478348335">
                  <w:marLeft w:val="0"/>
                  <w:marRight w:val="0"/>
                  <w:marTop w:val="0"/>
                  <w:marBottom w:val="0"/>
                  <w:divBdr>
                    <w:top w:val="none" w:sz="0" w:space="0" w:color="auto"/>
                    <w:left w:val="none" w:sz="0" w:space="0" w:color="auto"/>
                    <w:bottom w:val="none" w:sz="0" w:space="0" w:color="auto"/>
                    <w:right w:val="none" w:sz="0" w:space="0" w:color="auto"/>
                  </w:divBdr>
                </w:div>
              </w:divsChild>
            </w:div>
            <w:div w:id="390428053">
              <w:marLeft w:val="0"/>
              <w:marRight w:val="0"/>
              <w:marTop w:val="300"/>
              <w:marBottom w:val="300"/>
              <w:divBdr>
                <w:top w:val="none" w:sz="0" w:space="0" w:color="auto"/>
                <w:left w:val="none" w:sz="0" w:space="0" w:color="auto"/>
                <w:bottom w:val="none" w:sz="0" w:space="0" w:color="auto"/>
                <w:right w:val="none" w:sz="0" w:space="0" w:color="auto"/>
              </w:divBdr>
            </w:div>
            <w:div w:id="390736447">
              <w:marLeft w:val="0"/>
              <w:marRight w:val="0"/>
              <w:marTop w:val="0"/>
              <w:marBottom w:val="0"/>
              <w:divBdr>
                <w:top w:val="none" w:sz="0" w:space="0" w:color="auto"/>
                <w:left w:val="none" w:sz="0" w:space="0" w:color="auto"/>
                <w:bottom w:val="none" w:sz="0" w:space="0" w:color="auto"/>
                <w:right w:val="none" w:sz="0" w:space="0" w:color="auto"/>
              </w:divBdr>
              <w:divsChild>
                <w:div w:id="239143530">
                  <w:marLeft w:val="0"/>
                  <w:marRight w:val="0"/>
                  <w:marTop w:val="0"/>
                  <w:marBottom w:val="0"/>
                  <w:divBdr>
                    <w:top w:val="none" w:sz="0" w:space="0" w:color="auto"/>
                    <w:left w:val="none" w:sz="0" w:space="0" w:color="auto"/>
                    <w:bottom w:val="none" w:sz="0" w:space="0" w:color="auto"/>
                    <w:right w:val="none" w:sz="0" w:space="0" w:color="auto"/>
                  </w:divBdr>
                </w:div>
              </w:divsChild>
            </w:div>
            <w:div w:id="391124023">
              <w:marLeft w:val="0"/>
              <w:marRight w:val="0"/>
              <w:marTop w:val="300"/>
              <w:marBottom w:val="300"/>
              <w:divBdr>
                <w:top w:val="none" w:sz="0" w:space="0" w:color="auto"/>
                <w:left w:val="none" w:sz="0" w:space="0" w:color="auto"/>
                <w:bottom w:val="none" w:sz="0" w:space="0" w:color="auto"/>
                <w:right w:val="none" w:sz="0" w:space="0" w:color="auto"/>
              </w:divBdr>
            </w:div>
            <w:div w:id="391468766">
              <w:marLeft w:val="0"/>
              <w:marRight w:val="0"/>
              <w:marTop w:val="0"/>
              <w:marBottom w:val="0"/>
              <w:divBdr>
                <w:top w:val="none" w:sz="0" w:space="0" w:color="auto"/>
                <w:left w:val="none" w:sz="0" w:space="0" w:color="auto"/>
                <w:bottom w:val="none" w:sz="0" w:space="0" w:color="auto"/>
                <w:right w:val="none" w:sz="0" w:space="0" w:color="auto"/>
              </w:divBdr>
              <w:divsChild>
                <w:div w:id="1958950633">
                  <w:marLeft w:val="0"/>
                  <w:marRight w:val="0"/>
                  <w:marTop w:val="0"/>
                  <w:marBottom w:val="0"/>
                  <w:divBdr>
                    <w:top w:val="none" w:sz="0" w:space="0" w:color="auto"/>
                    <w:left w:val="none" w:sz="0" w:space="0" w:color="auto"/>
                    <w:bottom w:val="none" w:sz="0" w:space="0" w:color="auto"/>
                    <w:right w:val="none" w:sz="0" w:space="0" w:color="auto"/>
                  </w:divBdr>
                </w:div>
              </w:divsChild>
            </w:div>
            <w:div w:id="391582839">
              <w:marLeft w:val="0"/>
              <w:marRight w:val="0"/>
              <w:marTop w:val="0"/>
              <w:marBottom w:val="0"/>
              <w:divBdr>
                <w:top w:val="none" w:sz="0" w:space="0" w:color="auto"/>
                <w:left w:val="none" w:sz="0" w:space="0" w:color="auto"/>
                <w:bottom w:val="none" w:sz="0" w:space="0" w:color="auto"/>
                <w:right w:val="none" w:sz="0" w:space="0" w:color="auto"/>
              </w:divBdr>
              <w:divsChild>
                <w:div w:id="1214654848">
                  <w:marLeft w:val="0"/>
                  <w:marRight w:val="0"/>
                  <w:marTop w:val="0"/>
                  <w:marBottom w:val="0"/>
                  <w:divBdr>
                    <w:top w:val="none" w:sz="0" w:space="0" w:color="auto"/>
                    <w:left w:val="none" w:sz="0" w:space="0" w:color="auto"/>
                    <w:bottom w:val="none" w:sz="0" w:space="0" w:color="auto"/>
                    <w:right w:val="none" w:sz="0" w:space="0" w:color="auto"/>
                  </w:divBdr>
                </w:div>
              </w:divsChild>
            </w:div>
            <w:div w:id="392705918">
              <w:marLeft w:val="0"/>
              <w:marRight w:val="0"/>
              <w:marTop w:val="0"/>
              <w:marBottom w:val="0"/>
              <w:divBdr>
                <w:top w:val="none" w:sz="0" w:space="0" w:color="auto"/>
                <w:left w:val="none" w:sz="0" w:space="0" w:color="auto"/>
                <w:bottom w:val="none" w:sz="0" w:space="0" w:color="auto"/>
                <w:right w:val="none" w:sz="0" w:space="0" w:color="auto"/>
              </w:divBdr>
              <w:divsChild>
                <w:div w:id="1967004598">
                  <w:marLeft w:val="0"/>
                  <w:marRight w:val="0"/>
                  <w:marTop w:val="0"/>
                  <w:marBottom w:val="0"/>
                  <w:divBdr>
                    <w:top w:val="none" w:sz="0" w:space="0" w:color="auto"/>
                    <w:left w:val="none" w:sz="0" w:space="0" w:color="auto"/>
                    <w:bottom w:val="none" w:sz="0" w:space="0" w:color="auto"/>
                    <w:right w:val="none" w:sz="0" w:space="0" w:color="auto"/>
                  </w:divBdr>
                </w:div>
              </w:divsChild>
            </w:div>
            <w:div w:id="397365548">
              <w:marLeft w:val="0"/>
              <w:marRight w:val="0"/>
              <w:marTop w:val="0"/>
              <w:marBottom w:val="0"/>
              <w:divBdr>
                <w:top w:val="none" w:sz="0" w:space="0" w:color="auto"/>
                <w:left w:val="none" w:sz="0" w:space="0" w:color="auto"/>
                <w:bottom w:val="none" w:sz="0" w:space="0" w:color="auto"/>
                <w:right w:val="none" w:sz="0" w:space="0" w:color="auto"/>
              </w:divBdr>
              <w:divsChild>
                <w:div w:id="1347947905">
                  <w:marLeft w:val="0"/>
                  <w:marRight w:val="0"/>
                  <w:marTop w:val="0"/>
                  <w:marBottom w:val="0"/>
                  <w:divBdr>
                    <w:top w:val="none" w:sz="0" w:space="0" w:color="auto"/>
                    <w:left w:val="none" w:sz="0" w:space="0" w:color="auto"/>
                    <w:bottom w:val="none" w:sz="0" w:space="0" w:color="auto"/>
                    <w:right w:val="none" w:sz="0" w:space="0" w:color="auto"/>
                  </w:divBdr>
                </w:div>
              </w:divsChild>
            </w:div>
            <w:div w:id="401148861">
              <w:marLeft w:val="0"/>
              <w:marRight w:val="0"/>
              <w:marTop w:val="300"/>
              <w:marBottom w:val="300"/>
              <w:divBdr>
                <w:top w:val="none" w:sz="0" w:space="0" w:color="auto"/>
                <w:left w:val="none" w:sz="0" w:space="0" w:color="auto"/>
                <w:bottom w:val="none" w:sz="0" w:space="0" w:color="auto"/>
                <w:right w:val="none" w:sz="0" w:space="0" w:color="auto"/>
              </w:divBdr>
            </w:div>
            <w:div w:id="404648428">
              <w:marLeft w:val="0"/>
              <w:marRight w:val="0"/>
              <w:marTop w:val="0"/>
              <w:marBottom w:val="0"/>
              <w:divBdr>
                <w:top w:val="none" w:sz="0" w:space="0" w:color="auto"/>
                <w:left w:val="none" w:sz="0" w:space="0" w:color="auto"/>
                <w:bottom w:val="none" w:sz="0" w:space="0" w:color="auto"/>
                <w:right w:val="none" w:sz="0" w:space="0" w:color="auto"/>
              </w:divBdr>
              <w:divsChild>
                <w:div w:id="2110009084">
                  <w:marLeft w:val="0"/>
                  <w:marRight w:val="0"/>
                  <w:marTop w:val="0"/>
                  <w:marBottom w:val="0"/>
                  <w:divBdr>
                    <w:top w:val="none" w:sz="0" w:space="0" w:color="auto"/>
                    <w:left w:val="none" w:sz="0" w:space="0" w:color="auto"/>
                    <w:bottom w:val="none" w:sz="0" w:space="0" w:color="auto"/>
                    <w:right w:val="none" w:sz="0" w:space="0" w:color="auto"/>
                  </w:divBdr>
                </w:div>
              </w:divsChild>
            </w:div>
            <w:div w:id="406001368">
              <w:marLeft w:val="0"/>
              <w:marRight w:val="0"/>
              <w:marTop w:val="0"/>
              <w:marBottom w:val="0"/>
              <w:divBdr>
                <w:top w:val="none" w:sz="0" w:space="0" w:color="auto"/>
                <w:left w:val="none" w:sz="0" w:space="0" w:color="auto"/>
                <w:bottom w:val="none" w:sz="0" w:space="0" w:color="auto"/>
                <w:right w:val="none" w:sz="0" w:space="0" w:color="auto"/>
              </w:divBdr>
              <w:divsChild>
                <w:div w:id="337778503">
                  <w:marLeft w:val="0"/>
                  <w:marRight w:val="0"/>
                  <w:marTop w:val="0"/>
                  <w:marBottom w:val="0"/>
                  <w:divBdr>
                    <w:top w:val="none" w:sz="0" w:space="0" w:color="auto"/>
                    <w:left w:val="none" w:sz="0" w:space="0" w:color="auto"/>
                    <w:bottom w:val="none" w:sz="0" w:space="0" w:color="auto"/>
                    <w:right w:val="none" w:sz="0" w:space="0" w:color="auto"/>
                  </w:divBdr>
                </w:div>
              </w:divsChild>
            </w:div>
            <w:div w:id="407846652">
              <w:marLeft w:val="0"/>
              <w:marRight w:val="0"/>
              <w:marTop w:val="0"/>
              <w:marBottom w:val="0"/>
              <w:divBdr>
                <w:top w:val="none" w:sz="0" w:space="0" w:color="auto"/>
                <w:left w:val="none" w:sz="0" w:space="0" w:color="auto"/>
                <w:bottom w:val="none" w:sz="0" w:space="0" w:color="auto"/>
                <w:right w:val="none" w:sz="0" w:space="0" w:color="auto"/>
              </w:divBdr>
              <w:divsChild>
                <w:div w:id="1693415390">
                  <w:marLeft w:val="0"/>
                  <w:marRight w:val="0"/>
                  <w:marTop w:val="0"/>
                  <w:marBottom w:val="0"/>
                  <w:divBdr>
                    <w:top w:val="none" w:sz="0" w:space="0" w:color="auto"/>
                    <w:left w:val="none" w:sz="0" w:space="0" w:color="auto"/>
                    <w:bottom w:val="none" w:sz="0" w:space="0" w:color="auto"/>
                    <w:right w:val="none" w:sz="0" w:space="0" w:color="auto"/>
                  </w:divBdr>
                </w:div>
              </w:divsChild>
            </w:div>
            <w:div w:id="408774346">
              <w:marLeft w:val="0"/>
              <w:marRight w:val="0"/>
              <w:marTop w:val="0"/>
              <w:marBottom w:val="0"/>
              <w:divBdr>
                <w:top w:val="none" w:sz="0" w:space="0" w:color="auto"/>
                <w:left w:val="none" w:sz="0" w:space="0" w:color="auto"/>
                <w:bottom w:val="none" w:sz="0" w:space="0" w:color="auto"/>
                <w:right w:val="none" w:sz="0" w:space="0" w:color="auto"/>
              </w:divBdr>
              <w:divsChild>
                <w:div w:id="17195049">
                  <w:marLeft w:val="0"/>
                  <w:marRight w:val="0"/>
                  <w:marTop w:val="0"/>
                  <w:marBottom w:val="0"/>
                  <w:divBdr>
                    <w:top w:val="none" w:sz="0" w:space="0" w:color="auto"/>
                    <w:left w:val="none" w:sz="0" w:space="0" w:color="auto"/>
                    <w:bottom w:val="none" w:sz="0" w:space="0" w:color="auto"/>
                    <w:right w:val="none" w:sz="0" w:space="0" w:color="auto"/>
                  </w:divBdr>
                </w:div>
              </w:divsChild>
            </w:div>
            <w:div w:id="409739441">
              <w:marLeft w:val="0"/>
              <w:marRight w:val="0"/>
              <w:marTop w:val="0"/>
              <w:marBottom w:val="0"/>
              <w:divBdr>
                <w:top w:val="none" w:sz="0" w:space="0" w:color="auto"/>
                <w:left w:val="none" w:sz="0" w:space="0" w:color="auto"/>
                <w:bottom w:val="none" w:sz="0" w:space="0" w:color="auto"/>
                <w:right w:val="none" w:sz="0" w:space="0" w:color="auto"/>
              </w:divBdr>
              <w:divsChild>
                <w:div w:id="1486777112">
                  <w:marLeft w:val="0"/>
                  <w:marRight w:val="0"/>
                  <w:marTop w:val="0"/>
                  <w:marBottom w:val="0"/>
                  <w:divBdr>
                    <w:top w:val="none" w:sz="0" w:space="0" w:color="auto"/>
                    <w:left w:val="none" w:sz="0" w:space="0" w:color="auto"/>
                    <w:bottom w:val="none" w:sz="0" w:space="0" w:color="auto"/>
                    <w:right w:val="none" w:sz="0" w:space="0" w:color="auto"/>
                  </w:divBdr>
                </w:div>
              </w:divsChild>
            </w:div>
            <w:div w:id="411392556">
              <w:marLeft w:val="0"/>
              <w:marRight w:val="0"/>
              <w:marTop w:val="0"/>
              <w:marBottom w:val="0"/>
              <w:divBdr>
                <w:top w:val="none" w:sz="0" w:space="0" w:color="auto"/>
                <w:left w:val="none" w:sz="0" w:space="0" w:color="auto"/>
                <w:bottom w:val="none" w:sz="0" w:space="0" w:color="auto"/>
                <w:right w:val="none" w:sz="0" w:space="0" w:color="auto"/>
              </w:divBdr>
              <w:divsChild>
                <w:div w:id="1412965129">
                  <w:marLeft w:val="0"/>
                  <w:marRight w:val="0"/>
                  <w:marTop w:val="0"/>
                  <w:marBottom w:val="0"/>
                  <w:divBdr>
                    <w:top w:val="none" w:sz="0" w:space="0" w:color="auto"/>
                    <w:left w:val="none" w:sz="0" w:space="0" w:color="auto"/>
                    <w:bottom w:val="none" w:sz="0" w:space="0" w:color="auto"/>
                    <w:right w:val="none" w:sz="0" w:space="0" w:color="auto"/>
                  </w:divBdr>
                </w:div>
              </w:divsChild>
            </w:div>
            <w:div w:id="412822032">
              <w:marLeft w:val="0"/>
              <w:marRight w:val="0"/>
              <w:marTop w:val="0"/>
              <w:marBottom w:val="0"/>
              <w:divBdr>
                <w:top w:val="none" w:sz="0" w:space="0" w:color="auto"/>
                <w:left w:val="none" w:sz="0" w:space="0" w:color="auto"/>
                <w:bottom w:val="none" w:sz="0" w:space="0" w:color="auto"/>
                <w:right w:val="none" w:sz="0" w:space="0" w:color="auto"/>
              </w:divBdr>
              <w:divsChild>
                <w:div w:id="1451196349">
                  <w:marLeft w:val="0"/>
                  <w:marRight w:val="0"/>
                  <w:marTop w:val="0"/>
                  <w:marBottom w:val="0"/>
                  <w:divBdr>
                    <w:top w:val="none" w:sz="0" w:space="0" w:color="auto"/>
                    <w:left w:val="none" w:sz="0" w:space="0" w:color="auto"/>
                    <w:bottom w:val="none" w:sz="0" w:space="0" w:color="auto"/>
                    <w:right w:val="none" w:sz="0" w:space="0" w:color="auto"/>
                  </w:divBdr>
                </w:div>
              </w:divsChild>
            </w:div>
            <w:div w:id="412973634">
              <w:marLeft w:val="0"/>
              <w:marRight w:val="0"/>
              <w:marTop w:val="0"/>
              <w:marBottom w:val="0"/>
              <w:divBdr>
                <w:top w:val="none" w:sz="0" w:space="0" w:color="auto"/>
                <w:left w:val="none" w:sz="0" w:space="0" w:color="auto"/>
                <w:bottom w:val="none" w:sz="0" w:space="0" w:color="auto"/>
                <w:right w:val="none" w:sz="0" w:space="0" w:color="auto"/>
              </w:divBdr>
              <w:divsChild>
                <w:div w:id="810367127">
                  <w:marLeft w:val="0"/>
                  <w:marRight w:val="0"/>
                  <w:marTop w:val="0"/>
                  <w:marBottom w:val="0"/>
                  <w:divBdr>
                    <w:top w:val="none" w:sz="0" w:space="0" w:color="auto"/>
                    <w:left w:val="none" w:sz="0" w:space="0" w:color="auto"/>
                    <w:bottom w:val="none" w:sz="0" w:space="0" w:color="auto"/>
                    <w:right w:val="none" w:sz="0" w:space="0" w:color="auto"/>
                  </w:divBdr>
                </w:div>
              </w:divsChild>
            </w:div>
            <w:div w:id="413093838">
              <w:marLeft w:val="0"/>
              <w:marRight w:val="0"/>
              <w:marTop w:val="0"/>
              <w:marBottom w:val="0"/>
              <w:divBdr>
                <w:top w:val="none" w:sz="0" w:space="0" w:color="auto"/>
                <w:left w:val="none" w:sz="0" w:space="0" w:color="auto"/>
                <w:bottom w:val="none" w:sz="0" w:space="0" w:color="auto"/>
                <w:right w:val="none" w:sz="0" w:space="0" w:color="auto"/>
              </w:divBdr>
              <w:divsChild>
                <w:div w:id="299381991">
                  <w:marLeft w:val="0"/>
                  <w:marRight w:val="0"/>
                  <w:marTop w:val="0"/>
                  <w:marBottom w:val="0"/>
                  <w:divBdr>
                    <w:top w:val="none" w:sz="0" w:space="0" w:color="auto"/>
                    <w:left w:val="none" w:sz="0" w:space="0" w:color="auto"/>
                    <w:bottom w:val="none" w:sz="0" w:space="0" w:color="auto"/>
                    <w:right w:val="none" w:sz="0" w:space="0" w:color="auto"/>
                  </w:divBdr>
                </w:div>
              </w:divsChild>
            </w:div>
            <w:div w:id="413433635">
              <w:marLeft w:val="0"/>
              <w:marRight w:val="0"/>
              <w:marTop w:val="0"/>
              <w:marBottom w:val="0"/>
              <w:divBdr>
                <w:top w:val="none" w:sz="0" w:space="0" w:color="auto"/>
                <w:left w:val="none" w:sz="0" w:space="0" w:color="auto"/>
                <w:bottom w:val="none" w:sz="0" w:space="0" w:color="auto"/>
                <w:right w:val="none" w:sz="0" w:space="0" w:color="auto"/>
              </w:divBdr>
              <w:divsChild>
                <w:div w:id="19941992">
                  <w:marLeft w:val="0"/>
                  <w:marRight w:val="0"/>
                  <w:marTop w:val="0"/>
                  <w:marBottom w:val="0"/>
                  <w:divBdr>
                    <w:top w:val="none" w:sz="0" w:space="0" w:color="auto"/>
                    <w:left w:val="none" w:sz="0" w:space="0" w:color="auto"/>
                    <w:bottom w:val="none" w:sz="0" w:space="0" w:color="auto"/>
                    <w:right w:val="none" w:sz="0" w:space="0" w:color="auto"/>
                  </w:divBdr>
                </w:div>
              </w:divsChild>
            </w:div>
            <w:div w:id="413433721">
              <w:marLeft w:val="0"/>
              <w:marRight w:val="0"/>
              <w:marTop w:val="0"/>
              <w:marBottom w:val="0"/>
              <w:divBdr>
                <w:top w:val="none" w:sz="0" w:space="0" w:color="auto"/>
                <w:left w:val="none" w:sz="0" w:space="0" w:color="auto"/>
                <w:bottom w:val="none" w:sz="0" w:space="0" w:color="auto"/>
                <w:right w:val="none" w:sz="0" w:space="0" w:color="auto"/>
              </w:divBdr>
              <w:divsChild>
                <w:div w:id="469902776">
                  <w:marLeft w:val="0"/>
                  <w:marRight w:val="0"/>
                  <w:marTop w:val="0"/>
                  <w:marBottom w:val="0"/>
                  <w:divBdr>
                    <w:top w:val="none" w:sz="0" w:space="0" w:color="auto"/>
                    <w:left w:val="none" w:sz="0" w:space="0" w:color="auto"/>
                    <w:bottom w:val="none" w:sz="0" w:space="0" w:color="auto"/>
                    <w:right w:val="none" w:sz="0" w:space="0" w:color="auto"/>
                  </w:divBdr>
                </w:div>
              </w:divsChild>
            </w:div>
            <w:div w:id="414744489">
              <w:marLeft w:val="0"/>
              <w:marRight w:val="0"/>
              <w:marTop w:val="300"/>
              <w:marBottom w:val="300"/>
              <w:divBdr>
                <w:top w:val="none" w:sz="0" w:space="0" w:color="auto"/>
                <w:left w:val="none" w:sz="0" w:space="0" w:color="auto"/>
                <w:bottom w:val="none" w:sz="0" w:space="0" w:color="auto"/>
                <w:right w:val="none" w:sz="0" w:space="0" w:color="auto"/>
              </w:divBdr>
            </w:div>
            <w:div w:id="415904805">
              <w:marLeft w:val="0"/>
              <w:marRight w:val="0"/>
              <w:marTop w:val="0"/>
              <w:marBottom w:val="0"/>
              <w:divBdr>
                <w:top w:val="none" w:sz="0" w:space="0" w:color="auto"/>
                <w:left w:val="none" w:sz="0" w:space="0" w:color="auto"/>
                <w:bottom w:val="none" w:sz="0" w:space="0" w:color="auto"/>
                <w:right w:val="none" w:sz="0" w:space="0" w:color="auto"/>
              </w:divBdr>
              <w:divsChild>
                <w:div w:id="49547122">
                  <w:marLeft w:val="0"/>
                  <w:marRight w:val="0"/>
                  <w:marTop w:val="0"/>
                  <w:marBottom w:val="0"/>
                  <w:divBdr>
                    <w:top w:val="none" w:sz="0" w:space="0" w:color="auto"/>
                    <w:left w:val="none" w:sz="0" w:space="0" w:color="auto"/>
                    <w:bottom w:val="none" w:sz="0" w:space="0" w:color="auto"/>
                    <w:right w:val="none" w:sz="0" w:space="0" w:color="auto"/>
                  </w:divBdr>
                </w:div>
              </w:divsChild>
            </w:div>
            <w:div w:id="419831665">
              <w:marLeft w:val="0"/>
              <w:marRight w:val="0"/>
              <w:marTop w:val="300"/>
              <w:marBottom w:val="300"/>
              <w:divBdr>
                <w:top w:val="none" w:sz="0" w:space="0" w:color="auto"/>
                <w:left w:val="none" w:sz="0" w:space="0" w:color="auto"/>
                <w:bottom w:val="none" w:sz="0" w:space="0" w:color="auto"/>
                <w:right w:val="none" w:sz="0" w:space="0" w:color="auto"/>
              </w:divBdr>
            </w:div>
            <w:div w:id="420226488">
              <w:marLeft w:val="0"/>
              <w:marRight w:val="0"/>
              <w:marTop w:val="0"/>
              <w:marBottom w:val="0"/>
              <w:divBdr>
                <w:top w:val="none" w:sz="0" w:space="0" w:color="auto"/>
                <w:left w:val="none" w:sz="0" w:space="0" w:color="auto"/>
                <w:bottom w:val="none" w:sz="0" w:space="0" w:color="auto"/>
                <w:right w:val="none" w:sz="0" w:space="0" w:color="auto"/>
              </w:divBdr>
              <w:divsChild>
                <w:div w:id="1748308747">
                  <w:marLeft w:val="0"/>
                  <w:marRight w:val="0"/>
                  <w:marTop w:val="0"/>
                  <w:marBottom w:val="0"/>
                  <w:divBdr>
                    <w:top w:val="none" w:sz="0" w:space="0" w:color="auto"/>
                    <w:left w:val="none" w:sz="0" w:space="0" w:color="auto"/>
                    <w:bottom w:val="none" w:sz="0" w:space="0" w:color="auto"/>
                    <w:right w:val="none" w:sz="0" w:space="0" w:color="auto"/>
                  </w:divBdr>
                </w:div>
              </w:divsChild>
            </w:div>
            <w:div w:id="420301059">
              <w:marLeft w:val="0"/>
              <w:marRight w:val="0"/>
              <w:marTop w:val="0"/>
              <w:marBottom w:val="0"/>
              <w:divBdr>
                <w:top w:val="none" w:sz="0" w:space="0" w:color="auto"/>
                <w:left w:val="none" w:sz="0" w:space="0" w:color="auto"/>
                <w:bottom w:val="none" w:sz="0" w:space="0" w:color="auto"/>
                <w:right w:val="none" w:sz="0" w:space="0" w:color="auto"/>
              </w:divBdr>
              <w:divsChild>
                <w:div w:id="139004159">
                  <w:marLeft w:val="0"/>
                  <w:marRight w:val="0"/>
                  <w:marTop w:val="0"/>
                  <w:marBottom w:val="0"/>
                  <w:divBdr>
                    <w:top w:val="none" w:sz="0" w:space="0" w:color="auto"/>
                    <w:left w:val="none" w:sz="0" w:space="0" w:color="auto"/>
                    <w:bottom w:val="none" w:sz="0" w:space="0" w:color="auto"/>
                    <w:right w:val="none" w:sz="0" w:space="0" w:color="auto"/>
                  </w:divBdr>
                </w:div>
              </w:divsChild>
            </w:div>
            <w:div w:id="420567643">
              <w:marLeft w:val="0"/>
              <w:marRight w:val="0"/>
              <w:marTop w:val="0"/>
              <w:marBottom w:val="0"/>
              <w:divBdr>
                <w:top w:val="none" w:sz="0" w:space="0" w:color="auto"/>
                <w:left w:val="none" w:sz="0" w:space="0" w:color="auto"/>
                <w:bottom w:val="none" w:sz="0" w:space="0" w:color="auto"/>
                <w:right w:val="none" w:sz="0" w:space="0" w:color="auto"/>
              </w:divBdr>
              <w:divsChild>
                <w:div w:id="363602363">
                  <w:marLeft w:val="0"/>
                  <w:marRight w:val="0"/>
                  <w:marTop w:val="0"/>
                  <w:marBottom w:val="0"/>
                  <w:divBdr>
                    <w:top w:val="none" w:sz="0" w:space="0" w:color="auto"/>
                    <w:left w:val="none" w:sz="0" w:space="0" w:color="auto"/>
                    <w:bottom w:val="none" w:sz="0" w:space="0" w:color="auto"/>
                    <w:right w:val="none" w:sz="0" w:space="0" w:color="auto"/>
                  </w:divBdr>
                </w:div>
              </w:divsChild>
            </w:div>
            <w:div w:id="421529507">
              <w:marLeft w:val="0"/>
              <w:marRight w:val="0"/>
              <w:marTop w:val="0"/>
              <w:marBottom w:val="0"/>
              <w:divBdr>
                <w:top w:val="none" w:sz="0" w:space="0" w:color="auto"/>
                <w:left w:val="none" w:sz="0" w:space="0" w:color="auto"/>
                <w:bottom w:val="none" w:sz="0" w:space="0" w:color="auto"/>
                <w:right w:val="none" w:sz="0" w:space="0" w:color="auto"/>
              </w:divBdr>
              <w:divsChild>
                <w:div w:id="521865748">
                  <w:marLeft w:val="0"/>
                  <w:marRight w:val="0"/>
                  <w:marTop w:val="0"/>
                  <w:marBottom w:val="0"/>
                  <w:divBdr>
                    <w:top w:val="none" w:sz="0" w:space="0" w:color="auto"/>
                    <w:left w:val="none" w:sz="0" w:space="0" w:color="auto"/>
                    <w:bottom w:val="none" w:sz="0" w:space="0" w:color="auto"/>
                    <w:right w:val="none" w:sz="0" w:space="0" w:color="auto"/>
                  </w:divBdr>
                </w:div>
              </w:divsChild>
            </w:div>
            <w:div w:id="423651948">
              <w:marLeft w:val="0"/>
              <w:marRight w:val="0"/>
              <w:marTop w:val="0"/>
              <w:marBottom w:val="0"/>
              <w:divBdr>
                <w:top w:val="none" w:sz="0" w:space="0" w:color="auto"/>
                <w:left w:val="none" w:sz="0" w:space="0" w:color="auto"/>
                <w:bottom w:val="none" w:sz="0" w:space="0" w:color="auto"/>
                <w:right w:val="none" w:sz="0" w:space="0" w:color="auto"/>
              </w:divBdr>
              <w:divsChild>
                <w:div w:id="1499345627">
                  <w:marLeft w:val="0"/>
                  <w:marRight w:val="0"/>
                  <w:marTop w:val="0"/>
                  <w:marBottom w:val="0"/>
                  <w:divBdr>
                    <w:top w:val="none" w:sz="0" w:space="0" w:color="auto"/>
                    <w:left w:val="none" w:sz="0" w:space="0" w:color="auto"/>
                    <w:bottom w:val="none" w:sz="0" w:space="0" w:color="auto"/>
                    <w:right w:val="none" w:sz="0" w:space="0" w:color="auto"/>
                  </w:divBdr>
                </w:div>
              </w:divsChild>
            </w:div>
            <w:div w:id="424498947">
              <w:marLeft w:val="0"/>
              <w:marRight w:val="0"/>
              <w:marTop w:val="0"/>
              <w:marBottom w:val="0"/>
              <w:divBdr>
                <w:top w:val="none" w:sz="0" w:space="0" w:color="auto"/>
                <w:left w:val="none" w:sz="0" w:space="0" w:color="auto"/>
                <w:bottom w:val="none" w:sz="0" w:space="0" w:color="auto"/>
                <w:right w:val="none" w:sz="0" w:space="0" w:color="auto"/>
              </w:divBdr>
              <w:divsChild>
                <w:div w:id="292298591">
                  <w:marLeft w:val="0"/>
                  <w:marRight w:val="0"/>
                  <w:marTop w:val="0"/>
                  <w:marBottom w:val="0"/>
                  <w:divBdr>
                    <w:top w:val="none" w:sz="0" w:space="0" w:color="auto"/>
                    <w:left w:val="none" w:sz="0" w:space="0" w:color="auto"/>
                    <w:bottom w:val="none" w:sz="0" w:space="0" w:color="auto"/>
                    <w:right w:val="none" w:sz="0" w:space="0" w:color="auto"/>
                  </w:divBdr>
                </w:div>
              </w:divsChild>
            </w:div>
            <w:div w:id="424808714">
              <w:marLeft w:val="0"/>
              <w:marRight w:val="0"/>
              <w:marTop w:val="300"/>
              <w:marBottom w:val="300"/>
              <w:divBdr>
                <w:top w:val="none" w:sz="0" w:space="0" w:color="auto"/>
                <w:left w:val="none" w:sz="0" w:space="0" w:color="auto"/>
                <w:bottom w:val="none" w:sz="0" w:space="0" w:color="auto"/>
                <w:right w:val="none" w:sz="0" w:space="0" w:color="auto"/>
              </w:divBdr>
            </w:div>
            <w:div w:id="426272373">
              <w:marLeft w:val="0"/>
              <w:marRight w:val="0"/>
              <w:marTop w:val="0"/>
              <w:marBottom w:val="0"/>
              <w:divBdr>
                <w:top w:val="none" w:sz="0" w:space="0" w:color="auto"/>
                <w:left w:val="none" w:sz="0" w:space="0" w:color="auto"/>
                <w:bottom w:val="none" w:sz="0" w:space="0" w:color="auto"/>
                <w:right w:val="none" w:sz="0" w:space="0" w:color="auto"/>
              </w:divBdr>
              <w:divsChild>
                <w:div w:id="1491097330">
                  <w:marLeft w:val="0"/>
                  <w:marRight w:val="0"/>
                  <w:marTop w:val="0"/>
                  <w:marBottom w:val="0"/>
                  <w:divBdr>
                    <w:top w:val="none" w:sz="0" w:space="0" w:color="auto"/>
                    <w:left w:val="none" w:sz="0" w:space="0" w:color="auto"/>
                    <w:bottom w:val="none" w:sz="0" w:space="0" w:color="auto"/>
                    <w:right w:val="none" w:sz="0" w:space="0" w:color="auto"/>
                  </w:divBdr>
                </w:div>
              </w:divsChild>
            </w:div>
            <w:div w:id="426341975">
              <w:marLeft w:val="0"/>
              <w:marRight w:val="0"/>
              <w:marTop w:val="0"/>
              <w:marBottom w:val="0"/>
              <w:divBdr>
                <w:top w:val="none" w:sz="0" w:space="0" w:color="auto"/>
                <w:left w:val="none" w:sz="0" w:space="0" w:color="auto"/>
                <w:bottom w:val="none" w:sz="0" w:space="0" w:color="auto"/>
                <w:right w:val="none" w:sz="0" w:space="0" w:color="auto"/>
              </w:divBdr>
              <w:divsChild>
                <w:div w:id="449281377">
                  <w:marLeft w:val="0"/>
                  <w:marRight w:val="0"/>
                  <w:marTop w:val="0"/>
                  <w:marBottom w:val="0"/>
                  <w:divBdr>
                    <w:top w:val="none" w:sz="0" w:space="0" w:color="auto"/>
                    <w:left w:val="none" w:sz="0" w:space="0" w:color="auto"/>
                    <w:bottom w:val="none" w:sz="0" w:space="0" w:color="auto"/>
                    <w:right w:val="none" w:sz="0" w:space="0" w:color="auto"/>
                  </w:divBdr>
                </w:div>
              </w:divsChild>
            </w:div>
            <w:div w:id="428894917">
              <w:marLeft w:val="0"/>
              <w:marRight w:val="0"/>
              <w:marTop w:val="0"/>
              <w:marBottom w:val="0"/>
              <w:divBdr>
                <w:top w:val="none" w:sz="0" w:space="0" w:color="auto"/>
                <w:left w:val="none" w:sz="0" w:space="0" w:color="auto"/>
                <w:bottom w:val="none" w:sz="0" w:space="0" w:color="auto"/>
                <w:right w:val="none" w:sz="0" w:space="0" w:color="auto"/>
              </w:divBdr>
              <w:divsChild>
                <w:div w:id="1157770107">
                  <w:marLeft w:val="0"/>
                  <w:marRight w:val="0"/>
                  <w:marTop w:val="0"/>
                  <w:marBottom w:val="0"/>
                  <w:divBdr>
                    <w:top w:val="none" w:sz="0" w:space="0" w:color="auto"/>
                    <w:left w:val="none" w:sz="0" w:space="0" w:color="auto"/>
                    <w:bottom w:val="none" w:sz="0" w:space="0" w:color="auto"/>
                    <w:right w:val="none" w:sz="0" w:space="0" w:color="auto"/>
                  </w:divBdr>
                </w:div>
              </w:divsChild>
            </w:div>
            <w:div w:id="429199961">
              <w:marLeft w:val="0"/>
              <w:marRight w:val="0"/>
              <w:marTop w:val="0"/>
              <w:marBottom w:val="0"/>
              <w:divBdr>
                <w:top w:val="none" w:sz="0" w:space="0" w:color="auto"/>
                <w:left w:val="none" w:sz="0" w:space="0" w:color="auto"/>
                <w:bottom w:val="none" w:sz="0" w:space="0" w:color="auto"/>
                <w:right w:val="none" w:sz="0" w:space="0" w:color="auto"/>
              </w:divBdr>
              <w:divsChild>
                <w:div w:id="1983847540">
                  <w:marLeft w:val="0"/>
                  <w:marRight w:val="0"/>
                  <w:marTop w:val="0"/>
                  <w:marBottom w:val="0"/>
                  <w:divBdr>
                    <w:top w:val="none" w:sz="0" w:space="0" w:color="auto"/>
                    <w:left w:val="none" w:sz="0" w:space="0" w:color="auto"/>
                    <w:bottom w:val="none" w:sz="0" w:space="0" w:color="auto"/>
                    <w:right w:val="none" w:sz="0" w:space="0" w:color="auto"/>
                  </w:divBdr>
                </w:div>
              </w:divsChild>
            </w:div>
            <w:div w:id="429741180">
              <w:marLeft w:val="0"/>
              <w:marRight w:val="0"/>
              <w:marTop w:val="0"/>
              <w:marBottom w:val="0"/>
              <w:divBdr>
                <w:top w:val="none" w:sz="0" w:space="0" w:color="auto"/>
                <w:left w:val="none" w:sz="0" w:space="0" w:color="auto"/>
                <w:bottom w:val="none" w:sz="0" w:space="0" w:color="auto"/>
                <w:right w:val="none" w:sz="0" w:space="0" w:color="auto"/>
              </w:divBdr>
              <w:divsChild>
                <w:div w:id="1165785891">
                  <w:marLeft w:val="0"/>
                  <w:marRight w:val="0"/>
                  <w:marTop w:val="0"/>
                  <w:marBottom w:val="0"/>
                  <w:divBdr>
                    <w:top w:val="none" w:sz="0" w:space="0" w:color="auto"/>
                    <w:left w:val="none" w:sz="0" w:space="0" w:color="auto"/>
                    <w:bottom w:val="none" w:sz="0" w:space="0" w:color="auto"/>
                    <w:right w:val="none" w:sz="0" w:space="0" w:color="auto"/>
                  </w:divBdr>
                </w:div>
              </w:divsChild>
            </w:div>
            <w:div w:id="431124969">
              <w:marLeft w:val="0"/>
              <w:marRight w:val="0"/>
              <w:marTop w:val="0"/>
              <w:marBottom w:val="0"/>
              <w:divBdr>
                <w:top w:val="none" w:sz="0" w:space="0" w:color="auto"/>
                <w:left w:val="none" w:sz="0" w:space="0" w:color="auto"/>
                <w:bottom w:val="none" w:sz="0" w:space="0" w:color="auto"/>
                <w:right w:val="none" w:sz="0" w:space="0" w:color="auto"/>
              </w:divBdr>
              <w:divsChild>
                <w:div w:id="202334145">
                  <w:marLeft w:val="0"/>
                  <w:marRight w:val="0"/>
                  <w:marTop w:val="0"/>
                  <w:marBottom w:val="0"/>
                  <w:divBdr>
                    <w:top w:val="none" w:sz="0" w:space="0" w:color="auto"/>
                    <w:left w:val="none" w:sz="0" w:space="0" w:color="auto"/>
                    <w:bottom w:val="none" w:sz="0" w:space="0" w:color="auto"/>
                    <w:right w:val="none" w:sz="0" w:space="0" w:color="auto"/>
                  </w:divBdr>
                </w:div>
              </w:divsChild>
            </w:div>
            <w:div w:id="431902438">
              <w:marLeft w:val="0"/>
              <w:marRight w:val="0"/>
              <w:marTop w:val="300"/>
              <w:marBottom w:val="300"/>
              <w:divBdr>
                <w:top w:val="none" w:sz="0" w:space="0" w:color="auto"/>
                <w:left w:val="none" w:sz="0" w:space="0" w:color="auto"/>
                <w:bottom w:val="none" w:sz="0" w:space="0" w:color="auto"/>
                <w:right w:val="none" w:sz="0" w:space="0" w:color="auto"/>
              </w:divBdr>
            </w:div>
            <w:div w:id="433595489">
              <w:marLeft w:val="0"/>
              <w:marRight w:val="0"/>
              <w:marTop w:val="300"/>
              <w:marBottom w:val="300"/>
              <w:divBdr>
                <w:top w:val="none" w:sz="0" w:space="0" w:color="auto"/>
                <w:left w:val="none" w:sz="0" w:space="0" w:color="auto"/>
                <w:bottom w:val="none" w:sz="0" w:space="0" w:color="auto"/>
                <w:right w:val="none" w:sz="0" w:space="0" w:color="auto"/>
              </w:divBdr>
            </w:div>
            <w:div w:id="433870309">
              <w:marLeft w:val="0"/>
              <w:marRight w:val="0"/>
              <w:marTop w:val="0"/>
              <w:marBottom w:val="0"/>
              <w:divBdr>
                <w:top w:val="none" w:sz="0" w:space="0" w:color="auto"/>
                <w:left w:val="none" w:sz="0" w:space="0" w:color="auto"/>
                <w:bottom w:val="none" w:sz="0" w:space="0" w:color="auto"/>
                <w:right w:val="none" w:sz="0" w:space="0" w:color="auto"/>
              </w:divBdr>
              <w:divsChild>
                <w:div w:id="965500742">
                  <w:marLeft w:val="0"/>
                  <w:marRight w:val="0"/>
                  <w:marTop w:val="0"/>
                  <w:marBottom w:val="0"/>
                  <w:divBdr>
                    <w:top w:val="none" w:sz="0" w:space="0" w:color="auto"/>
                    <w:left w:val="none" w:sz="0" w:space="0" w:color="auto"/>
                    <w:bottom w:val="none" w:sz="0" w:space="0" w:color="auto"/>
                    <w:right w:val="none" w:sz="0" w:space="0" w:color="auto"/>
                  </w:divBdr>
                </w:div>
              </w:divsChild>
            </w:div>
            <w:div w:id="433945384">
              <w:marLeft w:val="0"/>
              <w:marRight w:val="0"/>
              <w:marTop w:val="300"/>
              <w:marBottom w:val="300"/>
              <w:divBdr>
                <w:top w:val="none" w:sz="0" w:space="0" w:color="auto"/>
                <w:left w:val="none" w:sz="0" w:space="0" w:color="auto"/>
                <w:bottom w:val="none" w:sz="0" w:space="0" w:color="auto"/>
                <w:right w:val="none" w:sz="0" w:space="0" w:color="auto"/>
              </w:divBdr>
            </w:div>
            <w:div w:id="435760178">
              <w:marLeft w:val="0"/>
              <w:marRight w:val="0"/>
              <w:marTop w:val="0"/>
              <w:marBottom w:val="0"/>
              <w:divBdr>
                <w:top w:val="none" w:sz="0" w:space="0" w:color="auto"/>
                <w:left w:val="none" w:sz="0" w:space="0" w:color="auto"/>
                <w:bottom w:val="none" w:sz="0" w:space="0" w:color="auto"/>
                <w:right w:val="none" w:sz="0" w:space="0" w:color="auto"/>
              </w:divBdr>
              <w:divsChild>
                <w:div w:id="1591507290">
                  <w:marLeft w:val="0"/>
                  <w:marRight w:val="0"/>
                  <w:marTop w:val="0"/>
                  <w:marBottom w:val="0"/>
                  <w:divBdr>
                    <w:top w:val="none" w:sz="0" w:space="0" w:color="auto"/>
                    <w:left w:val="none" w:sz="0" w:space="0" w:color="auto"/>
                    <w:bottom w:val="none" w:sz="0" w:space="0" w:color="auto"/>
                    <w:right w:val="none" w:sz="0" w:space="0" w:color="auto"/>
                  </w:divBdr>
                </w:div>
              </w:divsChild>
            </w:div>
            <w:div w:id="437792574">
              <w:marLeft w:val="0"/>
              <w:marRight w:val="0"/>
              <w:marTop w:val="0"/>
              <w:marBottom w:val="0"/>
              <w:divBdr>
                <w:top w:val="none" w:sz="0" w:space="0" w:color="auto"/>
                <w:left w:val="none" w:sz="0" w:space="0" w:color="auto"/>
                <w:bottom w:val="none" w:sz="0" w:space="0" w:color="auto"/>
                <w:right w:val="none" w:sz="0" w:space="0" w:color="auto"/>
              </w:divBdr>
              <w:divsChild>
                <w:div w:id="395739049">
                  <w:marLeft w:val="0"/>
                  <w:marRight w:val="0"/>
                  <w:marTop w:val="0"/>
                  <w:marBottom w:val="0"/>
                  <w:divBdr>
                    <w:top w:val="none" w:sz="0" w:space="0" w:color="auto"/>
                    <w:left w:val="none" w:sz="0" w:space="0" w:color="auto"/>
                    <w:bottom w:val="none" w:sz="0" w:space="0" w:color="auto"/>
                    <w:right w:val="none" w:sz="0" w:space="0" w:color="auto"/>
                  </w:divBdr>
                </w:div>
              </w:divsChild>
            </w:div>
            <w:div w:id="437989046">
              <w:marLeft w:val="0"/>
              <w:marRight w:val="0"/>
              <w:marTop w:val="300"/>
              <w:marBottom w:val="300"/>
              <w:divBdr>
                <w:top w:val="none" w:sz="0" w:space="0" w:color="auto"/>
                <w:left w:val="none" w:sz="0" w:space="0" w:color="auto"/>
                <w:bottom w:val="none" w:sz="0" w:space="0" w:color="auto"/>
                <w:right w:val="none" w:sz="0" w:space="0" w:color="auto"/>
              </w:divBdr>
            </w:div>
            <w:div w:id="440341698">
              <w:marLeft w:val="0"/>
              <w:marRight w:val="0"/>
              <w:marTop w:val="0"/>
              <w:marBottom w:val="0"/>
              <w:divBdr>
                <w:top w:val="none" w:sz="0" w:space="0" w:color="auto"/>
                <w:left w:val="none" w:sz="0" w:space="0" w:color="auto"/>
                <w:bottom w:val="none" w:sz="0" w:space="0" w:color="auto"/>
                <w:right w:val="none" w:sz="0" w:space="0" w:color="auto"/>
              </w:divBdr>
              <w:divsChild>
                <w:div w:id="947003485">
                  <w:marLeft w:val="0"/>
                  <w:marRight w:val="0"/>
                  <w:marTop w:val="0"/>
                  <w:marBottom w:val="0"/>
                  <w:divBdr>
                    <w:top w:val="none" w:sz="0" w:space="0" w:color="auto"/>
                    <w:left w:val="none" w:sz="0" w:space="0" w:color="auto"/>
                    <w:bottom w:val="none" w:sz="0" w:space="0" w:color="auto"/>
                    <w:right w:val="none" w:sz="0" w:space="0" w:color="auto"/>
                  </w:divBdr>
                </w:div>
              </w:divsChild>
            </w:div>
            <w:div w:id="440489555">
              <w:marLeft w:val="0"/>
              <w:marRight w:val="0"/>
              <w:marTop w:val="0"/>
              <w:marBottom w:val="0"/>
              <w:divBdr>
                <w:top w:val="none" w:sz="0" w:space="0" w:color="auto"/>
                <w:left w:val="none" w:sz="0" w:space="0" w:color="auto"/>
                <w:bottom w:val="none" w:sz="0" w:space="0" w:color="auto"/>
                <w:right w:val="none" w:sz="0" w:space="0" w:color="auto"/>
              </w:divBdr>
              <w:divsChild>
                <w:div w:id="1185634211">
                  <w:marLeft w:val="0"/>
                  <w:marRight w:val="0"/>
                  <w:marTop w:val="0"/>
                  <w:marBottom w:val="0"/>
                  <w:divBdr>
                    <w:top w:val="none" w:sz="0" w:space="0" w:color="auto"/>
                    <w:left w:val="none" w:sz="0" w:space="0" w:color="auto"/>
                    <w:bottom w:val="none" w:sz="0" w:space="0" w:color="auto"/>
                    <w:right w:val="none" w:sz="0" w:space="0" w:color="auto"/>
                  </w:divBdr>
                </w:div>
              </w:divsChild>
            </w:div>
            <w:div w:id="440498051">
              <w:marLeft w:val="0"/>
              <w:marRight w:val="0"/>
              <w:marTop w:val="0"/>
              <w:marBottom w:val="0"/>
              <w:divBdr>
                <w:top w:val="none" w:sz="0" w:space="0" w:color="auto"/>
                <w:left w:val="none" w:sz="0" w:space="0" w:color="auto"/>
                <w:bottom w:val="none" w:sz="0" w:space="0" w:color="auto"/>
                <w:right w:val="none" w:sz="0" w:space="0" w:color="auto"/>
              </w:divBdr>
              <w:divsChild>
                <w:div w:id="22681936">
                  <w:marLeft w:val="0"/>
                  <w:marRight w:val="0"/>
                  <w:marTop w:val="0"/>
                  <w:marBottom w:val="0"/>
                  <w:divBdr>
                    <w:top w:val="none" w:sz="0" w:space="0" w:color="auto"/>
                    <w:left w:val="none" w:sz="0" w:space="0" w:color="auto"/>
                    <w:bottom w:val="none" w:sz="0" w:space="0" w:color="auto"/>
                    <w:right w:val="none" w:sz="0" w:space="0" w:color="auto"/>
                  </w:divBdr>
                </w:div>
              </w:divsChild>
            </w:div>
            <w:div w:id="444663786">
              <w:marLeft w:val="0"/>
              <w:marRight w:val="0"/>
              <w:marTop w:val="0"/>
              <w:marBottom w:val="0"/>
              <w:divBdr>
                <w:top w:val="none" w:sz="0" w:space="0" w:color="auto"/>
                <w:left w:val="none" w:sz="0" w:space="0" w:color="auto"/>
                <w:bottom w:val="none" w:sz="0" w:space="0" w:color="auto"/>
                <w:right w:val="none" w:sz="0" w:space="0" w:color="auto"/>
              </w:divBdr>
              <w:divsChild>
                <w:div w:id="58483393">
                  <w:marLeft w:val="0"/>
                  <w:marRight w:val="0"/>
                  <w:marTop w:val="0"/>
                  <w:marBottom w:val="0"/>
                  <w:divBdr>
                    <w:top w:val="none" w:sz="0" w:space="0" w:color="auto"/>
                    <w:left w:val="none" w:sz="0" w:space="0" w:color="auto"/>
                    <w:bottom w:val="none" w:sz="0" w:space="0" w:color="auto"/>
                    <w:right w:val="none" w:sz="0" w:space="0" w:color="auto"/>
                  </w:divBdr>
                </w:div>
              </w:divsChild>
            </w:div>
            <w:div w:id="445077269">
              <w:marLeft w:val="0"/>
              <w:marRight w:val="0"/>
              <w:marTop w:val="0"/>
              <w:marBottom w:val="0"/>
              <w:divBdr>
                <w:top w:val="none" w:sz="0" w:space="0" w:color="auto"/>
                <w:left w:val="none" w:sz="0" w:space="0" w:color="auto"/>
                <w:bottom w:val="none" w:sz="0" w:space="0" w:color="auto"/>
                <w:right w:val="none" w:sz="0" w:space="0" w:color="auto"/>
              </w:divBdr>
              <w:divsChild>
                <w:div w:id="683871240">
                  <w:marLeft w:val="0"/>
                  <w:marRight w:val="0"/>
                  <w:marTop w:val="0"/>
                  <w:marBottom w:val="0"/>
                  <w:divBdr>
                    <w:top w:val="none" w:sz="0" w:space="0" w:color="auto"/>
                    <w:left w:val="none" w:sz="0" w:space="0" w:color="auto"/>
                    <w:bottom w:val="none" w:sz="0" w:space="0" w:color="auto"/>
                    <w:right w:val="none" w:sz="0" w:space="0" w:color="auto"/>
                  </w:divBdr>
                </w:div>
              </w:divsChild>
            </w:div>
            <w:div w:id="448087452">
              <w:marLeft w:val="0"/>
              <w:marRight w:val="0"/>
              <w:marTop w:val="0"/>
              <w:marBottom w:val="0"/>
              <w:divBdr>
                <w:top w:val="none" w:sz="0" w:space="0" w:color="auto"/>
                <w:left w:val="none" w:sz="0" w:space="0" w:color="auto"/>
                <w:bottom w:val="none" w:sz="0" w:space="0" w:color="auto"/>
                <w:right w:val="none" w:sz="0" w:space="0" w:color="auto"/>
              </w:divBdr>
              <w:divsChild>
                <w:div w:id="1939173548">
                  <w:marLeft w:val="0"/>
                  <w:marRight w:val="0"/>
                  <w:marTop w:val="0"/>
                  <w:marBottom w:val="0"/>
                  <w:divBdr>
                    <w:top w:val="none" w:sz="0" w:space="0" w:color="auto"/>
                    <w:left w:val="none" w:sz="0" w:space="0" w:color="auto"/>
                    <w:bottom w:val="none" w:sz="0" w:space="0" w:color="auto"/>
                    <w:right w:val="none" w:sz="0" w:space="0" w:color="auto"/>
                  </w:divBdr>
                </w:div>
              </w:divsChild>
            </w:div>
            <w:div w:id="449281775">
              <w:marLeft w:val="0"/>
              <w:marRight w:val="0"/>
              <w:marTop w:val="300"/>
              <w:marBottom w:val="300"/>
              <w:divBdr>
                <w:top w:val="none" w:sz="0" w:space="0" w:color="auto"/>
                <w:left w:val="none" w:sz="0" w:space="0" w:color="auto"/>
                <w:bottom w:val="none" w:sz="0" w:space="0" w:color="auto"/>
                <w:right w:val="none" w:sz="0" w:space="0" w:color="auto"/>
              </w:divBdr>
            </w:div>
            <w:div w:id="449327967">
              <w:marLeft w:val="0"/>
              <w:marRight w:val="0"/>
              <w:marTop w:val="0"/>
              <w:marBottom w:val="0"/>
              <w:divBdr>
                <w:top w:val="none" w:sz="0" w:space="0" w:color="auto"/>
                <w:left w:val="none" w:sz="0" w:space="0" w:color="auto"/>
                <w:bottom w:val="none" w:sz="0" w:space="0" w:color="auto"/>
                <w:right w:val="none" w:sz="0" w:space="0" w:color="auto"/>
              </w:divBdr>
              <w:divsChild>
                <w:div w:id="1234657261">
                  <w:marLeft w:val="0"/>
                  <w:marRight w:val="0"/>
                  <w:marTop w:val="0"/>
                  <w:marBottom w:val="0"/>
                  <w:divBdr>
                    <w:top w:val="none" w:sz="0" w:space="0" w:color="auto"/>
                    <w:left w:val="none" w:sz="0" w:space="0" w:color="auto"/>
                    <w:bottom w:val="none" w:sz="0" w:space="0" w:color="auto"/>
                    <w:right w:val="none" w:sz="0" w:space="0" w:color="auto"/>
                  </w:divBdr>
                </w:div>
              </w:divsChild>
            </w:div>
            <w:div w:id="449519301">
              <w:marLeft w:val="0"/>
              <w:marRight w:val="0"/>
              <w:marTop w:val="0"/>
              <w:marBottom w:val="0"/>
              <w:divBdr>
                <w:top w:val="none" w:sz="0" w:space="0" w:color="auto"/>
                <w:left w:val="none" w:sz="0" w:space="0" w:color="auto"/>
                <w:bottom w:val="none" w:sz="0" w:space="0" w:color="auto"/>
                <w:right w:val="none" w:sz="0" w:space="0" w:color="auto"/>
              </w:divBdr>
              <w:divsChild>
                <w:div w:id="1080055905">
                  <w:marLeft w:val="0"/>
                  <w:marRight w:val="0"/>
                  <w:marTop w:val="0"/>
                  <w:marBottom w:val="0"/>
                  <w:divBdr>
                    <w:top w:val="none" w:sz="0" w:space="0" w:color="auto"/>
                    <w:left w:val="none" w:sz="0" w:space="0" w:color="auto"/>
                    <w:bottom w:val="none" w:sz="0" w:space="0" w:color="auto"/>
                    <w:right w:val="none" w:sz="0" w:space="0" w:color="auto"/>
                  </w:divBdr>
                </w:div>
              </w:divsChild>
            </w:div>
            <w:div w:id="450129648">
              <w:marLeft w:val="0"/>
              <w:marRight w:val="0"/>
              <w:marTop w:val="0"/>
              <w:marBottom w:val="0"/>
              <w:divBdr>
                <w:top w:val="none" w:sz="0" w:space="0" w:color="auto"/>
                <w:left w:val="none" w:sz="0" w:space="0" w:color="auto"/>
                <w:bottom w:val="none" w:sz="0" w:space="0" w:color="auto"/>
                <w:right w:val="none" w:sz="0" w:space="0" w:color="auto"/>
              </w:divBdr>
              <w:divsChild>
                <w:div w:id="823207799">
                  <w:marLeft w:val="0"/>
                  <w:marRight w:val="0"/>
                  <w:marTop w:val="0"/>
                  <w:marBottom w:val="0"/>
                  <w:divBdr>
                    <w:top w:val="none" w:sz="0" w:space="0" w:color="auto"/>
                    <w:left w:val="none" w:sz="0" w:space="0" w:color="auto"/>
                    <w:bottom w:val="none" w:sz="0" w:space="0" w:color="auto"/>
                    <w:right w:val="none" w:sz="0" w:space="0" w:color="auto"/>
                  </w:divBdr>
                </w:div>
              </w:divsChild>
            </w:div>
            <w:div w:id="452752869">
              <w:marLeft w:val="0"/>
              <w:marRight w:val="0"/>
              <w:marTop w:val="0"/>
              <w:marBottom w:val="0"/>
              <w:divBdr>
                <w:top w:val="none" w:sz="0" w:space="0" w:color="auto"/>
                <w:left w:val="none" w:sz="0" w:space="0" w:color="auto"/>
                <w:bottom w:val="none" w:sz="0" w:space="0" w:color="auto"/>
                <w:right w:val="none" w:sz="0" w:space="0" w:color="auto"/>
              </w:divBdr>
              <w:divsChild>
                <w:div w:id="1095325176">
                  <w:marLeft w:val="0"/>
                  <w:marRight w:val="0"/>
                  <w:marTop w:val="0"/>
                  <w:marBottom w:val="0"/>
                  <w:divBdr>
                    <w:top w:val="none" w:sz="0" w:space="0" w:color="auto"/>
                    <w:left w:val="none" w:sz="0" w:space="0" w:color="auto"/>
                    <w:bottom w:val="none" w:sz="0" w:space="0" w:color="auto"/>
                    <w:right w:val="none" w:sz="0" w:space="0" w:color="auto"/>
                  </w:divBdr>
                </w:div>
              </w:divsChild>
            </w:div>
            <w:div w:id="454061710">
              <w:marLeft w:val="0"/>
              <w:marRight w:val="0"/>
              <w:marTop w:val="0"/>
              <w:marBottom w:val="0"/>
              <w:divBdr>
                <w:top w:val="none" w:sz="0" w:space="0" w:color="auto"/>
                <w:left w:val="none" w:sz="0" w:space="0" w:color="auto"/>
                <w:bottom w:val="none" w:sz="0" w:space="0" w:color="auto"/>
                <w:right w:val="none" w:sz="0" w:space="0" w:color="auto"/>
              </w:divBdr>
              <w:divsChild>
                <w:div w:id="590237082">
                  <w:marLeft w:val="0"/>
                  <w:marRight w:val="0"/>
                  <w:marTop w:val="0"/>
                  <w:marBottom w:val="0"/>
                  <w:divBdr>
                    <w:top w:val="none" w:sz="0" w:space="0" w:color="auto"/>
                    <w:left w:val="none" w:sz="0" w:space="0" w:color="auto"/>
                    <w:bottom w:val="none" w:sz="0" w:space="0" w:color="auto"/>
                    <w:right w:val="none" w:sz="0" w:space="0" w:color="auto"/>
                  </w:divBdr>
                </w:div>
              </w:divsChild>
            </w:div>
            <w:div w:id="454445617">
              <w:marLeft w:val="0"/>
              <w:marRight w:val="0"/>
              <w:marTop w:val="0"/>
              <w:marBottom w:val="0"/>
              <w:divBdr>
                <w:top w:val="none" w:sz="0" w:space="0" w:color="auto"/>
                <w:left w:val="none" w:sz="0" w:space="0" w:color="auto"/>
                <w:bottom w:val="none" w:sz="0" w:space="0" w:color="auto"/>
                <w:right w:val="none" w:sz="0" w:space="0" w:color="auto"/>
              </w:divBdr>
              <w:divsChild>
                <w:div w:id="1093555423">
                  <w:marLeft w:val="0"/>
                  <w:marRight w:val="0"/>
                  <w:marTop w:val="0"/>
                  <w:marBottom w:val="0"/>
                  <w:divBdr>
                    <w:top w:val="none" w:sz="0" w:space="0" w:color="auto"/>
                    <w:left w:val="none" w:sz="0" w:space="0" w:color="auto"/>
                    <w:bottom w:val="none" w:sz="0" w:space="0" w:color="auto"/>
                    <w:right w:val="none" w:sz="0" w:space="0" w:color="auto"/>
                  </w:divBdr>
                </w:div>
              </w:divsChild>
            </w:div>
            <w:div w:id="454717410">
              <w:marLeft w:val="0"/>
              <w:marRight w:val="0"/>
              <w:marTop w:val="0"/>
              <w:marBottom w:val="0"/>
              <w:divBdr>
                <w:top w:val="none" w:sz="0" w:space="0" w:color="auto"/>
                <w:left w:val="none" w:sz="0" w:space="0" w:color="auto"/>
                <w:bottom w:val="none" w:sz="0" w:space="0" w:color="auto"/>
                <w:right w:val="none" w:sz="0" w:space="0" w:color="auto"/>
              </w:divBdr>
              <w:divsChild>
                <w:div w:id="926695222">
                  <w:marLeft w:val="0"/>
                  <w:marRight w:val="0"/>
                  <w:marTop w:val="0"/>
                  <w:marBottom w:val="0"/>
                  <w:divBdr>
                    <w:top w:val="none" w:sz="0" w:space="0" w:color="auto"/>
                    <w:left w:val="none" w:sz="0" w:space="0" w:color="auto"/>
                    <w:bottom w:val="none" w:sz="0" w:space="0" w:color="auto"/>
                    <w:right w:val="none" w:sz="0" w:space="0" w:color="auto"/>
                  </w:divBdr>
                </w:div>
              </w:divsChild>
            </w:div>
            <w:div w:id="455829910">
              <w:marLeft w:val="0"/>
              <w:marRight w:val="0"/>
              <w:marTop w:val="0"/>
              <w:marBottom w:val="0"/>
              <w:divBdr>
                <w:top w:val="none" w:sz="0" w:space="0" w:color="auto"/>
                <w:left w:val="none" w:sz="0" w:space="0" w:color="auto"/>
                <w:bottom w:val="none" w:sz="0" w:space="0" w:color="auto"/>
                <w:right w:val="none" w:sz="0" w:space="0" w:color="auto"/>
              </w:divBdr>
              <w:divsChild>
                <w:div w:id="1605501332">
                  <w:marLeft w:val="0"/>
                  <w:marRight w:val="0"/>
                  <w:marTop w:val="0"/>
                  <w:marBottom w:val="0"/>
                  <w:divBdr>
                    <w:top w:val="none" w:sz="0" w:space="0" w:color="auto"/>
                    <w:left w:val="none" w:sz="0" w:space="0" w:color="auto"/>
                    <w:bottom w:val="none" w:sz="0" w:space="0" w:color="auto"/>
                    <w:right w:val="none" w:sz="0" w:space="0" w:color="auto"/>
                  </w:divBdr>
                </w:div>
              </w:divsChild>
            </w:div>
            <w:div w:id="457920924">
              <w:marLeft w:val="0"/>
              <w:marRight w:val="0"/>
              <w:marTop w:val="0"/>
              <w:marBottom w:val="0"/>
              <w:divBdr>
                <w:top w:val="none" w:sz="0" w:space="0" w:color="auto"/>
                <w:left w:val="none" w:sz="0" w:space="0" w:color="auto"/>
                <w:bottom w:val="none" w:sz="0" w:space="0" w:color="auto"/>
                <w:right w:val="none" w:sz="0" w:space="0" w:color="auto"/>
              </w:divBdr>
              <w:divsChild>
                <w:div w:id="2037732345">
                  <w:marLeft w:val="0"/>
                  <w:marRight w:val="0"/>
                  <w:marTop w:val="0"/>
                  <w:marBottom w:val="0"/>
                  <w:divBdr>
                    <w:top w:val="none" w:sz="0" w:space="0" w:color="auto"/>
                    <w:left w:val="none" w:sz="0" w:space="0" w:color="auto"/>
                    <w:bottom w:val="none" w:sz="0" w:space="0" w:color="auto"/>
                    <w:right w:val="none" w:sz="0" w:space="0" w:color="auto"/>
                  </w:divBdr>
                </w:div>
              </w:divsChild>
            </w:div>
            <w:div w:id="460852465">
              <w:marLeft w:val="0"/>
              <w:marRight w:val="0"/>
              <w:marTop w:val="0"/>
              <w:marBottom w:val="0"/>
              <w:divBdr>
                <w:top w:val="none" w:sz="0" w:space="0" w:color="auto"/>
                <w:left w:val="none" w:sz="0" w:space="0" w:color="auto"/>
                <w:bottom w:val="none" w:sz="0" w:space="0" w:color="auto"/>
                <w:right w:val="none" w:sz="0" w:space="0" w:color="auto"/>
              </w:divBdr>
              <w:divsChild>
                <w:div w:id="1417096242">
                  <w:marLeft w:val="0"/>
                  <w:marRight w:val="0"/>
                  <w:marTop w:val="0"/>
                  <w:marBottom w:val="0"/>
                  <w:divBdr>
                    <w:top w:val="none" w:sz="0" w:space="0" w:color="auto"/>
                    <w:left w:val="none" w:sz="0" w:space="0" w:color="auto"/>
                    <w:bottom w:val="none" w:sz="0" w:space="0" w:color="auto"/>
                    <w:right w:val="none" w:sz="0" w:space="0" w:color="auto"/>
                  </w:divBdr>
                </w:div>
              </w:divsChild>
            </w:div>
            <w:div w:id="462307210">
              <w:marLeft w:val="0"/>
              <w:marRight w:val="0"/>
              <w:marTop w:val="0"/>
              <w:marBottom w:val="0"/>
              <w:divBdr>
                <w:top w:val="none" w:sz="0" w:space="0" w:color="auto"/>
                <w:left w:val="none" w:sz="0" w:space="0" w:color="auto"/>
                <w:bottom w:val="none" w:sz="0" w:space="0" w:color="auto"/>
                <w:right w:val="none" w:sz="0" w:space="0" w:color="auto"/>
              </w:divBdr>
              <w:divsChild>
                <w:div w:id="1581019395">
                  <w:marLeft w:val="0"/>
                  <w:marRight w:val="0"/>
                  <w:marTop w:val="0"/>
                  <w:marBottom w:val="0"/>
                  <w:divBdr>
                    <w:top w:val="none" w:sz="0" w:space="0" w:color="auto"/>
                    <w:left w:val="none" w:sz="0" w:space="0" w:color="auto"/>
                    <w:bottom w:val="none" w:sz="0" w:space="0" w:color="auto"/>
                    <w:right w:val="none" w:sz="0" w:space="0" w:color="auto"/>
                  </w:divBdr>
                </w:div>
              </w:divsChild>
            </w:div>
            <w:div w:id="463348606">
              <w:marLeft w:val="0"/>
              <w:marRight w:val="0"/>
              <w:marTop w:val="300"/>
              <w:marBottom w:val="300"/>
              <w:divBdr>
                <w:top w:val="none" w:sz="0" w:space="0" w:color="auto"/>
                <w:left w:val="none" w:sz="0" w:space="0" w:color="auto"/>
                <w:bottom w:val="none" w:sz="0" w:space="0" w:color="auto"/>
                <w:right w:val="none" w:sz="0" w:space="0" w:color="auto"/>
              </w:divBdr>
            </w:div>
            <w:div w:id="463740301">
              <w:marLeft w:val="0"/>
              <w:marRight w:val="0"/>
              <w:marTop w:val="0"/>
              <w:marBottom w:val="0"/>
              <w:divBdr>
                <w:top w:val="none" w:sz="0" w:space="0" w:color="auto"/>
                <w:left w:val="none" w:sz="0" w:space="0" w:color="auto"/>
                <w:bottom w:val="none" w:sz="0" w:space="0" w:color="auto"/>
                <w:right w:val="none" w:sz="0" w:space="0" w:color="auto"/>
              </w:divBdr>
              <w:divsChild>
                <w:div w:id="1792236714">
                  <w:marLeft w:val="0"/>
                  <w:marRight w:val="0"/>
                  <w:marTop w:val="0"/>
                  <w:marBottom w:val="0"/>
                  <w:divBdr>
                    <w:top w:val="none" w:sz="0" w:space="0" w:color="auto"/>
                    <w:left w:val="none" w:sz="0" w:space="0" w:color="auto"/>
                    <w:bottom w:val="none" w:sz="0" w:space="0" w:color="auto"/>
                    <w:right w:val="none" w:sz="0" w:space="0" w:color="auto"/>
                  </w:divBdr>
                </w:div>
              </w:divsChild>
            </w:div>
            <w:div w:id="463961248">
              <w:marLeft w:val="0"/>
              <w:marRight w:val="0"/>
              <w:marTop w:val="0"/>
              <w:marBottom w:val="0"/>
              <w:divBdr>
                <w:top w:val="none" w:sz="0" w:space="0" w:color="auto"/>
                <w:left w:val="none" w:sz="0" w:space="0" w:color="auto"/>
                <w:bottom w:val="none" w:sz="0" w:space="0" w:color="auto"/>
                <w:right w:val="none" w:sz="0" w:space="0" w:color="auto"/>
              </w:divBdr>
              <w:divsChild>
                <w:div w:id="1396276130">
                  <w:marLeft w:val="0"/>
                  <w:marRight w:val="0"/>
                  <w:marTop w:val="0"/>
                  <w:marBottom w:val="0"/>
                  <w:divBdr>
                    <w:top w:val="none" w:sz="0" w:space="0" w:color="auto"/>
                    <w:left w:val="none" w:sz="0" w:space="0" w:color="auto"/>
                    <w:bottom w:val="none" w:sz="0" w:space="0" w:color="auto"/>
                    <w:right w:val="none" w:sz="0" w:space="0" w:color="auto"/>
                  </w:divBdr>
                </w:div>
              </w:divsChild>
            </w:div>
            <w:div w:id="464740270">
              <w:marLeft w:val="0"/>
              <w:marRight w:val="0"/>
              <w:marTop w:val="0"/>
              <w:marBottom w:val="0"/>
              <w:divBdr>
                <w:top w:val="none" w:sz="0" w:space="0" w:color="auto"/>
                <w:left w:val="none" w:sz="0" w:space="0" w:color="auto"/>
                <w:bottom w:val="none" w:sz="0" w:space="0" w:color="auto"/>
                <w:right w:val="none" w:sz="0" w:space="0" w:color="auto"/>
              </w:divBdr>
              <w:divsChild>
                <w:div w:id="932905364">
                  <w:marLeft w:val="0"/>
                  <w:marRight w:val="0"/>
                  <w:marTop w:val="0"/>
                  <w:marBottom w:val="0"/>
                  <w:divBdr>
                    <w:top w:val="none" w:sz="0" w:space="0" w:color="auto"/>
                    <w:left w:val="none" w:sz="0" w:space="0" w:color="auto"/>
                    <w:bottom w:val="none" w:sz="0" w:space="0" w:color="auto"/>
                    <w:right w:val="none" w:sz="0" w:space="0" w:color="auto"/>
                  </w:divBdr>
                </w:div>
              </w:divsChild>
            </w:div>
            <w:div w:id="465634308">
              <w:marLeft w:val="0"/>
              <w:marRight w:val="0"/>
              <w:marTop w:val="300"/>
              <w:marBottom w:val="300"/>
              <w:divBdr>
                <w:top w:val="none" w:sz="0" w:space="0" w:color="auto"/>
                <w:left w:val="none" w:sz="0" w:space="0" w:color="auto"/>
                <w:bottom w:val="none" w:sz="0" w:space="0" w:color="auto"/>
                <w:right w:val="none" w:sz="0" w:space="0" w:color="auto"/>
              </w:divBdr>
            </w:div>
            <w:div w:id="467477754">
              <w:marLeft w:val="0"/>
              <w:marRight w:val="0"/>
              <w:marTop w:val="0"/>
              <w:marBottom w:val="0"/>
              <w:divBdr>
                <w:top w:val="none" w:sz="0" w:space="0" w:color="auto"/>
                <w:left w:val="none" w:sz="0" w:space="0" w:color="auto"/>
                <w:bottom w:val="none" w:sz="0" w:space="0" w:color="auto"/>
                <w:right w:val="none" w:sz="0" w:space="0" w:color="auto"/>
              </w:divBdr>
              <w:divsChild>
                <w:div w:id="803815893">
                  <w:marLeft w:val="0"/>
                  <w:marRight w:val="0"/>
                  <w:marTop w:val="0"/>
                  <w:marBottom w:val="0"/>
                  <w:divBdr>
                    <w:top w:val="none" w:sz="0" w:space="0" w:color="auto"/>
                    <w:left w:val="none" w:sz="0" w:space="0" w:color="auto"/>
                    <w:bottom w:val="none" w:sz="0" w:space="0" w:color="auto"/>
                    <w:right w:val="none" w:sz="0" w:space="0" w:color="auto"/>
                  </w:divBdr>
                </w:div>
              </w:divsChild>
            </w:div>
            <w:div w:id="468086690">
              <w:marLeft w:val="0"/>
              <w:marRight w:val="0"/>
              <w:marTop w:val="0"/>
              <w:marBottom w:val="0"/>
              <w:divBdr>
                <w:top w:val="none" w:sz="0" w:space="0" w:color="auto"/>
                <w:left w:val="none" w:sz="0" w:space="0" w:color="auto"/>
                <w:bottom w:val="none" w:sz="0" w:space="0" w:color="auto"/>
                <w:right w:val="none" w:sz="0" w:space="0" w:color="auto"/>
              </w:divBdr>
              <w:divsChild>
                <w:div w:id="1136872894">
                  <w:marLeft w:val="0"/>
                  <w:marRight w:val="0"/>
                  <w:marTop w:val="0"/>
                  <w:marBottom w:val="0"/>
                  <w:divBdr>
                    <w:top w:val="none" w:sz="0" w:space="0" w:color="auto"/>
                    <w:left w:val="none" w:sz="0" w:space="0" w:color="auto"/>
                    <w:bottom w:val="none" w:sz="0" w:space="0" w:color="auto"/>
                    <w:right w:val="none" w:sz="0" w:space="0" w:color="auto"/>
                  </w:divBdr>
                </w:div>
              </w:divsChild>
            </w:div>
            <w:div w:id="468328252">
              <w:marLeft w:val="0"/>
              <w:marRight w:val="0"/>
              <w:marTop w:val="300"/>
              <w:marBottom w:val="300"/>
              <w:divBdr>
                <w:top w:val="none" w:sz="0" w:space="0" w:color="auto"/>
                <w:left w:val="none" w:sz="0" w:space="0" w:color="auto"/>
                <w:bottom w:val="none" w:sz="0" w:space="0" w:color="auto"/>
                <w:right w:val="none" w:sz="0" w:space="0" w:color="auto"/>
              </w:divBdr>
            </w:div>
            <w:div w:id="468984947">
              <w:marLeft w:val="0"/>
              <w:marRight w:val="0"/>
              <w:marTop w:val="0"/>
              <w:marBottom w:val="0"/>
              <w:divBdr>
                <w:top w:val="none" w:sz="0" w:space="0" w:color="auto"/>
                <w:left w:val="none" w:sz="0" w:space="0" w:color="auto"/>
                <w:bottom w:val="none" w:sz="0" w:space="0" w:color="auto"/>
                <w:right w:val="none" w:sz="0" w:space="0" w:color="auto"/>
              </w:divBdr>
              <w:divsChild>
                <w:div w:id="55667557">
                  <w:marLeft w:val="0"/>
                  <w:marRight w:val="0"/>
                  <w:marTop w:val="0"/>
                  <w:marBottom w:val="0"/>
                  <w:divBdr>
                    <w:top w:val="none" w:sz="0" w:space="0" w:color="auto"/>
                    <w:left w:val="none" w:sz="0" w:space="0" w:color="auto"/>
                    <w:bottom w:val="none" w:sz="0" w:space="0" w:color="auto"/>
                    <w:right w:val="none" w:sz="0" w:space="0" w:color="auto"/>
                  </w:divBdr>
                </w:div>
              </w:divsChild>
            </w:div>
            <w:div w:id="469398424">
              <w:marLeft w:val="0"/>
              <w:marRight w:val="0"/>
              <w:marTop w:val="0"/>
              <w:marBottom w:val="0"/>
              <w:divBdr>
                <w:top w:val="none" w:sz="0" w:space="0" w:color="auto"/>
                <w:left w:val="none" w:sz="0" w:space="0" w:color="auto"/>
                <w:bottom w:val="none" w:sz="0" w:space="0" w:color="auto"/>
                <w:right w:val="none" w:sz="0" w:space="0" w:color="auto"/>
              </w:divBdr>
              <w:divsChild>
                <w:div w:id="1609577089">
                  <w:marLeft w:val="0"/>
                  <w:marRight w:val="0"/>
                  <w:marTop w:val="0"/>
                  <w:marBottom w:val="0"/>
                  <w:divBdr>
                    <w:top w:val="none" w:sz="0" w:space="0" w:color="auto"/>
                    <w:left w:val="none" w:sz="0" w:space="0" w:color="auto"/>
                    <w:bottom w:val="none" w:sz="0" w:space="0" w:color="auto"/>
                    <w:right w:val="none" w:sz="0" w:space="0" w:color="auto"/>
                  </w:divBdr>
                </w:div>
              </w:divsChild>
            </w:div>
            <w:div w:id="469635022">
              <w:marLeft w:val="0"/>
              <w:marRight w:val="0"/>
              <w:marTop w:val="0"/>
              <w:marBottom w:val="0"/>
              <w:divBdr>
                <w:top w:val="none" w:sz="0" w:space="0" w:color="auto"/>
                <w:left w:val="none" w:sz="0" w:space="0" w:color="auto"/>
                <w:bottom w:val="none" w:sz="0" w:space="0" w:color="auto"/>
                <w:right w:val="none" w:sz="0" w:space="0" w:color="auto"/>
              </w:divBdr>
              <w:divsChild>
                <w:div w:id="561210666">
                  <w:marLeft w:val="0"/>
                  <w:marRight w:val="0"/>
                  <w:marTop w:val="0"/>
                  <w:marBottom w:val="0"/>
                  <w:divBdr>
                    <w:top w:val="none" w:sz="0" w:space="0" w:color="auto"/>
                    <w:left w:val="none" w:sz="0" w:space="0" w:color="auto"/>
                    <w:bottom w:val="none" w:sz="0" w:space="0" w:color="auto"/>
                    <w:right w:val="none" w:sz="0" w:space="0" w:color="auto"/>
                  </w:divBdr>
                </w:div>
              </w:divsChild>
            </w:div>
            <w:div w:id="470097331">
              <w:marLeft w:val="0"/>
              <w:marRight w:val="0"/>
              <w:marTop w:val="0"/>
              <w:marBottom w:val="0"/>
              <w:divBdr>
                <w:top w:val="none" w:sz="0" w:space="0" w:color="auto"/>
                <w:left w:val="none" w:sz="0" w:space="0" w:color="auto"/>
                <w:bottom w:val="none" w:sz="0" w:space="0" w:color="auto"/>
                <w:right w:val="none" w:sz="0" w:space="0" w:color="auto"/>
              </w:divBdr>
              <w:divsChild>
                <w:div w:id="56127994">
                  <w:marLeft w:val="0"/>
                  <w:marRight w:val="0"/>
                  <w:marTop w:val="0"/>
                  <w:marBottom w:val="0"/>
                  <w:divBdr>
                    <w:top w:val="none" w:sz="0" w:space="0" w:color="auto"/>
                    <w:left w:val="none" w:sz="0" w:space="0" w:color="auto"/>
                    <w:bottom w:val="none" w:sz="0" w:space="0" w:color="auto"/>
                    <w:right w:val="none" w:sz="0" w:space="0" w:color="auto"/>
                  </w:divBdr>
                </w:div>
              </w:divsChild>
            </w:div>
            <w:div w:id="471214911">
              <w:marLeft w:val="0"/>
              <w:marRight w:val="0"/>
              <w:marTop w:val="0"/>
              <w:marBottom w:val="0"/>
              <w:divBdr>
                <w:top w:val="none" w:sz="0" w:space="0" w:color="auto"/>
                <w:left w:val="none" w:sz="0" w:space="0" w:color="auto"/>
                <w:bottom w:val="none" w:sz="0" w:space="0" w:color="auto"/>
                <w:right w:val="none" w:sz="0" w:space="0" w:color="auto"/>
              </w:divBdr>
              <w:divsChild>
                <w:div w:id="817960765">
                  <w:marLeft w:val="0"/>
                  <w:marRight w:val="0"/>
                  <w:marTop w:val="0"/>
                  <w:marBottom w:val="0"/>
                  <w:divBdr>
                    <w:top w:val="none" w:sz="0" w:space="0" w:color="auto"/>
                    <w:left w:val="none" w:sz="0" w:space="0" w:color="auto"/>
                    <w:bottom w:val="none" w:sz="0" w:space="0" w:color="auto"/>
                    <w:right w:val="none" w:sz="0" w:space="0" w:color="auto"/>
                  </w:divBdr>
                </w:div>
              </w:divsChild>
            </w:div>
            <w:div w:id="471873802">
              <w:marLeft w:val="0"/>
              <w:marRight w:val="0"/>
              <w:marTop w:val="0"/>
              <w:marBottom w:val="0"/>
              <w:divBdr>
                <w:top w:val="none" w:sz="0" w:space="0" w:color="auto"/>
                <w:left w:val="none" w:sz="0" w:space="0" w:color="auto"/>
                <w:bottom w:val="none" w:sz="0" w:space="0" w:color="auto"/>
                <w:right w:val="none" w:sz="0" w:space="0" w:color="auto"/>
              </w:divBdr>
              <w:divsChild>
                <w:div w:id="539902207">
                  <w:marLeft w:val="0"/>
                  <w:marRight w:val="0"/>
                  <w:marTop w:val="0"/>
                  <w:marBottom w:val="0"/>
                  <w:divBdr>
                    <w:top w:val="none" w:sz="0" w:space="0" w:color="auto"/>
                    <w:left w:val="none" w:sz="0" w:space="0" w:color="auto"/>
                    <w:bottom w:val="none" w:sz="0" w:space="0" w:color="auto"/>
                    <w:right w:val="none" w:sz="0" w:space="0" w:color="auto"/>
                  </w:divBdr>
                </w:div>
              </w:divsChild>
            </w:div>
            <w:div w:id="472605186">
              <w:marLeft w:val="0"/>
              <w:marRight w:val="0"/>
              <w:marTop w:val="0"/>
              <w:marBottom w:val="0"/>
              <w:divBdr>
                <w:top w:val="none" w:sz="0" w:space="0" w:color="auto"/>
                <w:left w:val="none" w:sz="0" w:space="0" w:color="auto"/>
                <w:bottom w:val="none" w:sz="0" w:space="0" w:color="auto"/>
                <w:right w:val="none" w:sz="0" w:space="0" w:color="auto"/>
              </w:divBdr>
              <w:divsChild>
                <w:div w:id="371461161">
                  <w:marLeft w:val="0"/>
                  <w:marRight w:val="0"/>
                  <w:marTop w:val="0"/>
                  <w:marBottom w:val="0"/>
                  <w:divBdr>
                    <w:top w:val="none" w:sz="0" w:space="0" w:color="auto"/>
                    <w:left w:val="none" w:sz="0" w:space="0" w:color="auto"/>
                    <w:bottom w:val="none" w:sz="0" w:space="0" w:color="auto"/>
                    <w:right w:val="none" w:sz="0" w:space="0" w:color="auto"/>
                  </w:divBdr>
                </w:div>
              </w:divsChild>
            </w:div>
            <w:div w:id="473765759">
              <w:marLeft w:val="0"/>
              <w:marRight w:val="0"/>
              <w:marTop w:val="300"/>
              <w:marBottom w:val="300"/>
              <w:divBdr>
                <w:top w:val="none" w:sz="0" w:space="0" w:color="auto"/>
                <w:left w:val="none" w:sz="0" w:space="0" w:color="auto"/>
                <w:bottom w:val="none" w:sz="0" w:space="0" w:color="auto"/>
                <w:right w:val="none" w:sz="0" w:space="0" w:color="auto"/>
              </w:divBdr>
            </w:div>
            <w:div w:id="474371744">
              <w:marLeft w:val="0"/>
              <w:marRight w:val="0"/>
              <w:marTop w:val="0"/>
              <w:marBottom w:val="0"/>
              <w:divBdr>
                <w:top w:val="none" w:sz="0" w:space="0" w:color="auto"/>
                <w:left w:val="none" w:sz="0" w:space="0" w:color="auto"/>
                <w:bottom w:val="none" w:sz="0" w:space="0" w:color="auto"/>
                <w:right w:val="none" w:sz="0" w:space="0" w:color="auto"/>
              </w:divBdr>
              <w:divsChild>
                <w:div w:id="1719085270">
                  <w:marLeft w:val="0"/>
                  <w:marRight w:val="0"/>
                  <w:marTop w:val="0"/>
                  <w:marBottom w:val="0"/>
                  <w:divBdr>
                    <w:top w:val="none" w:sz="0" w:space="0" w:color="auto"/>
                    <w:left w:val="none" w:sz="0" w:space="0" w:color="auto"/>
                    <w:bottom w:val="none" w:sz="0" w:space="0" w:color="auto"/>
                    <w:right w:val="none" w:sz="0" w:space="0" w:color="auto"/>
                  </w:divBdr>
                </w:div>
              </w:divsChild>
            </w:div>
            <w:div w:id="474377787">
              <w:marLeft w:val="0"/>
              <w:marRight w:val="0"/>
              <w:marTop w:val="0"/>
              <w:marBottom w:val="0"/>
              <w:divBdr>
                <w:top w:val="none" w:sz="0" w:space="0" w:color="auto"/>
                <w:left w:val="none" w:sz="0" w:space="0" w:color="auto"/>
                <w:bottom w:val="none" w:sz="0" w:space="0" w:color="auto"/>
                <w:right w:val="none" w:sz="0" w:space="0" w:color="auto"/>
              </w:divBdr>
              <w:divsChild>
                <w:div w:id="557863245">
                  <w:marLeft w:val="0"/>
                  <w:marRight w:val="0"/>
                  <w:marTop w:val="0"/>
                  <w:marBottom w:val="0"/>
                  <w:divBdr>
                    <w:top w:val="none" w:sz="0" w:space="0" w:color="auto"/>
                    <w:left w:val="none" w:sz="0" w:space="0" w:color="auto"/>
                    <w:bottom w:val="none" w:sz="0" w:space="0" w:color="auto"/>
                    <w:right w:val="none" w:sz="0" w:space="0" w:color="auto"/>
                  </w:divBdr>
                </w:div>
              </w:divsChild>
            </w:div>
            <w:div w:id="475488565">
              <w:marLeft w:val="0"/>
              <w:marRight w:val="0"/>
              <w:marTop w:val="0"/>
              <w:marBottom w:val="0"/>
              <w:divBdr>
                <w:top w:val="none" w:sz="0" w:space="0" w:color="auto"/>
                <w:left w:val="none" w:sz="0" w:space="0" w:color="auto"/>
                <w:bottom w:val="none" w:sz="0" w:space="0" w:color="auto"/>
                <w:right w:val="none" w:sz="0" w:space="0" w:color="auto"/>
              </w:divBdr>
              <w:divsChild>
                <w:div w:id="2085251257">
                  <w:marLeft w:val="0"/>
                  <w:marRight w:val="0"/>
                  <w:marTop w:val="0"/>
                  <w:marBottom w:val="0"/>
                  <w:divBdr>
                    <w:top w:val="none" w:sz="0" w:space="0" w:color="auto"/>
                    <w:left w:val="none" w:sz="0" w:space="0" w:color="auto"/>
                    <w:bottom w:val="none" w:sz="0" w:space="0" w:color="auto"/>
                    <w:right w:val="none" w:sz="0" w:space="0" w:color="auto"/>
                  </w:divBdr>
                </w:div>
              </w:divsChild>
            </w:div>
            <w:div w:id="476997095">
              <w:marLeft w:val="0"/>
              <w:marRight w:val="0"/>
              <w:marTop w:val="0"/>
              <w:marBottom w:val="0"/>
              <w:divBdr>
                <w:top w:val="none" w:sz="0" w:space="0" w:color="auto"/>
                <w:left w:val="none" w:sz="0" w:space="0" w:color="auto"/>
                <w:bottom w:val="none" w:sz="0" w:space="0" w:color="auto"/>
                <w:right w:val="none" w:sz="0" w:space="0" w:color="auto"/>
              </w:divBdr>
              <w:divsChild>
                <w:div w:id="1244801294">
                  <w:marLeft w:val="0"/>
                  <w:marRight w:val="0"/>
                  <w:marTop w:val="0"/>
                  <w:marBottom w:val="0"/>
                  <w:divBdr>
                    <w:top w:val="none" w:sz="0" w:space="0" w:color="auto"/>
                    <w:left w:val="none" w:sz="0" w:space="0" w:color="auto"/>
                    <w:bottom w:val="none" w:sz="0" w:space="0" w:color="auto"/>
                    <w:right w:val="none" w:sz="0" w:space="0" w:color="auto"/>
                  </w:divBdr>
                </w:div>
              </w:divsChild>
            </w:div>
            <w:div w:id="478496034">
              <w:marLeft w:val="0"/>
              <w:marRight w:val="0"/>
              <w:marTop w:val="0"/>
              <w:marBottom w:val="0"/>
              <w:divBdr>
                <w:top w:val="none" w:sz="0" w:space="0" w:color="auto"/>
                <w:left w:val="none" w:sz="0" w:space="0" w:color="auto"/>
                <w:bottom w:val="none" w:sz="0" w:space="0" w:color="auto"/>
                <w:right w:val="none" w:sz="0" w:space="0" w:color="auto"/>
              </w:divBdr>
              <w:divsChild>
                <w:div w:id="1611619839">
                  <w:marLeft w:val="0"/>
                  <w:marRight w:val="0"/>
                  <w:marTop w:val="0"/>
                  <w:marBottom w:val="0"/>
                  <w:divBdr>
                    <w:top w:val="none" w:sz="0" w:space="0" w:color="auto"/>
                    <w:left w:val="none" w:sz="0" w:space="0" w:color="auto"/>
                    <w:bottom w:val="none" w:sz="0" w:space="0" w:color="auto"/>
                    <w:right w:val="none" w:sz="0" w:space="0" w:color="auto"/>
                  </w:divBdr>
                </w:div>
              </w:divsChild>
            </w:div>
            <w:div w:id="480317330">
              <w:marLeft w:val="0"/>
              <w:marRight w:val="0"/>
              <w:marTop w:val="0"/>
              <w:marBottom w:val="0"/>
              <w:divBdr>
                <w:top w:val="none" w:sz="0" w:space="0" w:color="auto"/>
                <w:left w:val="none" w:sz="0" w:space="0" w:color="auto"/>
                <w:bottom w:val="none" w:sz="0" w:space="0" w:color="auto"/>
                <w:right w:val="none" w:sz="0" w:space="0" w:color="auto"/>
              </w:divBdr>
              <w:divsChild>
                <w:div w:id="223878036">
                  <w:marLeft w:val="0"/>
                  <w:marRight w:val="0"/>
                  <w:marTop w:val="0"/>
                  <w:marBottom w:val="0"/>
                  <w:divBdr>
                    <w:top w:val="none" w:sz="0" w:space="0" w:color="auto"/>
                    <w:left w:val="none" w:sz="0" w:space="0" w:color="auto"/>
                    <w:bottom w:val="none" w:sz="0" w:space="0" w:color="auto"/>
                    <w:right w:val="none" w:sz="0" w:space="0" w:color="auto"/>
                  </w:divBdr>
                </w:div>
              </w:divsChild>
            </w:div>
            <w:div w:id="480580976">
              <w:marLeft w:val="0"/>
              <w:marRight w:val="0"/>
              <w:marTop w:val="300"/>
              <w:marBottom w:val="300"/>
              <w:divBdr>
                <w:top w:val="none" w:sz="0" w:space="0" w:color="auto"/>
                <w:left w:val="none" w:sz="0" w:space="0" w:color="auto"/>
                <w:bottom w:val="none" w:sz="0" w:space="0" w:color="auto"/>
                <w:right w:val="none" w:sz="0" w:space="0" w:color="auto"/>
              </w:divBdr>
            </w:div>
            <w:div w:id="481698867">
              <w:marLeft w:val="0"/>
              <w:marRight w:val="0"/>
              <w:marTop w:val="0"/>
              <w:marBottom w:val="0"/>
              <w:divBdr>
                <w:top w:val="none" w:sz="0" w:space="0" w:color="auto"/>
                <w:left w:val="none" w:sz="0" w:space="0" w:color="auto"/>
                <w:bottom w:val="none" w:sz="0" w:space="0" w:color="auto"/>
                <w:right w:val="none" w:sz="0" w:space="0" w:color="auto"/>
              </w:divBdr>
              <w:divsChild>
                <w:div w:id="92017249">
                  <w:marLeft w:val="0"/>
                  <w:marRight w:val="0"/>
                  <w:marTop w:val="0"/>
                  <w:marBottom w:val="0"/>
                  <w:divBdr>
                    <w:top w:val="none" w:sz="0" w:space="0" w:color="auto"/>
                    <w:left w:val="none" w:sz="0" w:space="0" w:color="auto"/>
                    <w:bottom w:val="none" w:sz="0" w:space="0" w:color="auto"/>
                    <w:right w:val="none" w:sz="0" w:space="0" w:color="auto"/>
                  </w:divBdr>
                </w:div>
              </w:divsChild>
            </w:div>
            <w:div w:id="483159536">
              <w:marLeft w:val="0"/>
              <w:marRight w:val="0"/>
              <w:marTop w:val="0"/>
              <w:marBottom w:val="0"/>
              <w:divBdr>
                <w:top w:val="none" w:sz="0" w:space="0" w:color="auto"/>
                <w:left w:val="none" w:sz="0" w:space="0" w:color="auto"/>
                <w:bottom w:val="none" w:sz="0" w:space="0" w:color="auto"/>
                <w:right w:val="none" w:sz="0" w:space="0" w:color="auto"/>
              </w:divBdr>
              <w:divsChild>
                <w:div w:id="199318185">
                  <w:marLeft w:val="0"/>
                  <w:marRight w:val="0"/>
                  <w:marTop w:val="0"/>
                  <w:marBottom w:val="0"/>
                  <w:divBdr>
                    <w:top w:val="none" w:sz="0" w:space="0" w:color="auto"/>
                    <w:left w:val="none" w:sz="0" w:space="0" w:color="auto"/>
                    <w:bottom w:val="none" w:sz="0" w:space="0" w:color="auto"/>
                    <w:right w:val="none" w:sz="0" w:space="0" w:color="auto"/>
                  </w:divBdr>
                </w:div>
              </w:divsChild>
            </w:div>
            <w:div w:id="483742132">
              <w:marLeft w:val="0"/>
              <w:marRight w:val="0"/>
              <w:marTop w:val="0"/>
              <w:marBottom w:val="0"/>
              <w:divBdr>
                <w:top w:val="none" w:sz="0" w:space="0" w:color="auto"/>
                <w:left w:val="none" w:sz="0" w:space="0" w:color="auto"/>
                <w:bottom w:val="none" w:sz="0" w:space="0" w:color="auto"/>
                <w:right w:val="none" w:sz="0" w:space="0" w:color="auto"/>
              </w:divBdr>
              <w:divsChild>
                <w:div w:id="871113317">
                  <w:marLeft w:val="0"/>
                  <w:marRight w:val="0"/>
                  <w:marTop w:val="0"/>
                  <w:marBottom w:val="0"/>
                  <w:divBdr>
                    <w:top w:val="none" w:sz="0" w:space="0" w:color="auto"/>
                    <w:left w:val="none" w:sz="0" w:space="0" w:color="auto"/>
                    <w:bottom w:val="none" w:sz="0" w:space="0" w:color="auto"/>
                    <w:right w:val="none" w:sz="0" w:space="0" w:color="auto"/>
                  </w:divBdr>
                </w:div>
              </w:divsChild>
            </w:div>
            <w:div w:id="484662416">
              <w:marLeft w:val="0"/>
              <w:marRight w:val="0"/>
              <w:marTop w:val="0"/>
              <w:marBottom w:val="0"/>
              <w:divBdr>
                <w:top w:val="none" w:sz="0" w:space="0" w:color="auto"/>
                <w:left w:val="none" w:sz="0" w:space="0" w:color="auto"/>
                <w:bottom w:val="none" w:sz="0" w:space="0" w:color="auto"/>
                <w:right w:val="none" w:sz="0" w:space="0" w:color="auto"/>
              </w:divBdr>
              <w:divsChild>
                <w:div w:id="578447561">
                  <w:marLeft w:val="0"/>
                  <w:marRight w:val="0"/>
                  <w:marTop w:val="0"/>
                  <w:marBottom w:val="0"/>
                  <w:divBdr>
                    <w:top w:val="none" w:sz="0" w:space="0" w:color="auto"/>
                    <w:left w:val="none" w:sz="0" w:space="0" w:color="auto"/>
                    <w:bottom w:val="none" w:sz="0" w:space="0" w:color="auto"/>
                    <w:right w:val="none" w:sz="0" w:space="0" w:color="auto"/>
                  </w:divBdr>
                </w:div>
              </w:divsChild>
            </w:div>
            <w:div w:id="485556829">
              <w:marLeft w:val="0"/>
              <w:marRight w:val="0"/>
              <w:marTop w:val="0"/>
              <w:marBottom w:val="0"/>
              <w:divBdr>
                <w:top w:val="none" w:sz="0" w:space="0" w:color="auto"/>
                <w:left w:val="none" w:sz="0" w:space="0" w:color="auto"/>
                <w:bottom w:val="none" w:sz="0" w:space="0" w:color="auto"/>
                <w:right w:val="none" w:sz="0" w:space="0" w:color="auto"/>
              </w:divBdr>
              <w:divsChild>
                <w:div w:id="1998221144">
                  <w:marLeft w:val="0"/>
                  <w:marRight w:val="0"/>
                  <w:marTop w:val="0"/>
                  <w:marBottom w:val="0"/>
                  <w:divBdr>
                    <w:top w:val="none" w:sz="0" w:space="0" w:color="auto"/>
                    <w:left w:val="none" w:sz="0" w:space="0" w:color="auto"/>
                    <w:bottom w:val="none" w:sz="0" w:space="0" w:color="auto"/>
                    <w:right w:val="none" w:sz="0" w:space="0" w:color="auto"/>
                  </w:divBdr>
                </w:div>
              </w:divsChild>
            </w:div>
            <w:div w:id="489368591">
              <w:marLeft w:val="0"/>
              <w:marRight w:val="0"/>
              <w:marTop w:val="300"/>
              <w:marBottom w:val="300"/>
              <w:divBdr>
                <w:top w:val="none" w:sz="0" w:space="0" w:color="auto"/>
                <w:left w:val="none" w:sz="0" w:space="0" w:color="auto"/>
                <w:bottom w:val="none" w:sz="0" w:space="0" w:color="auto"/>
                <w:right w:val="none" w:sz="0" w:space="0" w:color="auto"/>
              </w:divBdr>
            </w:div>
            <w:div w:id="492837206">
              <w:marLeft w:val="0"/>
              <w:marRight w:val="0"/>
              <w:marTop w:val="0"/>
              <w:marBottom w:val="0"/>
              <w:divBdr>
                <w:top w:val="none" w:sz="0" w:space="0" w:color="auto"/>
                <w:left w:val="none" w:sz="0" w:space="0" w:color="auto"/>
                <w:bottom w:val="none" w:sz="0" w:space="0" w:color="auto"/>
                <w:right w:val="none" w:sz="0" w:space="0" w:color="auto"/>
              </w:divBdr>
              <w:divsChild>
                <w:div w:id="1447238942">
                  <w:marLeft w:val="0"/>
                  <w:marRight w:val="0"/>
                  <w:marTop w:val="0"/>
                  <w:marBottom w:val="0"/>
                  <w:divBdr>
                    <w:top w:val="none" w:sz="0" w:space="0" w:color="auto"/>
                    <w:left w:val="none" w:sz="0" w:space="0" w:color="auto"/>
                    <w:bottom w:val="none" w:sz="0" w:space="0" w:color="auto"/>
                    <w:right w:val="none" w:sz="0" w:space="0" w:color="auto"/>
                  </w:divBdr>
                </w:div>
              </w:divsChild>
            </w:div>
            <w:div w:id="493109650">
              <w:marLeft w:val="0"/>
              <w:marRight w:val="0"/>
              <w:marTop w:val="0"/>
              <w:marBottom w:val="0"/>
              <w:divBdr>
                <w:top w:val="none" w:sz="0" w:space="0" w:color="auto"/>
                <w:left w:val="none" w:sz="0" w:space="0" w:color="auto"/>
                <w:bottom w:val="none" w:sz="0" w:space="0" w:color="auto"/>
                <w:right w:val="none" w:sz="0" w:space="0" w:color="auto"/>
              </w:divBdr>
              <w:divsChild>
                <w:div w:id="845873203">
                  <w:marLeft w:val="0"/>
                  <w:marRight w:val="0"/>
                  <w:marTop w:val="0"/>
                  <w:marBottom w:val="0"/>
                  <w:divBdr>
                    <w:top w:val="none" w:sz="0" w:space="0" w:color="auto"/>
                    <w:left w:val="none" w:sz="0" w:space="0" w:color="auto"/>
                    <w:bottom w:val="none" w:sz="0" w:space="0" w:color="auto"/>
                    <w:right w:val="none" w:sz="0" w:space="0" w:color="auto"/>
                  </w:divBdr>
                </w:div>
              </w:divsChild>
            </w:div>
            <w:div w:id="493758851">
              <w:marLeft w:val="0"/>
              <w:marRight w:val="0"/>
              <w:marTop w:val="0"/>
              <w:marBottom w:val="0"/>
              <w:divBdr>
                <w:top w:val="none" w:sz="0" w:space="0" w:color="auto"/>
                <w:left w:val="none" w:sz="0" w:space="0" w:color="auto"/>
                <w:bottom w:val="none" w:sz="0" w:space="0" w:color="auto"/>
                <w:right w:val="none" w:sz="0" w:space="0" w:color="auto"/>
              </w:divBdr>
              <w:divsChild>
                <w:div w:id="2056738663">
                  <w:marLeft w:val="0"/>
                  <w:marRight w:val="0"/>
                  <w:marTop w:val="0"/>
                  <w:marBottom w:val="0"/>
                  <w:divBdr>
                    <w:top w:val="none" w:sz="0" w:space="0" w:color="auto"/>
                    <w:left w:val="none" w:sz="0" w:space="0" w:color="auto"/>
                    <w:bottom w:val="none" w:sz="0" w:space="0" w:color="auto"/>
                    <w:right w:val="none" w:sz="0" w:space="0" w:color="auto"/>
                  </w:divBdr>
                </w:div>
              </w:divsChild>
            </w:div>
            <w:div w:id="494078147">
              <w:marLeft w:val="0"/>
              <w:marRight w:val="0"/>
              <w:marTop w:val="300"/>
              <w:marBottom w:val="300"/>
              <w:divBdr>
                <w:top w:val="none" w:sz="0" w:space="0" w:color="auto"/>
                <w:left w:val="none" w:sz="0" w:space="0" w:color="auto"/>
                <w:bottom w:val="none" w:sz="0" w:space="0" w:color="auto"/>
                <w:right w:val="none" w:sz="0" w:space="0" w:color="auto"/>
              </w:divBdr>
            </w:div>
            <w:div w:id="495462333">
              <w:marLeft w:val="0"/>
              <w:marRight w:val="0"/>
              <w:marTop w:val="0"/>
              <w:marBottom w:val="0"/>
              <w:divBdr>
                <w:top w:val="none" w:sz="0" w:space="0" w:color="auto"/>
                <w:left w:val="none" w:sz="0" w:space="0" w:color="auto"/>
                <w:bottom w:val="none" w:sz="0" w:space="0" w:color="auto"/>
                <w:right w:val="none" w:sz="0" w:space="0" w:color="auto"/>
              </w:divBdr>
              <w:divsChild>
                <w:div w:id="846751532">
                  <w:marLeft w:val="0"/>
                  <w:marRight w:val="0"/>
                  <w:marTop w:val="0"/>
                  <w:marBottom w:val="0"/>
                  <w:divBdr>
                    <w:top w:val="none" w:sz="0" w:space="0" w:color="auto"/>
                    <w:left w:val="none" w:sz="0" w:space="0" w:color="auto"/>
                    <w:bottom w:val="none" w:sz="0" w:space="0" w:color="auto"/>
                    <w:right w:val="none" w:sz="0" w:space="0" w:color="auto"/>
                  </w:divBdr>
                </w:div>
              </w:divsChild>
            </w:div>
            <w:div w:id="495846598">
              <w:marLeft w:val="0"/>
              <w:marRight w:val="0"/>
              <w:marTop w:val="300"/>
              <w:marBottom w:val="300"/>
              <w:divBdr>
                <w:top w:val="none" w:sz="0" w:space="0" w:color="auto"/>
                <w:left w:val="none" w:sz="0" w:space="0" w:color="auto"/>
                <w:bottom w:val="none" w:sz="0" w:space="0" w:color="auto"/>
                <w:right w:val="none" w:sz="0" w:space="0" w:color="auto"/>
              </w:divBdr>
            </w:div>
            <w:div w:id="496111522">
              <w:marLeft w:val="0"/>
              <w:marRight w:val="0"/>
              <w:marTop w:val="0"/>
              <w:marBottom w:val="0"/>
              <w:divBdr>
                <w:top w:val="none" w:sz="0" w:space="0" w:color="auto"/>
                <w:left w:val="none" w:sz="0" w:space="0" w:color="auto"/>
                <w:bottom w:val="none" w:sz="0" w:space="0" w:color="auto"/>
                <w:right w:val="none" w:sz="0" w:space="0" w:color="auto"/>
              </w:divBdr>
              <w:divsChild>
                <w:div w:id="848064664">
                  <w:marLeft w:val="0"/>
                  <w:marRight w:val="0"/>
                  <w:marTop w:val="0"/>
                  <w:marBottom w:val="0"/>
                  <w:divBdr>
                    <w:top w:val="none" w:sz="0" w:space="0" w:color="auto"/>
                    <w:left w:val="none" w:sz="0" w:space="0" w:color="auto"/>
                    <w:bottom w:val="none" w:sz="0" w:space="0" w:color="auto"/>
                    <w:right w:val="none" w:sz="0" w:space="0" w:color="auto"/>
                  </w:divBdr>
                </w:div>
              </w:divsChild>
            </w:div>
            <w:div w:id="497431041">
              <w:marLeft w:val="0"/>
              <w:marRight w:val="0"/>
              <w:marTop w:val="0"/>
              <w:marBottom w:val="0"/>
              <w:divBdr>
                <w:top w:val="none" w:sz="0" w:space="0" w:color="auto"/>
                <w:left w:val="none" w:sz="0" w:space="0" w:color="auto"/>
                <w:bottom w:val="none" w:sz="0" w:space="0" w:color="auto"/>
                <w:right w:val="none" w:sz="0" w:space="0" w:color="auto"/>
              </w:divBdr>
              <w:divsChild>
                <w:div w:id="1466238293">
                  <w:marLeft w:val="0"/>
                  <w:marRight w:val="0"/>
                  <w:marTop w:val="0"/>
                  <w:marBottom w:val="0"/>
                  <w:divBdr>
                    <w:top w:val="none" w:sz="0" w:space="0" w:color="auto"/>
                    <w:left w:val="none" w:sz="0" w:space="0" w:color="auto"/>
                    <w:bottom w:val="none" w:sz="0" w:space="0" w:color="auto"/>
                    <w:right w:val="none" w:sz="0" w:space="0" w:color="auto"/>
                  </w:divBdr>
                </w:div>
              </w:divsChild>
            </w:div>
            <w:div w:id="497815226">
              <w:marLeft w:val="0"/>
              <w:marRight w:val="0"/>
              <w:marTop w:val="300"/>
              <w:marBottom w:val="300"/>
              <w:divBdr>
                <w:top w:val="none" w:sz="0" w:space="0" w:color="auto"/>
                <w:left w:val="none" w:sz="0" w:space="0" w:color="auto"/>
                <w:bottom w:val="none" w:sz="0" w:space="0" w:color="auto"/>
                <w:right w:val="none" w:sz="0" w:space="0" w:color="auto"/>
              </w:divBdr>
            </w:div>
            <w:div w:id="502745041">
              <w:marLeft w:val="0"/>
              <w:marRight w:val="0"/>
              <w:marTop w:val="0"/>
              <w:marBottom w:val="0"/>
              <w:divBdr>
                <w:top w:val="none" w:sz="0" w:space="0" w:color="auto"/>
                <w:left w:val="none" w:sz="0" w:space="0" w:color="auto"/>
                <w:bottom w:val="none" w:sz="0" w:space="0" w:color="auto"/>
                <w:right w:val="none" w:sz="0" w:space="0" w:color="auto"/>
              </w:divBdr>
              <w:divsChild>
                <w:div w:id="340352995">
                  <w:marLeft w:val="0"/>
                  <w:marRight w:val="0"/>
                  <w:marTop w:val="0"/>
                  <w:marBottom w:val="0"/>
                  <w:divBdr>
                    <w:top w:val="none" w:sz="0" w:space="0" w:color="auto"/>
                    <w:left w:val="none" w:sz="0" w:space="0" w:color="auto"/>
                    <w:bottom w:val="none" w:sz="0" w:space="0" w:color="auto"/>
                    <w:right w:val="none" w:sz="0" w:space="0" w:color="auto"/>
                  </w:divBdr>
                </w:div>
              </w:divsChild>
            </w:div>
            <w:div w:id="503209444">
              <w:marLeft w:val="0"/>
              <w:marRight w:val="0"/>
              <w:marTop w:val="0"/>
              <w:marBottom w:val="0"/>
              <w:divBdr>
                <w:top w:val="none" w:sz="0" w:space="0" w:color="auto"/>
                <w:left w:val="none" w:sz="0" w:space="0" w:color="auto"/>
                <w:bottom w:val="none" w:sz="0" w:space="0" w:color="auto"/>
                <w:right w:val="none" w:sz="0" w:space="0" w:color="auto"/>
              </w:divBdr>
              <w:divsChild>
                <w:div w:id="1368026227">
                  <w:marLeft w:val="0"/>
                  <w:marRight w:val="0"/>
                  <w:marTop w:val="0"/>
                  <w:marBottom w:val="0"/>
                  <w:divBdr>
                    <w:top w:val="none" w:sz="0" w:space="0" w:color="auto"/>
                    <w:left w:val="none" w:sz="0" w:space="0" w:color="auto"/>
                    <w:bottom w:val="none" w:sz="0" w:space="0" w:color="auto"/>
                    <w:right w:val="none" w:sz="0" w:space="0" w:color="auto"/>
                  </w:divBdr>
                </w:div>
              </w:divsChild>
            </w:div>
            <w:div w:id="503664861">
              <w:marLeft w:val="0"/>
              <w:marRight w:val="0"/>
              <w:marTop w:val="0"/>
              <w:marBottom w:val="0"/>
              <w:divBdr>
                <w:top w:val="none" w:sz="0" w:space="0" w:color="auto"/>
                <w:left w:val="none" w:sz="0" w:space="0" w:color="auto"/>
                <w:bottom w:val="none" w:sz="0" w:space="0" w:color="auto"/>
                <w:right w:val="none" w:sz="0" w:space="0" w:color="auto"/>
              </w:divBdr>
              <w:divsChild>
                <w:div w:id="2004818666">
                  <w:marLeft w:val="0"/>
                  <w:marRight w:val="0"/>
                  <w:marTop w:val="0"/>
                  <w:marBottom w:val="0"/>
                  <w:divBdr>
                    <w:top w:val="none" w:sz="0" w:space="0" w:color="auto"/>
                    <w:left w:val="none" w:sz="0" w:space="0" w:color="auto"/>
                    <w:bottom w:val="none" w:sz="0" w:space="0" w:color="auto"/>
                    <w:right w:val="none" w:sz="0" w:space="0" w:color="auto"/>
                  </w:divBdr>
                </w:div>
              </w:divsChild>
            </w:div>
            <w:div w:id="504173643">
              <w:marLeft w:val="0"/>
              <w:marRight w:val="0"/>
              <w:marTop w:val="0"/>
              <w:marBottom w:val="0"/>
              <w:divBdr>
                <w:top w:val="none" w:sz="0" w:space="0" w:color="auto"/>
                <w:left w:val="none" w:sz="0" w:space="0" w:color="auto"/>
                <w:bottom w:val="none" w:sz="0" w:space="0" w:color="auto"/>
                <w:right w:val="none" w:sz="0" w:space="0" w:color="auto"/>
              </w:divBdr>
              <w:divsChild>
                <w:div w:id="564992673">
                  <w:marLeft w:val="0"/>
                  <w:marRight w:val="0"/>
                  <w:marTop w:val="0"/>
                  <w:marBottom w:val="0"/>
                  <w:divBdr>
                    <w:top w:val="none" w:sz="0" w:space="0" w:color="auto"/>
                    <w:left w:val="none" w:sz="0" w:space="0" w:color="auto"/>
                    <w:bottom w:val="none" w:sz="0" w:space="0" w:color="auto"/>
                    <w:right w:val="none" w:sz="0" w:space="0" w:color="auto"/>
                  </w:divBdr>
                </w:div>
              </w:divsChild>
            </w:div>
            <w:div w:id="505174597">
              <w:marLeft w:val="0"/>
              <w:marRight w:val="0"/>
              <w:marTop w:val="0"/>
              <w:marBottom w:val="0"/>
              <w:divBdr>
                <w:top w:val="none" w:sz="0" w:space="0" w:color="auto"/>
                <w:left w:val="none" w:sz="0" w:space="0" w:color="auto"/>
                <w:bottom w:val="none" w:sz="0" w:space="0" w:color="auto"/>
                <w:right w:val="none" w:sz="0" w:space="0" w:color="auto"/>
              </w:divBdr>
              <w:divsChild>
                <w:div w:id="1579173487">
                  <w:marLeft w:val="0"/>
                  <w:marRight w:val="0"/>
                  <w:marTop w:val="0"/>
                  <w:marBottom w:val="0"/>
                  <w:divBdr>
                    <w:top w:val="none" w:sz="0" w:space="0" w:color="auto"/>
                    <w:left w:val="none" w:sz="0" w:space="0" w:color="auto"/>
                    <w:bottom w:val="none" w:sz="0" w:space="0" w:color="auto"/>
                    <w:right w:val="none" w:sz="0" w:space="0" w:color="auto"/>
                  </w:divBdr>
                </w:div>
              </w:divsChild>
            </w:div>
            <w:div w:id="505940424">
              <w:marLeft w:val="0"/>
              <w:marRight w:val="0"/>
              <w:marTop w:val="0"/>
              <w:marBottom w:val="0"/>
              <w:divBdr>
                <w:top w:val="none" w:sz="0" w:space="0" w:color="auto"/>
                <w:left w:val="none" w:sz="0" w:space="0" w:color="auto"/>
                <w:bottom w:val="none" w:sz="0" w:space="0" w:color="auto"/>
                <w:right w:val="none" w:sz="0" w:space="0" w:color="auto"/>
              </w:divBdr>
              <w:divsChild>
                <w:div w:id="44836974">
                  <w:marLeft w:val="0"/>
                  <w:marRight w:val="0"/>
                  <w:marTop w:val="0"/>
                  <w:marBottom w:val="0"/>
                  <w:divBdr>
                    <w:top w:val="none" w:sz="0" w:space="0" w:color="auto"/>
                    <w:left w:val="none" w:sz="0" w:space="0" w:color="auto"/>
                    <w:bottom w:val="none" w:sz="0" w:space="0" w:color="auto"/>
                    <w:right w:val="none" w:sz="0" w:space="0" w:color="auto"/>
                  </w:divBdr>
                </w:div>
              </w:divsChild>
            </w:div>
            <w:div w:id="506679619">
              <w:marLeft w:val="0"/>
              <w:marRight w:val="0"/>
              <w:marTop w:val="0"/>
              <w:marBottom w:val="0"/>
              <w:divBdr>
                <w:top w:val="none" w:sz="0" w:space="0" w:color="auto"/>
                <w:left w:val="none" w:sz="0" w:space="0" w:color="auto"/>
                <w:bottom w:val="none" w:sz="0" w:space="0" w:color="auto"/>
                <w:right w:val="none" w:sz="0" w:space="0" w:color="auto"/>
              </w:divBdr>
              <w:divsChild>
                <w:div w:id="1595741049">
                  <w:marLeft w:val="0"/>
                  <w:marRight w:val="0"/>
                  <w:marTop w:val="0"/>
                  <w:marBottom w:val="0"/>
                  <w:divBdr>
                    <w:top w:val="none" w:sz="0" w:space="0" w:color="auto"/>
                    <w:left w:val="none" w:sz="0" w:space="0" w:color="auto"/>
                    <w:bottom w:val="none" w:sz="0" w:space="0" w:color="auto"/>
                    <w:right w:val="none" w:sz="0" w:space="0" w:color="auto"/>
                  </w:divBdr>
                </w:div>
              </w:divsChild>
            </w:div>
            <w:div w:id="508107152">
              <w:marLeft w:val="0"/>
              <w:marRight w:val="0"/>
              <w:marTop w:val="0"/>
              <w:marBottom w:val="0"/>
              <w:divBdr>
                <w:top w:val="none" w:sz="0" w:space="0" w:color="auto"/>
                <w:left w:val="none" w:sz="0" w:space="0" w:color="auto"/>
                <w:bottom w:val="none" w:sz="0" w:space="0" w:color="auto"/>
                <w:right w:val="none" w:sz="0" w:space="0" w:color="auto"/>
              </w:divBdr>
              <w:divsChild>
                <w:div w:id="1392389778">
                  <w:marLeft w:val="0"/>
                  <w:marRight w:val="0"/>
                  <w:marTop w:val="0"/>
                  <w:marBottom w:val="0"/>
                  <w:divBdr>
                    <w:top w:val="none" w:sz="0" w:space="0" w:color="auto"/>
                    <w:left w:val="none" w:sz="0" w:space="0" w:color="auto"/>
                    <w:bottom w:val="none" w:sz="0" w:space="0" w:color="auto"/>
                    <w:right w:val="none" w:sz="0" w:space="0" w:color="auto"/>
                  </w:divBdr>
                </w:div>
              </w:divsChild>
            </w:div>
            <w:div w:id="509638991">
              <w:marLeft w:val="0"/>
              <w:marRight w:val="0"/>
              <w:marTop w:val="300"/>
              <w:marBottom w:val="300"/>
              <w:divBdr>
                <w:top w:val="none" w:sz="0" w:space="0" w:color="auto"/>
                <w:left w:val="none" w:sz="0" w:space="0" w:color="auto"/>
                <w:bottom w:val="none" w:sz="0" w:space="0" w:color="auto"/>
                <w:right w:val="none" w:sz="0" w:space="0" w:color="auto"/>
              </w:divBdr>
            </w:div>
            <w:div w:id="511915397">
              <w:marLeft w:val="0"/>
              <w:marRight w:val="0"/>
              <w:marTop w:val="0"/>
              <w:marBottom w:val="0"/>
              <w:divBdr>
                <w:top w:val="none" w:sz="0" w:space="0" w:color="auto"/>
                <w:left w:val="none" w:sz="0" w:space="0" w:color="auto"/>
                <w:bottom w:val="none" w:sz="0" w:space="0" w:color="auto"/>
                <w:right w:val="none" w:sz="0" w:space="0" w:color="auto"/>
              </w:divBdr>
              <w:divsChild>
                <w:div w:id="357438446">
                  <w:marLeft w:val="0"/>
                  <w:marRight w:val="0"/>
                  <w:marTop w:val="0"/>
                  <w:marBottom w:val="0"/>
                  <w:divBdr>
                    <w:top w:val="none" w:sz="0" w:space="0" w:color="auto"/>
                    <w:left w:val="none" w:sz="0" w:space="0" w:color="auto"/>
                    <w:bottom w:val="none" w:sz="0" w:space="0" w:color="auto"/>
                    <w:right w:val="none" w:sz="0" w:space="0" w:color="auto"/>
                  </w:divBdr>
                </w:div>
              </w:divsChild>
            </w:div>
            <w:div w:id="512306349">
              <w:marLeft w:val="0"/>
              <w:marRight w:val="0"/>
              <w:marTop w:val="0"/>
              <w:marBottom w:val="0"/>
              <w:divBdr>
                <w:top w:val="none" w:sz="0" w:space="0" w:color="auto"/>
                <w:left w:val="none" w:sz="0" w:space="0" w:color="auto"/>
                <w:bottom w:val="none" w:sz="0" w:space="0" w:color="auto"/>
                <w:right w:val="none" w:sz="0" w:space="0" w:color="auto"/>
              </w:divBdr>
              <w:divsChild>
                <w:div w:id="744182474">
                  <w:marLeft w:val="0"/>
                  <w:marRight w:val="0"/>
                  <w:marTop w:val="0"/>
                  <w:marBottom w:val="0"/>
                  <w:divBdr>
                    <w:top w:val="none" w:sz="0" w:space="0" w:color="auto"/>
                    <w:left w:val="none" w:sz="0" w:space="0" w:color="auto"/>
                    <w:bottom w:val="none" w:sz="0" w:space="0" w:color="auto"/>
                    <w:right w:val="none" w:sz="0" w:space="0" w:color="auto"/>
                  </w:divBdr>
                </w:div>
              </w:divsChild>
            </w:div>
            <w:div w:id="512647968">
              <w:marLeft w:val="0"/>
              <w:marRight w:val="0"/>
              <w:marTop w:val="0"/>
              <w:marBottom w:val="0"/>
              <w:divBdr>
                <w:top w:val="none" w:sz="0" w:space="0" w:color="auto"/>
                <w:left w:val="none" w:sz="0" w:space="0" w:color="auto"/>
                <w:bottom w:val="none" w:sz="0" w:space="0" w:color="auto"/>
                <w:right w:val="none" w:sz="0" w:space="0" w:color="auto"/>
              </w:divBdr>
              <w:divsChild>
                <w:div w:id="428544139">
                  <w:marLeft w:val="0"/>
                  <w:marRight w:val="0"/>
                  <w:marTop w:val="0"/>
                  <w:marBottom w:val="0"/>
                  <w:divBdr>
                    <w:top w:val="none" w:sz="0" w:space="0" w:color="auto"/>
                    <w:left w:val="none" w:sz="0" w:space="0" w:color="auto"/>
                    <w:bottom w:val="none" w:sz="0" w:space="0" w:color="auto"/>
                    <w:right w:val="none" w:sz="0" w:space="0" w:color="auto"/>
                  </w:divBdr>
                </w:div>
              </w:divsChild>
            </w:div>
            <w:div w:id="512688327">
              <w:marLeft w:val="0"/>
              <w:marRight w:val="0"/>
              <w:marTop w:val="0"/>
              <w:marBottom w:val="0"/>
              <w:divBdr>
                <w:top w:val="none" w:sz="0" w:space="0" w:color="auto"/>
                <w:left w:val="none" w:sz="0" w:space="0" w:color="auto"/>
                <w:bottom w:val="none" w:sz="0" w:space="0" w:color="auto"/>
                <w:right w:val="none" w:sz="0" w:space="0" w:color="auto"/>
              </w:divBdr>
              <w:divsChild>
                <w:div w:id="14158542">
                  <w:marLeft w:val="0"/>
                  <w:marRight w:val="0"/>
                  <w:marTop w:val="0"/>
                  <w:marBottom w:val="0"/>
                  <w:divBdr>
                    <w:top w:val="none" w:sz="0" w:space="0" w:color="auto"/>
                    <w:left w:val="none" w:sz="0" w:space="0" w:color="auto"/>
                    <w:bottom w:val="none" w:sz="0" w:space="0" w:color="auto"/>
                    <w:right w:val="none" w:sz="0" w:space="0" w:color="auto"/>
                  </w:divBdr>
                </w:div>
              </w:divsChild>
            </w:div>
            <w:div w:id="514416362">
              <w:marLeft w:val="0"/>
              <w:marRight w:val="0"/>
              <w:marTop w:val="0"/>
              <w:marBottom w:val="0"/>
              <w:divBdr>
                <w:top w:val="none" w:sz="0" w:space="0" w:color="auto"/>
                <w:left w:val="none" w:sz="0" w:space="0" w:color="auto"/>
                <w:bottom w:val="none" w:sz="0" w:space="0" w:color="auto"/>
                <w:right w:val="none" w:sz="0" w:space="0" w:color="auto"/>
              </w:divBdr>
              <w:divsChild>
                <w:div w:id="688340030">
                  <w:marLeft w:val="0"/>
                  <w:marRight w:val="0"/>
                  <w:marTop w:val="0"/>
                  <w:marBottom w:val="0"/>
                  <w:divBdr>
                    <w:top w:val="none" w:sz="0" w:space="0" w:color="auto"/>
                    <w:left w:val="none" w:sz="0" w:space="0" w:color="auto"/>
                    <w:bottom w:val="none" w:sz="0" w:space="0" w:color="auto"/>
                    <w:right w:val="none" w:sz="0" w:space="0" w:color="auto"/>
                  </w:divBdr>
                </w:div>
              </w:divsChild>
            </w:div>
            <w:div w:id="515506542">
              <w:marLeft w:val="0"/>
              <w:marRight w:val="0"/>
              <w:marTop w:val="0"/>
              <w:marBottom w:val="0"/>
              <w:divBdr>
                <w:top w:val="none" w:sz="0" w:space="0" w:color="auto"/>
                <w:left w:val="none" w:sz="0" w:space="0" w:color="auto"/>
                <w:bottom w:val="none" w:sz="0" w:space="0" w:color="auto"/>
                <w:right w:val="none" w:sz="0" w:space="0" w:color="auto"/>
              </w:divBdr>
              <w:divsChild>
                <w:div w:id="984235427">
                  <w:marLeft w:val="0"/>
                  <w:marRight w:val="0"/>
                  <w:marTop w:val="0"/>
                  <w:marBottom w:val="0"/>
                  <w:divBdr>
                    <w:top w:val="none" w:sz="0" w:space="0" w:color="auto"/>
                    <w:left w:val="none" w:sz="0" w:space="0" w:color="auto"/>
                    <w:bottom w:val="none" w:sz="0" w:space="0" w:color="auto"/>
                    <w:right w:val="none" w:sz="0" w:space="0" w:color="auto"/>
                  </w:divBdr>
                </w:div>
              </w:divsChild>
            </w:div>
            <w:div w:id="515507908">
              <w:marLeft w:val="0"/>
              <w:marRight w:val="0"/>
              <w:marTop w:val="0"/>
              <w:marBottom w:val="0"/>
              <w:divBdr>
                <w:top w:val="none" w:sz="0" w:space="0" w:color="auto"/>
                <w:left w:val="none" w:sz="0" w:space="0" w:color="auto"/>
                <w:bottom w:val="none" w:sz="0" w:space="0" w:color="auto"/>
                <w:right w:val="none" w:sz="0" w:space="0" w:color="auto"/>
              </w:divBdr>
              <w:divsChild>
                <w:div w:id="220603428">
                  <w:marLeft w:val="0"/>
                  <w:marRight w:val="0"/>
                  <w:marTop w:val="0"/>
                  <w:marBottom w:val="0"/>
                  <w:divBdr>
                    <w:top w:val="none" w:sz="0" w:space="0" w:color="auto"/>
                    <w:left w:val="none" w:sz="0" w:space="0" w:color="auto"/>
                    <w:bottom w:val="none" w:sz="0" w:space="0" w:color="auto"/>
                    <w:right w:val="none" w:sz="0" w:space="0" w:color="auto"/>
                  </w:divBdr>
                </w:div>
              </w:divsChild>
            </w:div>
            <w:div w:id="515853532">
              <w:marLeft w:val="0"/>
              <w:marRight w:val="0"/>
              <w:marTop w:val="0"/>
              <w:marBottom w:val="0"/>
              <w:divBdr>
                <w:top w:val="none" w:sz="0" w:space="0" w:color="auto"/>
                <w:left w:val="none" w:sz="0" w:space="0" w:color="auto"/>
                <w:bottom w:val="none" w:sz="0" w:space="0" w:color="auto"/>
                <w:right w:val="none" w:sz="0" w:space="0" w:color="auto"/>
              </w:divBdr>
              <w:divsChild>
                <w:div w:id="1327628512">
                  <w:marLeft w:val="0"/>
                  <w:marRight w:val="0"/>
                  <w:marTop w:val="0"/>
                  <w:marBottom w:val="0"/>
                  <w:divBdr>
                    <w:top w:val="none" w:sz="0" w:space="0" w:color="auto"/>
                    <w:left w:val="none" w:sz="0" w:space="0" w:color="auto"/>
                    <w:bottom w:val="none" w:sz="0" w:space="0" w:color="auto"/>
                    <w:right w:val="none" w:sz="0" w:space="0" w:color="auto"/>
                  </w:divBdr>
                </w:div>
              </w:divsChild>
            </w:div>
            <w:div w:id="516432206">
              <w:marLeft w:val="0"/>
              <w:marRight w:val="0"/>
              <w:marTop w:val="0"/>
              <w:marBottom w:val="0"/>
              <w:divBdr>
                <w:top w:val="none" w:sz="0" w:space="0" w:color="auto"/>
                <w:left w:val="none" w:sz="0" w:space="0" w:color="auto"/>
                <w:bottom w:val="none" w:sz="0" w:space="0" w:color="auto"/>
                <w:right w:val="none" w:sz="0" w:space="0" w:color="auto"/>
              </w:divBdr>
              <w:divsChild>
                <w:div w:id="1274482967">
                  <w:marLeft w:val="0"/>
                  <w:marRight w:val="0"/>
                  <w:marTop w:val="0"/>
                  <w:marBottom w:val="0"/>
                  <w:divBdr>
                    <w:top w:val="none" w:sz="0" w:space="0" w:color="auto"/>
                    <w:left w:val="none" w:sz="0" w:space="0" w:color="auto"/>
                    <w:bottom w:val="none" w:sz="0" w:space="0" w:color="auto"/>
                    <w:right w:val="none" w:sz="0" w:space="0" w:color="auto"/>
                  </w:divBdr>
                </w:div>
              </w:divsChild>
            </w:div>
            <w:div w:id="517044144">
              <w:marLeft w:val="0"/>
              <w:marRight w:val="0"/>
              <w:marTop w:val="0"/>
              <w:marBottom w:val="0"/>
              <w:divBdr>
                <w:top w:val="none" w:sz="0" w:space="0" w:color="auto"/>
                <w:left w:val="none" w:sz="0" w:space="0" w:color="auto"/>
                <w:bottom w:val="none" w:sz="0" w:space="0" w:color="auto"/>
                <w:right w:val="none" w:sz="0" w:space="0" w:color="auto"/>
              </w:divBdr>
              <w:divsChild>
                <w:div w:id="1997954802">
                  <w:marLeft w:val="0"/>
                  <w:marRight w:val="0"/>
                  <w:marTop w:val="0"/>
                  <w:marBottom w:val="0"/>
                  <w:divBdr>
                    <w:top w:val="none" w:sz="0" w:space="0" w:color="auto"/>
                    <w:left w:val="none" w:sz="0" w:space="0" w:color="auto"/>
                    <w:bottom w:val="none" w:sz="0" w:space="0" w:color="auto"/>
                    <w:right w:val="none" w:sz="0" w:space="0" w:color="auto"/>
                  </w:divBdr>
                </w:div>
              </w:divsChild>
            </w:div>
            <w:div w:id="517819137">
              <w:marLeft w:val="0"/>
              <w:marRight w:val="0"/>
              <w:marTop w:val="0"/>
              <w:marBottom w:val="0"/>
              <w:divBdr>
                <w:top w:val="none" w:sz="0" w:space="0" w:color="auto"/>
                <w:left w:val="none" w:sz="0" w:space="0" w:color="auto"/>
                <w:bottom w:val="none" w:sz="0" w:space="0" w:color="auto"/>
                <w:right w:val="none" w:sz="0" w:space="0" w:color="auto"/>
              </w:divBdr>
              <w:divsChild>
                <w:div w:id="570769773">
                  <w:marLeft w:val="0"/>
                  <w:marRight w:val="0"/>
                  <w:marTop w:val="0"/>
                  <w:marBottom w:val="0"/>
                  <w:divBdr>
                    <w:top w:val="none" w:sz="0" w:space="0" w:color="auto"/>
                    <w:left w:val="none" w:sz="0" w:space="0" w:color="auto"/>
                    <w:bottom w:val="none" w:sz="0" w:space="0" w:color="auto"/>
                    <w:right w:val="none" w:sz="0" w:space="0" w:color="auto"/>
                  </w:divBdr>
                </w:div>
              </w:divsChild>
            </w:div>
            <w:div w:id="518588141">
              <w:marLeft w:val="0"/>
              <w:marRight w:val="0"/>
              <w:marTop w:val="0"/>
              <w:marBottom w:val="0"/>
              <w:divBdr>
                <w:top w:val="none" w:sz="0" w:space="0" w:color="auto"/>
                <w:left w:val="none" w:sz="0" w:space="0" w:color="auto"/>
                <w:bottom w:val="none" w:sz="0" w:space="0" w:color="auto"/>
                <w:right w:val="none" w:sz="0" w:space="0" w:color="auto"/>
              </w:divBdr>
              <w:divsChild>
                <w:div w:id="805469227">
                  <w:marLeft w:val="0"/>
                  <w:marRight w:val="0"/>
                  <w:marTop w:val="0"/>
                  <w:marBottom w:val="0"/>
                  <w:divBdr>
                    <w:top w:val="none" w:sz="0" w:space="0" w:color="auto"/>
                    <w:left w:val="none" w:sz="0" w:space="0" w:color="auto"/>
                    <w:bottom w:val="none" w:sz="0" w:space="0" w:color="auto"/>
                    <w:right w:val="none" w:sz="0" w:space="0" w:color="auto"/>
                  </w:divBdr>
                </w:div>
              </w:divsChild>
            </w:div>
            <w:div w:id="518815532">
              <w:marLeft w:val="0"/>
              <w:marRight w:val="0"/>
              <w:marTop w:val="0"/>
              <w:marBottom w:val="0"/>
              <w:divBdr>
                <w:top w:val="none" w:sz="0" w:space="0" w:color="auto"/>
                <w:left w:val="none" w:sz="0" w:space="0" w:color="auto"/>
                <w:bottom w:val="none" w:sz="0" w:space="0" w:color="auto"/>
                <w:right w:val="none" w:sz="0" w:space="0" w:color="auto"/>
              </w:divBdr>
              <w:divsChild>
                <w:div w:id="1572227248">
                  <w:marLeft w:val="0"/>
                  <w:marRight w:val="0"/>
                  <w:marTop w:val="0"/>
                  <w:marBottom w:val="0"/>
                  <w:divBdr>
                    <w:top w:val="none" w:sz="0" w:space="0" w:color="auto"/>
                    <w:left w:val="none" w:sz="0" w:space="0" w:color="auto"/>
                    <w:bottom w:val="none" w:sz="0" w:space="0" w:color="auto"/>
                    <w:right w:val="none" w:sz="0" w:space="0" w:color="auto"/>
                  </w:divBdr>
                </w:div>
              </w:divsChild>
            </w:div>
            <w:div w:id="519507833">
              <w:marLeft w:val="0"/>
              <w:marRight w:val="0"/>
              <w:marTop w:val="0"/>
              <w:marBottom w:val="0"/>
              <w:divBdr>
                <w:top w:val="none" w:sz="0" w:space="0" w:color="auto"/>
                <w:left w:val="none" w:sz="0" w:space="0" w:color="auto"/>
                <w:bottom w:val="none" w:sz="0" w:space="0" w:color="auto"/>
                <w:right w:val="none" w:sz="0" w:space="0" w:color="auto"/>
              </w:divBdr>
              <w:divsChild>
                <w:div w:id="2076200873">
                  <w:marLeft w:val="0"/>
                  <w:marRight w:val="0"/>
                  <w:marTop w:val="0"/>
                  <w:marBottom w:val="0"/>
                  <w:divBdr>
                    <w:top w:val="none" w:sz="0" w:space="0" w:color="auto"/>
                    <w:left w:val="none" w:sz="0" w:space="0" w:color="auto"/>
                    <w:bottom w:val="none" w:sz="0" w:space="0" w:color="auto"/>
                    <w:right w:val="none" w:sz="0" w:space="0" w:color="auto"/>
                  </w:divBdr>
                </w:div>
              </w:divsChild>
            </w:div>
            <w:div w:id="520780558">
              <w:marLeft w:val="0"/>
              <w:marRight w:val="0"/>
              <w:marTop w:val="0"/>
              <w:marBottom w:val="0"/>
              <w:divBdr>
                <w:top w:val="none" w:sz="0" w:space="0" w:color="auto"/>
                <w:left w:val="none" w:sz="0" w:space="0" w:color="auto"/>
                <w:bottom w:val="none" w:sz="0" w:space="0" w:color="auto"/>
                <w:right w:val="none" w:sz="0" w:space="0" w:color="auto"/>
              </w:divBdr>
              <w:divsChild>
                <w:div w:id="1274895310">
                  <w:marLeft w:val="0"/>
                  <w:marRight w:val="0"/>
                  <w:marTop w:val="0"/>
                  <w:marBottom w:val="0"/>
                  <w:divBdr>
                    <w:top w:val="none" w:sz="0" w:space="0" w:color="auto"/>
                    <w:left w:val="none" w:sz="0" w:space="0" w:color="auto"/>
                    <w:bottom w:val="none" w:sz="0" w:space="0" w:color="auto"/>
                    <w:right w:val="none" w:sz="0" w:space="0" w:color="auto"/>
                  </w:divBdr>
                </w:div>
              </w:divsChild>
            </w:div>
            <w:div w:id="521937231">
              <w:marLeft w:val="0"/>
              <w:marRight w:val="0"/>
              <w:marTop w:val="0"/>
              <w:marBottom w:val="0"/>
              <w:divBdr>
                <w:top w:val="none" w:sz="0" w:space="0" w:color="auto"/>
                <w:left w:val="none" w:sz="0" w:space="0" w:color="auto"/>
                <w:bottom w:val="none" w:sz="0" w:space="0" w:color="auto"/>
                <w:right w:val="none" w:sz="0" w:space="0" w:color="auto"/>
              </w:divBdr>
              <w:divsChild>
                <w:div w:id="715470055">
                  <w:marLeft w:val="0"/>
                  <w:marRight w:val="0"/>
                  <w:marTop w:val="0"/>
                  <w:marBottom w:val="0"/>
                  <w:divBdr>
                    <w:top w:val="none" w:sz="0" w:space="0" w:color="auto"/>
                    <w:left w:val="none" w:sz="0" w:space="0" w:color="auto"/>
                    <w:bottom w:val="none" w:sz="0" w:space="0" w:color="auto"/>
                    <w:right w:val="none" w:sz="0" w:space="0" w:color="auto"/>
                  </w:divBdr>
                </w:div>
              </w:divsChild>
            </w:div>
            <w:div w:id="522288952">
              <w:marLeft w:val="0"/>
              <w:marRight w:val="0"/>
              <w:marTop w:val="0"/>
              <w:marBottom w:val="0"/>
              <w:divBdr>
                <w:top w:val="none" w:sz="0" w:space="0" w:color="auto"/>
                <w:left w:val="none" w:sz="0" w:space="0" w:color="auto"/>
                <w:bottom w:val="none" w:sz="0" w:space="0" w:color="auto"/>
                <w:right w:val="none" w:sz="0" w:space="0" w:color="auto"/>
              </w:divBdr>
              <w:divsChild>
                <w:div w:id="1890337093">
                  <w:marLeft w:val="0"/>
                  <w:marRight w:val="0"/>
                  <w:marTop w:val="0"/>
                  <w:marBottom w:val="0"/>
                  <w:divBdr>
                    <w:top w:val="none" w:sz="0" w:space="0" w:color="auto"/>
                    <w:left w:val="none" w:sz="0" w:space="0" w:color="auto"/>
                    <w:bottom w:val="none" w:sz="0" w:space="0" w:color="auto"/>
                    <w:right w:val="none" w:sz="0" w:space="0" w:color="auto"/>
                  </w:divBdr>
                </w:div>
              </w:divsChild>
            </w:div>
            <w:div w:id="523204587">
              <w:marLeft w:val="0"/>
              <w:marRight w:val="0"/>
              <w:marTop w:val="0"/>
              <w:marBottom w:val="0"/>
              <w:divBdr>
                <w:top w:val="none" w:sz="0" w:space="0" w:color="auto"/>
                <w:left w:val="none" w:sz="0" w:space="0" w:color="auto"/>
                <w:bottom w:val="none" w:sz="0" w:space="0" w:color="auto"/>
                <w:right w:val="none" w:sz="0" w:space="0" w:color="auto"/>
              </w:divBdr>
              <w:divsChild>
                <w:div w:id="2003973461">
                  <w:marLeft w:val="0"/>
                  <w:marRight w:val="0"/>
                  <w:marTop w:val="0"/>
                  <w:marBottom w:val="0"/>
                  <w:divBdr>
                    <w:top w:val="none" w:sz="0" w:space="0" w:color="auto"/>
                    <w:left w:val="none" w:sz="0" w:space="0" w:color="auto"/>
                    <w:bottom w:val="none" w:sz="0" w:space="0" w:color="auto"/>
                    <w:right w:val="none" w:sz="0" w:space="0" w:color="auto"/>
                  </w:divBdr>
                </w:div>
              </w:divsChild>
            </w:div>
            <w:div w:id="523632700">
              <w:marLeft w:val="0"/>
              <w:marRight w:val="0"/>
              <w:marTop w:val="0"/>
              <w:marBottom w:val="0"/>
              <w:divBdr>
                <w:top w:val="none" w:sz="0" w:space="0" w:color="auto"/>
                <w:left w:val="none" w:sz="0" w:space="0" w:color="auto"/>
                <w:bottom w:val="none" w:sz="0" w:space="0" w:color="auto"/>
                <w:right w:val="none" w:sz="0" w:space="0" w:color="auto"/>
              </w:divBdr>
              <w:divsChild>
                <w:div w:id="1097947573">
                  <w:marLeft w:val="0"/>
                  <w:marRight w:val="0"/>
                  <w:marTop w:val="0"/>
                  <w:marBottom w:val="0"/>
                  <w:divBdr>
                    <w:top w:val="none" w:sz="0" w:space="0" w:color="auto"/>
                    <w:left w:val="none" w:sz="0" w:space="0" w:color="auto"/>
                    <w:bottom w:val="none" w:sz="0" w:space="0" w:color="auto"/>
                    <w:right w:val="none" w:sz="0" w:space="0" w:color="auto"/>
                  </w:divBdr>
                </w:div>
              </w:divsChild>
            </w:div>
            <w:div w:id="525485782">
              <w:marLeft w:val="0"/>
              <w:marRight w:val="0"/>
              <w:marTop w:val="300"/>
              <w:marBottom w:val="300"/>
              <w:divBdr>
                <w:top w:val="none" w:sz="0" w:space="0" w:color="auto"/>
                <w:left w:val="none" w:sz="0" w:space="0" w:color="auto"/>
                <w:bottom w:val="none" w:sz="0" w:space="0" w:color="auto"/>
                <w:right w:val="none" w:sz="0" w:space="0" w:color="auto"/>
              </w:divBdr>
            </w:div>
            <w:div w:id="525681420">
              <w:marLeft w:val="0"/>
              <w:marRight w:val="0"/>
              <w:marTop w:val="0"/>
              <w:marBottom w:val="0"/>
              <w:divBdr>
                <w:top w:val="none" w:sz="0" w:space="0" w:color="auto"/>
                <w:left w:val="none" w:sz="0" w:space="0" w:color="auto"/>
                <w:bottom w:val="none" w:sz="0" w:space="0" w:color="auto"/>
                <w:right w:val="none" w:sz="0" w:space="0" w:color="auto"/>
              </w:divBdr>
              <w:divsChild>
                <w:div w:id="516890644">
                  <w:marLeft w:val="0"/>
                  <w:marRight w:val="0"/>
                  <w:marTop w:val="0"/>
                  <w:marBottom w:val="0"/>
                  <w:divBdr>
                    <w:top w:val="none" w:sz="0" w:space="0" w:color="auto"/>
                    <w:left w:val="none" w:sz="0" w:space="0" w:color="auto"/>
                    <w:bottom w:val="none" w:sz="0" w:space="0" w:color="auto"/>
                    <w:right w:val="none" w:sz="0" w:space="0" w:color="auto"/>
                  </w:divBdr>
                </w:div>
              </w:divsChild>
            </w:div>
            <w:div w:id="526143780">
              <w:marLeft w:val="0"/>
              <w:marRight w:val="0"/>
              <w:marTop w:val="0"/>
              <w:marBottom w:val="0"/>
              <w:divBdr>
                <w:top w:val="none" w:sz="0" w:space="0" w:color="auto"/>
                <w:left w:val="none" w:sz="0" w:space="0" w:color="auto"/>
                <w:bottom w:val="none" w:sz="0" w:space="0" w:color="auto"/>
                <w:right w:val="none" w:sz="0" w:space="0" w:color="auto"/>
              </w:divBdr>
              <w:divsChild>
                <w:div w:id="1628504999">
                  <w:marLeft w:val="0"/>
                  <w:marRight w:val="0"/>
                  <w:marTop w:val="0"/>
                  <w:marBottom w:val="0"/>
                  <w:divBdr>
                    <w:top w:val="none" w:sz="0" w:space="0" w:color="auto"/>
                    <w:left w:val="none" w:sz="0" w:space="0" w:color="auto"/>
                    <w:bottom w:val="none" w:sz="0" w:space="0" w:color="auto"/>
                    <w:right w:val="none" w:sz="0" w:space="0" w:color="auto"/>
                  </w:divBdr>
                </w:div>
              </w:divsChild>
            </w:div>
            <w:div w:id="526480586">
              <w:marLeft w:val="0"/>
              <w:marRight w:val="0"/>
              <w:marTop w:val="0"/>
              <w:marBottom w:val="0"/>
              <w:divBdr>
                <w:top w:val="none" w:sz="0" w:space="0" w:color="auto"/>
                <w:left w:val="none" w:sz="0" w:space="0" w:color="auto"/>
                <w:bottom w:val="none" w:sz="0" w:space="0" w:color="auto"/>
                <w:right w:val="none" w:sz="0" w:space="0" w:color="auto"/>
              </w:divBdr>
              <w:divsChild>
                <w:div w:id="77599182">
                  <w:marLeft w:val="0"/>
                  <w:marRight w:val="0"/>
                  <w:marTop w:val="0"/>
                  <w:marBottom w:val="0"/>
                  <w:divBdr>
                    <w:top w:val="none" w:sz="0" w:space="0" w:color="auto"/>
                    <w:left w:val="none" w:sz="0" w:space="0" w:color="auto"/>
                    <w:bottom w:val="none" w:sz="0" w:space="0" w:color="auto"/>
                    <w:right w:val="none" w:sz="0" w:space="0" w:color="auto"/>
                  </w:divBdr>
                </w:div>
              </w:divsChild>
            </w:div>
            <w:div w:id="527916915">
              <w:marLeft w:val="0"/>
              <w:marRight w:val="0"/>
              <w:marTop w:val="300"/>
              <w:marBottom w:val="300"/>
              <w:divBdr>
                <w:top w:val="none" w:sz="0" w:space="0" w:color="auto"/>
                <w:left w:val="none" w:sz="0" w:space="0" w:color="auto"/>
                <w:bottom w:val="none" w:sz="0" w:space="0" w:color="auto"/>
                <w:right w:val="none" w:sz="0" w:space="0" w:color="auto"/>
              </w:divBdr>
            </w:div>
            <w:div w:id="528838793">
              <w:marLeft w:val="0"/>
              <w:marRight w:val="0"/>
              <w:marTop w:val="300"/>
              <w:marBottom w:val="300"/>
              <w:divBdr>
                <w:top w:val="none" w:sz="0" w:space="0" w:color="auto"/>
                <w:left w:val="none" w:sz="0" w:space="0" w:color="auto"/>
                <w:bottom w:val="none" w:sz="0" w:space="0" w:color="auto"/>
                <w:right w:val="none" w:sz="0" w:space="0" w:color="auto"/>
              </w:divBdr>
            </w:div>
            <w:div w:id="529151096">
              <w:marLeft w:val="0"/>
              <w:marRight w:val="0"/>
              <w:marTop w:val="300"/>
              <w:marBottom w:val="300"/>
              <w:divBdr>
                <w:top w:val="none" w:sz="0" w:space="0" w:color="auto"/>
                <w:left w:val="none" w:sz="0" w:space="0" w:color="auto"/>
                <w:bottom w:val="none" w:sz="0" w:space="0" w:color="auto"/>
                <w:right w:val="none" w:sz="0" w:space="0" w:color="auto"/>
              </w:divBdr>
            </w:div>
            <w:div w:id="529533819">
              <w:marLeft w:val="0"/>
              <w:marRight w:val="0"/>
              <w:marTop w:val="300"/>
              <w:marBottom w:val="300"/>
              <w:divBdr>
                <w:top w:val="none" w:sz="0" w:space="0" w:color="auto"/>
                <w:left w:val="none" w:sz="0" w:space="0" w:color="auto"/>
                <w:bottom w:val="none" w:sz="0" w:space="0" w:color="auto"/>
                <w:right w:val="none" w:sz="0" w:space="0" w:color="auto"/>
              </w:divBdr>
            </w:div>
            <w:div w:id="531307524">
              <w:marLeft w:val="0"/>
              <w:marRight w:val="0"/>
              <w:marTop w:val="0"/>
              <w:marBottom w:val="0"/>
              <w:divBdr>
                <w:top w:val="none" w:sz="0" w:space="0" w:color="auto"/>
                <w:left w:val="none" w:sz="0" w:space="0" w:color="auto"/>
                <w:bottom w:val="none" w:sz="0" w:space="0" w:color="auto"/>
                <w:right w:val="none" w:sz="0" w:space="0" w:color="auto"/>
              </w:divBdr>
              <w:divsChild>
                <w:div w:id="2070304348">
                  <w:marLeft w:val="0"/>
                  <w:marRight w:val="0"/>
                  <w:marTop w:val="0"/>
                  <w:marBottom w:val="0"/>
                  <w:divBdr>
                    <w:top w:val="none" w:sz="0" w:space="0" w:color="auto"/>
                    <w:left w:val="none" w:sz="0" w:space="0" w:color="auto"/>
                    <w:bottom w:val="none" w:sz="0" w:space="0" w:color="auto"/>
                    <w:right w:val="none" w:sz="0" w:space="0" w:color="auto"/>
                  </w:divBdr>
                </w:div>
              </w:divsChild>
            </w:div>
            <w:div w:id="533423775">
              <w:marLeft w:val="0"/>
              <w:marRight w:val="0"/>
              <w:marTop w:val="0"/>
              <w:marBottom w:val="0"/>
              <w:divBdr>
                <w:top w:val="none" w:sz="0" w:space="0" w:color="auto"/>
                <w:left w:val="none" w:sz="0" w:space="0" w:color="auto"/>
                <w:bottom w:val="none" w:sz="0" w:space="0" w:color="auto"/>
                <w:right w:val="none" w:sz="0" w:space="0" w:color="auto"/>
              </w:divBdr>
              <w:divsChild>
                <w:div w:id="1284651129">
                  <w:marLeft w:val="0"/>
                  <w:marRight w:val="0"/>
                  <w:marTop w:val="0"/>
                  <w:marBottom w:val="0"/>
                  <w:divBdr>
                    <w:top w:val="none" w:sz="0" w:space="0" w:color="auto"/>
                    <w:left w:val="none" w:sz="0" w:space="0" w:color="auto"/>
                    <w:bottom w:val="none" w:sz="0" w:space="0" w:color="auto"/>
                    <w:right w:val="none" w:sz="0" w:space="0" w:color="auto"/>
                  </w:divBdr>
                </w:div>
              </w:divsChild>
            </w:div>
            <w:div w:id="533612520">
              <w:marLeft w:val="0"/>
              <w:marRight w:val="0"/>
              <w:marTop w:val="0"/>
              <w:marBottom w:val="0"/>
              <w:divBdr>
                <w:top w:val="none" w:sz="0" w:space="0" w:color="auto"/>
                <w:left w:val="none" w:sz="0" w:space="0" w:color="auto"/>
                <w:bottom w:val="none" w:sz="0" w:space="0" w:color="auto"/>
                <w:right w:val="none" w:sz="0" w:space="0" w:color="auto"/>
              </w:divBdr>
              <w:divsChild>
                <w:div w:id="1620986345">
                  <w:marLeft w:val="0"/>
                  <w:marRight w:val="0"/>
                  <w:marTop w:val="0"/>
                  <w:marBottom w:val="0"/>
                  <w:divBdr>
                    <w:top w:val="none" w:sz="0" w:space="0" w:color="auto"/>
                    <w:left w:val="none" w:sz="0" w:space="0" w:color="auto"/>
                    <w:bottom w:val="none" w:sz="0" w:space="0" w:color="auto"/>
                    <w:right w:val="none" w:sz="0" w:space="0" w:color="auto"/>
                  </w:divBdr>
                </w:div>
              </w:divsChild>
            </w:div>
            <w:div w:id="535704477">
              <w:marLeft w:val="0"/>
              <w:marRight w:val="0"/>
              <w:marTop w:val="300"/>
              <w:marBottom w:val="300"/>
              <w:divBdr>
                <w:top w:val="none" w:sz="0" w:space="0" w:color="auto"/>
                <w:left w:val="none" w:sz="0" w:space="0" w:color="auto"/>
                <w:bottom w:val="none" w:sz="0" w:space="0" w:color="auto"/>
                <w:right w:val="none" w:sz="0" w:space="0" w:color="auto"/>
              </w:divBdr>
            </w:div>
            <w:div w:id="536048022">
              <w:marLeft w:val="0"/>
              <w:marRight w:val="0"/>
              <w:marTop w:val="0"/>
              <w:marBottom w:val="0"/>
              <w:divBdr>
                <w:top w:val="none" w:sz="0" w:space="0" w:color="auto"/>
                <w:left w:val="none" w:sz="0" w:space="0" w:color="auto"/>
                <w:bottom w:val="none" w:sz="0" w:space="0" w:color="auto"/>
                <w:right w:val="none" w:sz="0" w:space="0" w:color="auto"/>
              </w:divBdr>
              <w:divsChild>
                <w:div w:id="2098940891">
                  <w:marLeft w:val="0"/>
                  <w:marRight w:val="0"/>
                  <w:marTop w:val="0"/>
                  <w:marBottom w:val="0"/>
                  <w:divBdr>
                    <w:top w:val="none" w:sz="0" w:space="0" w:color="auto"/>
                    <w:left w:val="none" w:sz="0" w:space="0" w:color="auto"/>
                    <w:bottom w:val="none" w:sz="0" w:space="0" w:color="auto"/>
                    <w:right w:val="none" w:sz="0" w:space="0" w:color="auto"/>
                  </w:divBdr>
                </w:div>
              </w:divsChild>
            </w:div>
            <w:div w:id="536550555">
              <w:marLeft w:val="0"/>
              <w:marRight w:val="0"/>
              <w:marTop w:val="0"/>
              <w:marBottom w:val="0"/>
              <w:divBdr>
                <w:top w:val="none" w:sz="0" w:space="0" w:color="auto"/>
                <w:left w:val="none" w:sz="0" w:space="0" w:color="auto"/>
                <w:bottom w:val="none" w:sz="0" w:space="0" w:color="auto"/>
                <w:right w:val="none" w:sz="0" w:space="0" w:color="auto"/>
              </w:divBdr>
              <w:divsChild>
                <w:div w:id="1837647934">
                  <w:marLeft w:val="0"/>
                  <w:marRight w:val="0"/>
                  <w:marTop w:val="0"/>
                  <w:marBottom w:val="0"/>
                  <w:divBdr>
                    <w:top w:val="none" w:sz="0" w:space="0" w:color="auto"/>
                    <w:left w:val="none" w:sz="0" w:space="0" w:color="auto"/>
                    <w:bottom w:val="none" w:sz="0" w:space="0" w:color="auto"/>
                    <w:right w:val="none" w:sz="0" w:space="0" w:color="auto"/>
                  </w:divBdr>
                </w:div>
              </w:divsChild>
            </w:div>
            <w:div w:id="537133059">
              <w:marLeft w:val="0"/>
              <w:marRight w:val="0"/>
              <w:marTop w:val="0"/>
              <w:marBottom w:val="0"/>
              <w:divBdr>
                <w:top w:val="none" w:sz="0" w:space="0" w:color="auto"/>
                <w:left w:val="none" w:sz="0" w:space="0" w:color="auto"/>
                <w:bottom w:val="none" w:sz="0" w:space="0" w:color="auto"/>
                <w:right w:val="none" w:sz="0" w:space="0" w:color="auto"/>
              </w:divBdr>
              <w:divsChild>
                <w:div w:id="403844470">
                  <w:marLeft w:val="0"/>
                  <w:marRight w:val="0"/>
                  <w:marTop w:val="0"/>
                  <w:marBottom w:val="0"/>
                  <w:divBdr>
                    <w:top w:val="none" w:sz="0" w:space="0" w:color="auto"/>
                    <w:left w:val="none" w:sz="0" w:space="0" w:color="auto"/>
                    <w:bottom w:val="none" w:sz="0" w:space="0" w:color="auto"/>
                    <w:right w:val="none" w:sz="0" w:space="0" w:color="auto"/>
                  </w:divBdr>
                </w:div>
              </w:divsChild>
            </w:div>
            <w:div w:id="538132283">
              <w:marLeft w:val="0"/>
              <w:marRight w:val="0"/>
              <w:marTop w:val="0"/>
              <w:marBottom w:val="0"/>
              <w:divBdr>
                <w:top w:val="none" w:sz="0" w:space="0" w:color="auto"/>
                <w:left w:val="none" w:sz="0" w:space="0" w:color="auto"/>
                <w:bottom w:val="none" w:sz="0" w:space="0" w:color="auto"/>
                <w:right w:val="none" w:sz="0" w:space="0" w:color="auto"/>
              </w:divBdr>
              <w:divsChild>
                <w:div w:id="2117406241">
                  <w:marLeft w:val="0"/>
                  <w:marRight w:val="0"/>
                  <w:marTop w:val="0"/>
                  <w:marBottom w:val="0"/>
                  <w:divBdr>
                    <w:top w:val="none" w:sz="0" w:space="0" w:color="auto"/>
                    <w:left w:val="none" w:sz="0" w:space="0" w:color="auto"/>
                    <w:bottom w:val="none" w:sz="0" w:space="0" w:color="auto"/>
                    <w:right w:val="none" w:sz="0" w:space="0" w:color="auto"/>
                  </w:divBdr>
                </w:div>
              </w:divsChild>
            </w:div>
            <w:div w:id="538594154">
              <w:marLeft w:val="0"/>
              <w:marRight w:val="0"/>
              <w:marTop w:val="0"/>
              <w:marBottom w:val="0"/>
              <w:divBdr>
                <w:top w:val="none" w:sz="0" w:space="0" w:color="auto"/>
                <w:left w:val="none" w:sz="0" w:space="0" w:color="auto"/>
                <w:bottom w:val="none" w:sz="0" w:space="0" w:color="auto"/>
                <w:right w:val="none" w:sz="0" w:space="0" w:color="auto"/>
              </w:divBdr>
              <w:divsChild>
                <w:div w:id="1333606575">
                  <w:marLeft w:val="0"/>
                  <w:marRight w:val="0"/>
                  <w:marTop w:val="0"/>
                  <w:marBottom w:val="0"/>
                  <w:divBdr>
                    <w:top w:val="none" w:sz="0" w:space="0" w:color="auto"/>
                    <w:left w:val="none" w:sz="0" w:space="0" w:color="auto"/>
                    <w:bottom w:val="none" w:sz="0" w:space="0" w:color="auto"/>
                    <w:right w:val="none" w:sz="0" w:space="0" w:color="auto"/>
                  </w:divBdr>
                </w:div>
              </w:divsChild>
            </w:div>
            <w:div w:id="538935110">
              <w:marLeft w:val="0"/>
              <w:marRight w:val="0"/>
              <w:marTop w:val="300"/>
              <w:marBottom w:val="300"/>
              <w:divBdr>
                <w:top w:val="none" w:sz="0" w:space="0" w:color="auto"/>
                <w:left w:val="none" w:sz="0" w:space="0" w:color="auto"/>
                <w:bottom w:val="none" w:sz="0" w:space="0" w:color="auto"/>
                <w:right w:val="none" w:sz="0" w:space="0" w:color="auto"/>
              </w:divBdr>
            </w:div>
            <w:div w:id="538976107">
              <w:marLeft w:val="0"/>
              <w:marRight w:val="0"/>
              <w:marTop w:val="0"/>
              <w:marBottom w:val="0"/>
              <w:divBdr>
                <w:top w:val="none" w:sz="0" w:space="0" w:color="auto"/>
                <w:left w:val="none" w:sz="0" w:space="0" w:color="auto"/>
                <w:bottom w:val="none" w:sz="0" w:space="0" w:color="auto"/>
                <w:right w:val="none" w:sz="0" w:space="0" w:color="auto"/>
              </w:divBdr>
              <w:divsChild>
                <w:div w:id="2135443241">
                  <w:marLeft w:val="0"/>
                  <w:marRight w:val="0"/>
                  <w:marTop w:val="0"/>
                  <w:marBottom w:val="0"/>
                  <w:divBdr>
                    <w:top w:val="none" w:sz="0" w:space="0" w:color="auto"/>
                    <w:left w:val="none" w:sz="0" w:space="0" w:color="auto"/>
                    <w:bottom w:val="none" w:sz="0" w:space="0" w:color="auto"/>
                    <w:right w:val="none" w:sz="0" w:space="0" w:color="auto"/>
                  </w:divBdr>
                </w:div>
              </w:divsChild>
            </w:div>
            <w:div w:id="539633248">
              <w:marLeft w:val="0"/>
              <w:marRight w:val="0"/>
              <w:marTop w:val="0"/>
              <w:marBottom w:val="0"/>
              <w:divBdr>
                <w:top w:val="none" w:sz="0" w:space="0" w:color="auto"/>
                <w:left w:val="none" w:sz="0" w:space="0" w:color="auto"/>
                <w:bottom w:val="none" w:sz="0" w:space="0" w:color="auto"/>
                <w:right w:val="none" w:sz="0" w:space="0" w:color="auto"/>
              </w:divBdr>
              <w:divsChild>
                <w:div w:id="1581912132">
                  <w:marLeft w:val="0"/>
                  <w:marRight w:val="0"/>
                  <w:marTop w:val="0"/>
                  <w:marBottom w:val="0"/>
                  <w:divBdr>
                    <w:top w:val="none" w:sz="0" w:space="0" w:color="auto"/>
                    <w:left w:val="none" w:sz="0" w:space="0" w:color="auto"/>
                    <w:bottom w:val="none" w:sz="0" w:space="0" w:color="auto"/>
                    <w:right w:val="none" w:sz="0" w:space="0" w:color="auto"/>
                  </w:divBdr>
                </w:div>
              </w:divsChild>
            </w:div>
            <w:div w:id="539821730">
              <w:marLeft w:val="0"/>
              <w:marRight w:val="0"/>
              <w:marTop w:val="0"/>
              <w:marBottom w:val="0"/>
              <w:divBdr>
                <w:top w:val="none" w:sz="0" w:space="0" w:color="auto"/>
                <w:left w:val="none" w:sz="0" w:space="0" w:color="auto"/>
                <w:bottom w:val="none" w:sz="0" w:space="0" w:color="auto"/>
                <w:right w:val="none" w:sz="0" w:space="0" w:color="auto"/>
              </w:divBdr>
              <w:divsChild>
                <w:div w:id="1921787671">
                  <w:marLeft w:val="0"/>
                  <w:marRight w:val="0"/>
                  <w:marTop w:val="0"/>
                  <w:marBottom w:val="0"/>
                  <w:divBdr>
                    <w:top w:val="none" w:sz="0" w:space="0" w:color="auto"/>
                    <w:left w:val="none" w:sz="0" w:space="0" w:color="auto"/>
                    <w:bottom w:val="none" w:sz="0" w:space="0" w:color="auto"/>
                    <w:right w:val="none" w:sz="0" w:space="0" w:color="auto"/>
                  </w:divBdr>
                </w:div>
              </w:divsChild>
            </w:div>
            <w:div w:id="541751679">
              <w:marLeft w:val="0"/>
              <w:marRight w:val="0"/>
              <w:marTop w:val="0"/>
              <w:marBottom w:val="0"/>
              <w:divBdr>
                <w:top w:val="none" w:sz="0" w:space="0" w:color="auto"/>
                <w:left w:val="none" w:sz="0" w:space="0" w:color="auto"/>
                <w:bottom w:val="none" w:sz="0" w:space="0" w:color="auto"/>
                <w:right w:val="none" w:sz="0" w:space="0" w:color="auto"/>
              </w:divBdr>
              <w:divsChild>
                <w:div w:id="1858887314">
                  <w:marLeft w:val="0"/>
                  <w:marRight w:val="0"/>
                  <w:marTop w:val="0"/>
                  <w:marBottom w:val="0"/>
                  <w:divBdr>
                    <w:top w:val="none" w:sz="0" w:space="0" w:color="auto"/>
                    <w:left w:val="none" w:sz="0" w:space="0" w:color="auto"/>
                    <w:bottom w:val="none" w:sz="0" w:space="0" w:color="auto"/>
                    <w:right w:val="none" w:sz="0" w:space="0" w:color="auto"/>
                  </w:divBdr>
                </w:div>
              </w:divsChild>
            </w:div>
            <w:div w:id="542600373">
              <w:marLeft w:val="0"/>
              <w:marRight w:val="0"/>
              <w:marTop w:val="0"/>
              <w:marBottom w:val="0"/>
              <w:divBdr>
                <w:top w:val="none" w:sz="0" w:space="0" w:color="auto"/>
                <w:left w:val="none" w:sz="0" w:space="0" w:color="auto"/>
                <w:bottom w:val="none" w:sz="0" w:space="0" w:color="auto"/>
                <w:right w:val="none" w:sz="0" w:space="0" w:color="auto"/>
              </w:divBdr>
              <w:divsChild>
                <w:div w:id="165679032">
                  <w:marLeft w:val="0"/>
                  <w:marRight w:val="0"/>
                  <w:marTop w:val="0"/>
                  <w:marBottom w:val="0"/>
                  <w:divBdr>
                    <w:top w:val="none" w:sz="0" w:space="0" w:color="auto"/>
                    <w:left w:val="none" w:sz="0" w:space="0" w:color="auto"/>
                    <w:bottom w:val="none" w:sz="0" w:space="0" w:color="auto"/>
                    <w:right w:val="none" w:sz="0" w:space="0" w:color="auto"/>
                  </w:divBdr>
                </w:div>
              </w:divsChild>
            </w:div>
            <w:div w:id="542787415">
              <w:marLeft w:val="0"/>
              <w:marRight w:val="0"/>
              <w:marTop w:val="0"/>
              <w:marBottom w:val="0"/>
              <w:divBdr>
                <w:top w:val="none" w:sz="0" w:space="0" w:color="auto"/>
                <w:left w:val="none" w:sz="0" w:space="0" w:color="auto"/>
                <w:bottom w:val="none" w:sz="0" w:space="0" w:color="auto"/>
                <w:right w:val="none" w:sz="0" w:space="0" w:color="auto"/>
              </w:divBdr>
              <w:divsChild>
                <w:div w:id="258488124">
                  <w:marLeft w:val="0"/>
                  <w:marRight w:val="0"/>
                  <w:marTop w:val="0"/>
                  <w:marBottom w:val="0"/>
                  <w:divBdr>
                    <w:top w:val="none" w:sz="0" w:space="0" w:color="auto"/>
                    <w:left w:val="none" w:sz="0" w:space="0" w:color="auto"/>
                    <w:bottom w:val="none" w:sz="0" w:space="0" w:color="auto"/>
                    <w:right w:val="none" w:sz="0" w:space="0" w:color="auto"/>
                  </w:divBdr>
                </w:div>
              </w:divsChild>
            </w:div>
            <w:div w:id="547961282">
              <w:marLeft w:val="0"/>
              <w:marRight w:val="0"/>
              <w:marTop w:val="0"/>
              <w:marBottom w:val="0"/>
              <w:divBdr>
                <w:top w:val="none" w:sz="0" w:space="0" w:color="auto"/>
                <w:left w:val="none" w:sz="0" w:space="0" w:color="auto"/>
                <w:bottom w:val="none" w:sz="0" w:space="0" w:color="auto"/>
                <w:right w:val="none" w:sz="0" w:space="0" w:color="auto"/>
              </w:divBdr>
              <w:divsChild>
                <w:div w:id="1918785112">
                  <w:marLeft w:val="0"/>
                  <w:marRight w:val="0"/>
                  <w:marTop w:val="0"/>
                  <w:marBottom w:val="0"/>
                  <w:divBdr>
                    <w:top w:val="none" w:sz="0" w:space="0" w:color="auto"/>
                    <w:left w:val="none" w:sz="0" w:space="0" w:color="auto"/>
                    <w:bottom w:val="none" w:sz="0" w:space="0" w:color="auto"/>
                    <w:right w:val="none" w:sz="0" w:space="0" w:color="auto"/>
                  </w:divBdr>
                </w:div>
              </w:divsChild>
            </w:div>
            <w:div w:id="549460671">
              <w:marLeft w:val="0"/>
              <w:marRight w:val="0"/>
              <w:marTop w:val="0"/>
              <w:marBottom w:val="0"/>
              <w:divBdr>
                <w:top w:val="none" w:sz="0" w:space="0" w:color="auto"/>
                <w:left w:val="none" w:sz="0" w:space="0" w:color="auto"/>
                <w:bottom w:val="none" w:sz="0" w:space="0" w:color="auto"/>
                <w:right w:val="none" w:sz="0" w:space="0" w:color="auto"/>
              </w:divBdr>
              <w:divsChild>
                <w:div w:id="964434630">
                  <w:marLeft w:val="0"/>
                  <w:marRight w:val="0"/>
                  <w:marTop w:val="0"/>
                  <w:marBottom w:val="0"/>
                  <w:divBdr>
                    <w:top w:val="none" w:sz="0" w:space="0" w:color="auto"/>
                    <w:left w:val="none" w:sz="0" w:space="0" w:color="auto"/>
                    <w:bottom w:val="none" w:sz="0" w:space="0" w:color="auto"/>
                    <w:right w:val="none" w:sz="0" w:space="0" w:color="auto"/>
                  </w:divBdr>
                </w:div>
              </w:divsChild>
            </w:div>
            <w:div w:id="550389971">
              <w:marLeft w:val="0"/>
              <w:marRight w:val="0"/>
              <w:marTop w:val="0"/>
              <w:marBottom w:val="0"/>
              <w:divBdr>
                <w:top w:val="none" w:sz="0" w:space="0" w:color="auto"/>
                <w:left w:val="none" w:sz="0" w:space="0" w:color="auto"/>
                <w:bottom w:val="none" w:sz="0" w:space="0" w:color="auto"/>
                <w:right w:val="none" w:sz="0" w:space="0" w:color="auto"/>
              </w:divBdr>
              <w:divsChild>
                <w:div w:id="1709798769">
                  <w:marLeft w:val="0"/>
                  <w:marRight w:val="0"/>
                  <w:marTop w:val="0"/>
                  <w:marBottom w:val="0"/>
                  <w:divBdr>
                    <w:top w:val="none" w:sz="0" w:space="0" w:color="auto"/>
                    <w:left w:val="none" w:sz="0" w:space="0" w:color="auto"/>
                    <w:bottom w:val="none" w:sz="0" w:space="0" w:color="auto"/>
                    <w:right w:val="none" w:sz="0" w:space="0" w:color="auto"/>
                  </w:divBdr>
                </w:div>
              </w:divsChild>
            </w:div>
            <w:div w:id="550504205">
              <w:marLeft w:val="0"/>
              <w:marRight w:val="0"/>
              <w:marTop w:val="0"/>
              <w:marBottom w:val="0"/>
              <w:divBdr>
                <w:top w:val="none" w:sz="0" w:space="0" w:color="auto"/>
                <w:left w:val="none" w:sz="0" w:space="0" w:color="auto"/>
                <w:bottom w:val="none" w:sz="0" w:space="0" w:color="auto"/>
                <w:right w:val="none" w:sz="0" w:space="0" w:color="auto"/>
              </w:divBdr>
              <w:divsChild>
                <w:div w:id="939988994">
                  <w:marLeft w:val="0"/>
                  <w:marRight w:val="0"/>
                  <w:marTop w:val="0"/>
                  <w:marBottom w:val="0"/>
                  <w:divBdr>
                    <w:top w:val="none" w:sz="0" w:space="0" w:color="auto"/>
                    <w:left w:val="none" w:sz="0" w:space="0" w:color="auto"/>
                    <w:bottom w:val="none" w:sz="0" w:space="0" w:color="auto"/>
                    <w:right w:val="none" w:sz="0" w:space="0" w:color="auto"/>
                  </w:divBdr>
                </w:div>
              </w:divsChild>
            </w:div>
            <w:div w:id="551306447">
              <w:marLeft w:val="0"/>
              <w:marRight w:val="0"/>
              <w:marTop w:val="0"/>
              <w:marBottom w:val="0"/>
              <w:divBdr>
                <w:top w:val="none" w:sz="0" w:space="0" w:color="auto"/>
                <w:left w:val="none" w:sz="0" w:space="0" w:color="auto"/>
                <w:bottom w:val="none" w:sz="0" w:space="0" w:color="auto"/>
                <w:right w:val="none" w:sz="0" w:space="0" w:color="auto"/>
              </w:divBdr>
              <w:divsChild>
                <w:div w:id="159542497">
                  <w:marLeft w:val="0"/>
                  <w:marRight w:val="0"/>
                  <w:marTop w:val="0"/>
                  <w:marBottom w:val="0"/>
                  <w:divBdr>
                    <w:top w:val="none" w:sz="0" w:space="0" w:color="auto"/>
                    <w:left w:val="none" w:sz="0" w:space="0" w:color="auto"/>
                    <w:bottom w:val="none" w:sz="0" w:space="0" w:color="auto"/>
                    <w:right w:val="none" w:sz="0" w:space="0" w:color="auto"/>
                  </w:divBdr>
                </w:div>
              </w:divsChild>
            </w:div>
            <w:div w:id="553005929">
              <w:marLeft w:val="0"/>
              <w:marRight w:val="0"/>
              <w:marTop w:val="0"/>
              <w:marBottom w:val="0"/>
              <w:divBdr>
                <w:top w:val="none" w:sz="0" w:space="0" w:color="auto"/>
                <w:left w:val="none" w:sz="0" w:space="0" w:color="auto"/>
                <w:bottom w:val="none" w:sz="0" w:space="0" w:color="auto"/>
                <w:right w:val="none" w:sz="0" w:space="0" w:color="auto"/>
              </w:divBdr>
              <w:divsChild>
                <w:div w:id="670987500">
                  <w:marLeft w:val="0"/>
                  <w:marRight w:val="0"/>
                  <w:marTop w:val="0"/>
                  <w:marBottom w:val="0"/>
                  <w:divBdr>
                    <w:top w:val="none" w:sz="0" w:space="0" w:color="auto"/>
                    <w:left w:val="none" w:sz="0" w:space="0" w:color="auto"/>
                    <w:bottom w:val="none" w:sz="0" w:space="0" w:color="auto"/>
                    <w:right w:val="none" w:sz="0" w:space="0" w:color="auto"/>
                  </w:divBdr>
                </w:div>
              </w:divsChild>
            </w:div>
            <w:div w:id="553545641">
              <w:marLeft w:val="0"/>
              <w:marRight w:val="0"/>
              <w:marTop w:val="300"/>
              <w:marBottom w:val="300"/>
              <w:divBdr>
                <w:top w:val="none" w:sz="0" w:space="0" w:color="auto"/>
                <w:left w:val="none" w:sz="0" w:space="0" w:color="auto"/>
                <w:bottom w:val="none" w:sz="0" w:space="0" w:color="auto"/>
                <w:right w:val="none" w:sz="0" w:space="0" w:color="auto"/>
              </w:divBdr>
            </w:div>
            <w:div w:id="553932880">
              <w:marLeft w:val="0"/>
              <w:marRight w:val="0"/>
              <w:marTop w:val="0"/>
              <w:marBottom w:val="0"/>
              <w:divBdr>
                <w:top w:val="none" w:sz="0" w:space="0" w:color="auto"/>
                <w:left w:val="none" w:sz="0" w:space="0" w:color="auto"/>
                <w:bottom w:val="none" w:sz="0" w:space="0" w:color="auto"/>
                <w:right w:val="none" w:sz="0" w:space="0" w:color="auto"/>
              </w:divBdr>
              <w:divsChild>
                <w:div w:id="442965635">
                  <w:marLeft w:val="0"/>
                  <w:marRight w:val="0"/>
                  <w:marTop w:val="0"/>
                  <w:marBottom w:val="0"/>
                  <w:divBdr>
                    <w:top w:val="none" w:sz="0" w:space="0" w:color="auto"/>
                    <w:left w:val="none" w:sz="0" w:space="0" w:color="auto"/>
                    <w:bottom w:val="none" w:sz="0" w:space="0" w:color="auto"/>
                    <w:right w:val="none" w:sz="0" w:space="0" w:color="auto"/>
                  </w:divBdr>
                </w:div>
              </w:divsChild>
            </w:div>
            <w:div w:id="554926052">
              <w:marLeft w:val="0"/>
              <w:marRight w:val="0"/>
              <w:marTop w:val="0"/>
              <w:marBottom w:val="0"/>
              <w:divBdr>
                <w:top w:val="none" w:sz="0" w:space="0" w:color="auto"/>
                <w:left w:val="none" w:sz="0" w:space="0" w:color="auto"/>
                <w:bottom w:val="none" w:sz="0" w:space="0" w:color="auto"/>
                <w:right w:val="none" w:sz="0" w:space="0" w:color="auto"/>
              </w:divBdr>
              <w:divsChild>
                <w:div w:id="669673867">
                  <w:marLeft w:val="0"/>
                  <w:marRight w:val="0"/>
                  <w:marTop w:val="0"/>
                  <w:marBottom w:val="0"/>
                  <w:divBdr>
                    <w:top w:val="none" w:sz="0" w:space="0" w:color="auto"/>
                    <w:left w:val="none" w:sz="0" w:space="0" w:color="auto"/>
                    <w:bottom w:val="none" w:sz="0" w:space="0" w:color="auto"/>
                    <w:right w:val="none" w:sz="0" w:space="0" w:color="auto"/>
                  </w:divBdr>
                </w:div>
              </w:divsChild>
            </w:div>
            <w:div w:id="554967699">
              <w:marLeft w:val="0"/>
              <w:marRight w:val="0"/>
              <w:marTop w:val="0"/>
              <w:marBottom w:val="0"/>
              <w:divBdr>
                <w:top w:val="none" w:sz="0" w:space="0" w:color="auto"/>
                <w:left w:val="none" w:sz="0" w:space="0" w:color="auto"/>
                <w:bottom w:val="none" w:sz="0" w:space="0" w:color="auto"/>
                <w:right w:val="none" w:sz="0" w:space="0" w:color="auto"/>
              </w:divBdr>
              <w:divsChild>
                <w:div w:id="659237982">
                  <w:marLeft w:val="0"/>
                  <w:marRight w:val="0"/>
                  <w:marTop w:val="0"/>
                  <w:marBottom w:val="0"/>
                  <w:divBdr>
                    <w:top w:val="none" w:sz="0" w:space="0" w:color="auto"/>
                    <w:left w:val="none" w:sz="0" w:space="0" w:color="auto"/>
                    <w:bottom w:val="none" w:sz="0" w:space="0" w:color="auto"/>
                    <w:right w:val="none" w:sz="0" w:space="0" w:color="auto"/>
                  </w:divBdr>
                </w:div>
              </w:divsChild>
            </w:div>
            <w:div w:id="555120892">
              <w:marLeft w:val="0"/>
              <w:marRight w:val="0"/>
              <w:marTop w:val="0"/>
              <w:marBottom w:val="0"/>
              <w:divBdr>
                <w:top w:val="none" w:sz="0" w:space="0" w:color="auto"/>
                <w:left w:val="none" w:sz="0" w:space="0" w:color="auto"/>
                <w:bottom w:val="none" w:sz="0" w:space="0" w:color="auto"/>
                <w:right w:val="none" w:sz="0" w:space="0" w:color="auto"/>
              </w:divBdr>
              <w:divsChild>
                <w:div w:id="351229011">
                  <w:marLeft w:val="0"/>
                  <w:marRight w:val="0"/>
                  <w:marTop w:val="0"/>
                  <w:marBottom w:val="0"/>
                  <w:divBdr>
                    <w:top w:val="none" w:sz="0" w:space="0" w:color="auto"/>
                    <w:left w:val="none" w:sz="0" w:space="0" w:color="auto"/>
                    <w:bottom w:val="none" w:sz="0" w:space="0" w:color="auto"/>
                    <w:right w:val="none" w:sz="0" w:space="0" w:color="auto"/>
                  </w:divBdr>
                </w:div>
              </w:divsChild>
            </w:div>
            <w:div w:id="555167309">
              <w:marLeft w:val="0"/>
              <w:marRight w:val="0"/>
              <w:marTop w:val="0"/>
              <w:marBottom w:val="0"/>
              <w:divBdr>
                <w:top w:val="none" w:sz="0" w:space="0" w:color="auto"/>
                <w:left w:val="none" w:sz="0" w:space="0" w:color="auto"/>
                <w:bottom w:val="none" w:sz="0" w:space="0" w:color="auto"/>
                <w:right w:val="none" w:sz="0" w:space="0" w:color="auto"/>
              </w:divBdr>
              <w:divsChild>
                <w:div w:id="1923753047">
                  <w:marLeft w:val="0"/>
                  <w:marRight w:val="0"/>
                  <w:marTop w:val="0"/>
                  <w:marBottom w:val="0"/>
                  <w:divBdr>
                    <w:top w:val="none" w:sz="0" w:space="0" w:color="auto"/>
                    <w:left w:val="none" w:sz="0" w:space="0" w:color="auto"/>
                    <w:bottom w:val="none" w:sz="0" w:space="0" w:color="auto"/>
                    <w:right w:val="none" w:sz="0" w:space="0" w:color="auto"/>
                  </w:divBdr>
                </w:div>
              </w:divsChild>
            </w:div>
            <w:div w:id="555237735">
              <w:marLeft w:val="0"/>
              <w:marRight w:val="0"/>
              <w:marTop w:val="0"/>
              <w:marBottom w:val="0"/>
              <w:divBdr>
                <w:top w:val="none" w:sz="0" w:space="0" w:color="auto"/>
                <w:left w:val="none" w:sz="0" w:space="0" w:color="auto"/>
                <w:bottom w:val="none" w:sz="0" w:space="0" w:color="auto"/>
                <w:right w:val="none" w:sz="0" w:space="0" w:color="auto"/>
              </w:divBdr>
              <w:divsChild>
                <w:div w:id="133300628">
                  <w:marLeft w:val="0"/>
                  <w:marRight w:val="0"/>
                  <w:marTop w:val="0"/>
                  <w:marBottom w:val="0"/>
                  <w:divBdr>
                    <w:top w:val="none" w:sz="0" w:space="0" w:color="auto"/>
                    <w:left w:val="none" w:sz="0" w:space="0" w:color="auto"/>
                    <w:bottom w:val="none" w:sz="0" w:space="0" w:color="auto"/>
                    <w:right w:val="none" w:sz="0" w:space="0" w:color="auto"/>
                  </w:divBdr>
                </w:div>
              </w:divsChild>
            </w:div>
            <w:div w:id="555816480">
              <w:marLeft w:val="0"/>
              <w:marRight w:val="0"/>
              <w:marTop w:val="300"/>
              <w:marBottom w:val="300"/>
              <w:divBdr>
                <w:top w:val="none" w:sz="0" w:space="0" w:color="auto"/>
                <w:left w:val="none" w:sz="0" w:space="0" w:color="auto"/>
                <w:bottom w:val="none" w:sz="0" w:space="0" w:color="auto"/>
                <w:right w:val="none" w:sz="0" w:space="0" w:color="auto"/>
              </w:divBdr>
            </w:div>
            <w:div w:id="555820541">
              <w:marLeft w:val="0"/>
              <w:marRight w:val="0"/>
              <w:marTop w:val="0"/>
              <w:marBottom w:val="0"/>
              <w:divBdr>
                <w:top w:val="none" w:sz="0" w:space="0" w:color="auto"/>
                <w:left w:val="none" w:sz="0" w:space="0" w:color="auto"/>
                <w:bottom w:val="none" w:sz="0" w:space="0" w:color="auto"/>
                <w:right w:val="none" w:sz="0" w:space="0" w:color="auto"/>
              </w:divBdr>
              <w:divsChild>
                <w:div w:id="491917691">
                  <w:marLeft w:val="0"/>
                  <w:marRight w:val="0"/>
                  <w:marTop w:val="0"/>
                  <w:marBottom w:val="0"/>
                  <w:divBdr>
                    <w:top w:val="none" w:sz="0" w:space="0" w:color="auto"/>
                    <w:left w:val="none" w:sz="0" w:space="0" w:color="auto"/>
                    <w:bottom w:val="none" w:sz="0" w:space="0" w:color="auto"/>
                    <w:right w:val="none" w:sz="0" w:space="0" w:color="auto"/>
                  </w:divBdr>
                </w:div>
              </w:divsChild>
            </w:div>
            <w:div w:id="556010619">
              <w:marLeft w:val="0"/>
              <w:marRight w:val="0"/>
              <w:marTop w:val="0"/>
              <w:marBottom w:val="0"/>
              <w:divBdr>
                <w:top w:val="none" w:sz="0" w:space="0" w:color="auto"/>
                <w:left w:val="none" w:sz="0" w:space="0" w:color="auto"/>
                <w:bottom w:val="none" w:sz="0" w:space="0" w:color="auto"/>
                <w:right w:val="none" w:sz="0" w:space="0" w:color="auto"/>
              </w:divBdr>
              <w:divsChild>
                <w:div w:id="1123226776">
                  <w:marLeft w:val="0"/>
                  <w:marRight w:val="0"/>
                  <w:marTop w:val="0"/>
                  <w:marBottom w:val="0"/>
                  <w:divBdr>
                    <w:top w:val="none" w:sz="0" w:space="0" w:color="auto"/>
                    <w:left w:val="none" w:sz="0" w:space="0" w:color="auto"/>
                    <w:bottom w:val="none" w:sz="0" w:space="0" w:color="auto"/>
                    <w:right w:val="none" w:sz="0" w:space="0" w:color="auto"/>
                  </w:divBdr>
                </w:div>
              </w:divsChild>
            </w:div>
            <w:div w:id="556206454">
              <w:marLeft w:val="0"/>
              <w:marRight w:val="0"/>
              <w:marTop w:val="0"/>
              <w:marBottom w:val="0"/>
              <w:divBdr>
                <w:top w:val="none" w:sz="0" w:space="0" w:color="auto"/>
                <w:left w:val="none" w:sz="0" w:space="0" w:color="auto"/>
                <w:bottom w:val="none" w:sz="0" w:space="0" w:color="auto"/>
                <w:right w:val="none" w:sz="0" w:space="0" w:color="auto"/>
              </w:divBdr>
              <w:divsChild>
                <w:div w:id="826094189">
                  <w:marLeft w:val="0"/>
                  <w:marRight w:val="0"/>
                  <w:marTop w:val="0"/>
                  <w:marBottom w:val="0"/>
                  <w:divBdr>
                    <w:top w:val="none" w:sz="0" w:space="0" w:color="auto"/>
                    <w:left w:val="none" w:sz="0" w:space="0" w:color="auto"/>
                    <w:bottom w:val="none" w:sz="0" w:space="0" w:color="auto"/>
                    <w:right w:val="none" w:sz="0" w:space="0" w:color="auto"/>
                  </w:divBdr>
                </w:div>
              </w:divsChild>
            </w:div>
            <w:div w:id="557667679">
              <w:marLeft w:val="0"/>
              <w:marRight w:val="0"/>
              <w:marTop w:val="0"/>
              <w:marBottom w:val="0"/>
              <w:divBdr>
                <w:top w:val="none" w:sz="0" w:space="0" w:color="auto"/>
                <w:left w:val="none" w:sz="0" w:space="0" w:color="auto"/>
                <w:bottom w:val="none" w:sz="0" w:space="0" w:color="auto"/>
                <w:right w:val="none" w:sz="0" w:space="0" w:color="auto"/>
              </w:divBdr>
              <w:divsChild>
                <w:div w:id="965239779">
                  <w:marLeft w:val="0"/>
                  <w:marRight w:val="0"/>
                  <w:marTop w:val="0"/>
                  <w:marBottom w:val="0"/>
                  <w:divBdr>
                    <w:top w:val="none" w:sz="0" w:space="0" w:color="auto"/>
                    <w:left w:val="none" w:sz="0" w:space="0" w:color="auto"/>
                    <w:bottom w:val="none" w:sz="0" w:space="0" w:color="auto"/>
                    <w:right w:val="none" w:sz="0" w:space="0" w:color="auto"/>
                  </w:divBdr>
                </w:div>
              </w:divsChild>
            </w:div>
            <w:div w:id="558128008">
              <w:marLeft w:val="0"/>
              <w:marRight w:val="0"/>
              <w:marTop w:val="0"/>
              <w:marBottom w:val="0"/>
              <w:divBdr>
                <w:top w:val="none" w:sz="0" w:space="0" w:color="auto"/>
                <w:left w:val="none" w:sz="0" w:space="0" w:color="auto"/>
                <w:bottom w:val="none" w:sz="0" w:space="0" w:color="auto"/>
                <w:right w:val="none" w:sz="0" w:space="0" w:color="auto"/>
              </w:divBdr>
              <w:divsChild>
                <w:div w:id="693648906">
                  <w:marLeft w:val="0"/>
                  <w:marRight w:val="0"/>
                  <w:marTop w:val="0"/>
                  <w:marBottom w:val="0"/>
                  <w:divBdr>
                    <w:top w:val="none" w:sz="0" w:space="0" w:color="auto"/>
                    <w:left w:val="none" w:sz="0" w:space="0" w:color="auto"/>
                    <w:bottom w:val="none" w:sz="0" w:space="0" w:color="auto"/>
                    <w:right w:val="none" w:sz="0" w:space="0" w:color="auto"/>
                  </w:divBdr>
                </w:div>
              </w:divsChild>
            </w:div>
            <w:div w:id="560098728">
              <w:marLeft w:val="0"/>
              <w:marRight w:val="0"/>
              <w:marTop w:val="0"/>
              <w:marBottom w:val="0"/>
              <w:divBdr>
                <w:top w:val="none" w:sz="0" w:space="0" w:color="auto"/>
                <w:left w:val="none" w:sz="0" w:space="0" w:color="auto"/>
                <w:bottom w:val="none" w:sz="0" w:space="0" w:color="auto"/>
                <w:right w:val="none" w:sz="0" w:space="0" w:color="auto"/>
              </w:divBdr>
              <w:divsChild>
                <w:div w:id="1057822402">
                  <w:marLeft w:val="0"/>
                  <w:marRight w:val="0"/>
                  <w:marTop w:val="0"/>
                  <w:marBottom w:val="0"/>
                  <w:divBdr>
                    <w:top w:val="none" w:sz="0" w:space="0" w:color="auto"/>
                    <w:left w:val="none" w:sz="0" w:space="0" w:color="auto"/>
                    <w:bottom w:val="none" w:sz="0" w:space="0" w:color="auto"/>
                    <w:right w:val="none" w:sz="0" w:space="0" w:color="auto"/>
                  </w:divBdr>
                </w:div>
              </w:divsChild>
            </w:div>
            <w:div w:id="569773198">
              <w:marLeft w:val="0"/>
              <w:marRight w:val="0"/>
              <w:marTop w:val="300"/>
              <w:marBottom w:val="300"/>
              <w:divBdr>
                <w:top w:val="none" w:sz="0" w:space="0" w:color="auto"/>
                <w:left w:val="none" w:sz="0" w:space="0" w:color="auto"/>
                <w:bottom w:val="none" w:sz="0" w:space="0" w:color="auto"/>
                <w:right w:val="none" w:sz="0" w:space="0" w:color="auto"/>
              </w:divBdr>
            </w:div>
            <w:div w:id="573320284">
              <w:marLeft w:val="0"/>
              <w:marRight w:val="0"/>
              <w:marTop w:val="300"/>
              <w:marBottom w:val="300"/>
              <w:divBdr>
                <w:top w:val="none" w:sz="0" w:space="0" w:color="auto"/>
                <w:left w:val="none" w:sz="0" w:space="0" w:color="auto"/>
                <w:bottom w:val="none" w:sz="0" w:space="0" w:color="auto"/>
                <w:right w:val="none" w:sz="0" w:space="0" w:color="auto"/>
              </w:divBdr>
            </w:div>
            <w:div w:id="574365355">
              <w:marLeft w:val="0"/>
              <w:marRight w:val="0"/>
              <w:marTop w:val="0"/>
              <w:marBottom w:val="0"/>
              <w:divBdr>
                <w:top w:val="none" w:sz="0" w:space="0" w:color="auto"/>
                <w:left w:val="none" w:sz="0" w:space="0" w:color="auto"/>
                <w:bottom w:val="none" w:sz="0" w:space="0" w:color="auto"/>
                <w:right w:val="none" w:sz="0" w:space="0" w:color="auto"/>
              </w:divBdr>
              <w:divsChild>
                <w:div w:id="2031568655">
                  <w:marLeft w:val="0"/>
                  <w:marRight w:val="0"/>
                  <w:marTop w:val="0"/>
                  <w:marBottom w:val="0"/>
                  <w:divBdr>
                    <w:top w:val="none" w:sz="0" w:space="0" w:color="auto"/>
                    <w:left w:val="none" w:sz="0" w:space="0" w:color="auto"/>
                    <w:bottom w:val="none" w:sz="0" w:space="0" w:color="auto"/>
                    <w:right w:val="none" w:sz="0" w:space="0" w:color="auto"/>
                  </w:divBdr>
                </w:div>
              </w:divsChild>
            </w:div>
            <w:div w:id="574583568">
              <w:marLeft w:val="0"/>
              <w:marRight w:val="0"/>
              <w:marTop w:val="0"/>
              <w:marBottom w:val="0"/>
              <w:divBdr>
                <w:top w:val="none" w:sz="0" w:space="0" w:color="auto"/>
                <w:left w:val="none" w:sz="0" w:space="0" w:color="auto"/>
                <w:bottom w:val="none" w:sz="0" w:space="0" w:color="auto"/>
                <w:right w:val="none" w:sz="0" w:space="0" w:color="auto"/>
              </w:divBdr>
              <w:divsChild>
                <w:div w:id="1101337312">
                  <w:marLeft w:val="0"/>
                  <w:marRight w:val="0"/>
                  <w:marTop w:val="0"/>
                  <w:marBottom w:val="0"/>
                  <w:divBdr>
                    <w:top w:val="none" w:sz="0" w:space="0" w:color="auto"/>
                    <w:left w:val="none" w:sz="0" w:space="0" w:color="auto"/>
                    <w:bottom w:val="none" w:sz="0" w:space="0" w:color="auto"/>
                    <w:right w:val="none" w:sz="0" w:space="0" w:color="auto"/>
                  </w:divBdr>
                </w:div>
              </w:divsChild>
            </w:div>
            <w:div w:id="575554526">
              <w:marLeft w:val="0"/>
              <w:marRight w:val="0"/>
              <w:marTop w:val="0"/>
              <w:marBottom w:val="0"/>
              <w:divBdr>
                <w:top w:val="none" w:sz="0" w:space="0" w:color="auto"/>
                <w:left w:val="none" w:sz="0" w:space="0" w:color="auto"/>
                <w:bottom w:val="none" w:sz="0" w:space="0" w:color="auto"/>
                <w:right w:val="none" w:sz="0" w:space="0" w:color="auto"/>
              </w:divBdr>
              <w:divsChild>
                <w:div w:id="670302999">
                  <w:marLeft w:val="0"/>
                  <w:marRight w:val="0"/>
                  <w:marTop w:val="0"/>
                  <w:marBottom w:val="0"/>
                  <w:divBdr>
                    <w:top w:val="none" w:sz="0" w:space="0" w:color="auto"/>
                    <w:left w:val="none" w:sz="0" w:space="0" w:color="auto"/>
                    <w:bottom w:val="none" w:sz="0" w:space="0" w:color="auto"/>
                    <w:right w:val="none" w:sz="0" w:space="0" w:color="auto"/>
                  </w:divBdr>
                </w:div>
              </w:divsChild>
            </w:div>
            <w:div w:id="575748997">
              <w:marLeft w:val="0"/>
              <w:marRight w:val="0"/>
              <w:marTop w:val="0"/>
              <w:marBottom w:val="0"/>
              <w:divBdr>
                <w:top w:val="none" w:sz="0" w:space="0" w:color="auto"/>
                <w:left w:val="none" w:sz="0" w:space="0" w:color="auto"/>
                <w:bottom w:val="none" w:sz="0" w:space="0" w:color="auto"/>
                <w:right w:val="none" w:sz="0" w:space="0" w:color="auto"/>
              </w:divBdr>
              <w:divsChild>
                <w:div w:id="1468402443">
                  <w:marLeft w:val="0"/>
                  <w:marRight w:val="0"/>
                  <w:marTop w:val="0"/>
                  <w:marBottom w:val="0"/>
                  <w:divBdr>
                    <w:top w:val="none" w:sz="0" w:space="0" w:color="auto"/>
                    <w:left w:val="none" w:sz="0" w:space="0" w:color="auto"/>
                    <w:bottom w:val="none" w:sz="0" w:space="0" w:color="auto"/>
                    <w:right w:val="none" w:sz="0" w:space="0" w:color="auto"/>
                  </w:divBdr>
                </w:div>
              </w:divsChild>
            </w:div>
            <w:div w:id="576016091">
              <w:marLeft w:val="0"/>
              <w:marRight w:val="0"/>
              <w:marTop w:val="300"/>
              <w:marBottom w:val="300"/>
              <w:divBdr>
                <w:top w:val="none" w:sz="0" w:space="0" w:color="auto"/>
                <w:left w:val="none" w:sz="0" w:space="0" w:color="auto"/>
                <w:bottom w:val="none" w:sz="0" w:space="0" w:color="auto"/>
                <w:right w:val="none" w:sz="0" w:space="0" w:color="auto"/>
              </w:divBdr>
            </w:div>
            <w:div w:id="578440249">
              <w:marLeft w:val="0"/>
              <w:marRight w:val="0"/>
              <w:marTop w:val="300"/>
              <w:marBottom w:val="300"/>
              <w:divBdr>
                <w:top w:val="none" w:sz="0" w:space="0" w:color="auto"/>
                <w:left w:val="none" w:sz="0" w:space="0" w:color="auto"/>
                <w:bottom w:val="none" w:sz="0" w:space="0" w:color="auto"/>
                <w:right w:val="none" w:sz="0" w:space="0" w:color="auto"/>
              </w:divBdr>
            </w:div>
            <w:div w:id="579757050">
              <w:marLeft w:val="0"/>
              <w:marRight w:val="0"/>
              <w:marTop w:val="0"/>
              <w:marBottom w:val="0"/>
              <w:divBdr>
                <w:top w:val="none" w:sz="0" w:space="0" w:color="auto"/>
                <w:left w:val="none" w:sz="0" w:space="0" w:color="auto"/>
                <w:bottom w:val="none" w:sz="0" w:space="0" w:color="auto"/>
                <w:right w:val="none" w:sz="0" w:space="0" w:color="auto"/>
              </w:divBdr>
              <w:divsChild>
                <w:div w:id="1526215855">
                  <w:marLeft w:val="0"/>
                  <w:marRight w:val="0"/>
                  <w:marTop w:val="0"/>
                  <w:marBottom w:val="0"/>
                  <w:divBdr>
                    <w:top w:val="none" w:sz="0" w:space="0" w:color="auto"/>
                    <w:left w:val="none" w:sz="0" w:space="0" w:color="auto"/>
                    <w:bottom w:val="none" w:sz="0" w:space="0" w:color="auto"/>
                    <w:right w:val="none" w:sz="0" w:space="0" w:color="auto"/>
                  </w:divBdr>
                </w:div>
              </w:divsChild>
            </w:div>
            <w:div w:id="579797745">
              <w:marLeft w:val="0"/>
              <w:marRight w:val="0"/>
              <w:marTop w:val="0"/>
              <w:marBottom w:val="0"/>
              <w:divBdr>
                <w:top w:val="none" w:sz="0" w:space="0" w:color="auto"/>
                <w:left w:val="none" w:sz="0" w:space="0" w:color="auto"/>
                <w:bottom w:val="none" w:sz="0" w:space="0" w:color="auto"/>
                <w:right w:val="none" w:sz="0" w:space="0" w:color="auto"/>
              </w:divBdr>
              <w:divsChild>
                <w:div w:id="2125877138">
                  <w:marLeft w:val="0"/>
                  <w:marRight w:val="0"/>
                  <w:marTop w:val="0"/>
                  <w:marBottom w:val="0"/>
                  <w:divBdr>
                    <w:top w:val="none" w:sz="0" w:space="0" w:color="auto"/>
                    <w:left w:val="none" w:sz="0" w:space="0" w:color="auto"/>
                    <w:bottom w:val="none" w:sz="0" w:space="0" w:color="auto"/>
                    <w:right w:val="none" w:sz="0" w:space="0" w:color="auto"/>
                  </w:divBdr>
                </w:div>
              </w:divsChild>
            </w:div>
            <w:div w:id="582766144">
              <w:marLeft w:val="0"/>
              <w:marRight w:val="0"/>
              <w:marTop w:val="0"/>
              <w:marBottom w:val="0"/>
              <w:divBdr>
                <w:top w:val="none" w:sz="0" w:space="0" w:color="auto"/>
                <w:left w:val="none" w:sz="0" w:space="0" w:color="auto"/>
                <w:bottom w:val="none" w:sz="0" w:space="0" w:color="auto"/>
                <w:right w:val="none" w:sz="0" w:space="0" w:color="auto"/>
              </w:divBdr>
              <w:divsChild>
                <w:div w:id="1761756009">
                  <w:marLeft w:val="0"/>
                  <w:marRight w:val="0"/>
                  <w:marTop w:val="0"/>
                  <w:marBottom w:val="0"/>
                  <w:divBdr>
                    <w:top w:val="none" w:sz="0" w:space="0" w:color="auto"/>
                    <w:left w:val="none" w:sz="0" w:space="0" w:color="auto"/>
                    <w:bottom w:val="none" w:sz="0" w:space="0" w:color="auto"/>
                    <w:right w:val="none" w:sz="0" w:space="0" w:color="auto"/>
                  </w:divBdr>
                </w:div>
              </w:divsChild>
            </w:div>
            <w:div w:id="585042587">
              <w:marLeft w:val="0"/>
              <w:marRight w:val="0"/>
              <w:marTop w:val="0"/>
              <w:marBottom w:val="0"/>
              <w:divBdr>
                <w:top w:val="none" w:sz="0" w:space="0" w:color="auto"/>
                <w:left w:val="none" w:sz="0" w:space="0" w:color="auto"/>
                <w:bottom w:val="none" w:sz="0" w:space="0" w:color="auto"/>
                <w:right w:val="none" w:sz="0" w:space="0" w:color="auto"/>
              </w:divBdr>
              <w:divsChild>
                <w:div w:id="517502992">
                  <w:marLeft w:val="0"/>
                  <w:marRight w:val="0"/>
                  <w:marTop w:val="0"/>
                  <w:marBottom w:val="0"/>
                  <w:divBdr>
                    <w:top w:val="none" w:sz="0" w:space="0" w:color="auto"/>
                    <w:left w:val="none" w:sz="0" w:space="0" w:color="auto"/>
                    <w:bottom w:val="none" w:sz="0" w:space="0" w:color="auto"/>
                    <w:right w:val="none" w:sz="0" w:space="0" w:color="auto"/>
                  </w:divBdr>
                </w:div>
              </w:divsChild>
            </w:div>
            <w:div w:id="585773798">
              <w:marLeft w:val="0"/>
              <w:marRight w:val="0"/>
              <w:marTop w:val="300"/>
              <w:marBottom w:val="300"/>
              <w:divBdr>
                <w:top w:val="none" w:sz="0" w:space="0" w:color="auto"/>
                <w:left w:val="none" w:sz="0" w:space="0" w:color="auto"/>
                <w:bottom w:val="none" w:sz="0" w:space="0" w:color="auto"/>
                <w:right w:val="none" w:sz="0" w:space="0" w:color="auto"/>
              </w:divBdr>
            </w:div>
            <w:div w:id="587277427">
              <w:marLeft w:val="0"/>
              <w:marRight w:val="0"/>
              <w:marTop w:val="0"/>
              <w:marBottom w:val="0"/>
              <w:divBdr>
                <w:top w:val="none" w:sz="0" w:space="0" w:color="auto"/>
                <w:left w:val="none" w:sz="0" w:space="0" w:color="auto"/>
                <w:bottom w:val="none" w:sz="0" w:space="0" w:color="auto"/>
                <w:right w:val="none" w:sz="0" w:space="0" w:color="auto"/>
              </w:divBdr>
              <w:divsChild>
                <w:div w:id="828056563">
                  <w:marLeft w:val="0"/>
                  <w:marRight w:val="0"/>
                  <w:marTop w:val="0"/>
                  <w:marBottom w:val="0"/>
                  <w:divBdr>
                    <w:top w:val="none" w:sz="0" w:space="0" w:color="auto"/>
                    <w:left w:val="none" w:sz="0" w:space="0" w:color="auto"/>
                    <w:bottom w:val="none" w:sz="0" w:space="0" w:color="auto"/>
                    <w:right w:val="none" w:sz="0" w:space="0" w:color="auto"/>
                  </w:divBdr>
                </w:div>
              </w:divsChild>
            </w:div>
            <w:div w:id="588582353">
              <w:marLeft w:val="0"/>
              <w:marRight w:val="0"/>
              <w:marTop w:val="0"/>
              <w:marBottom w:val="0"/>
              <w:divBdr>
                <w:top w:val="none" w:sz="0" w:space="0" w:color="auto"/>
                <w:left w:val="none" w:sz="0" w:space="0" w:color="auto"/>
                <w:bottom w:val="none" w:sz="0" w:space="0" w:color="auto"/>
                <w:right w:val="none" w:sz="0" w:space="0" w:color="auto"/>
              </w:divBdr>
              <w:divsChild>
                <w:div w:id="796685144">
                  <w:marLeft w:val="0"/>
                  <w:marRight w:val="0"/>
                  <w:marTop w:val="0"/>
                  <w:marBottom w:val="0"/>
                  <w:divBdr>
                    <w:top w:val="none" w:sz="0" w:space="0" w:color="auto"/>
                    <w:left w:val="none" w:sz="0" w:space="0" w:color="auto"/>
                    <w:bottom w:val="none" w:sz="0" w:space="0" w:color="auto"/>
                    <w:right w:val="none" w:sz="0" w:space="0" w:color="auto"/>
                  </w:divBdr>
                </w:div>
              </w:divsChild>
            </w:div>
            <w:div w:id="589050805">
              <w:marLeft w:val="0"/>
              <w:marRight w:val="0"/>
              <w:marTop w:val="0"/>
              <w:marBottom w:val="0"/>
              <w:divBdr>
                <w:top w:val="none" w:sz="0" w:space="0" w:color="auto"/>
                <w:left w:val="none" w:sz="0" w:space="0" w:color="auto"/>
                <w:bottom w:val="none" w:sz="0" w:space="0" w:color="auto"/>
                <w:right w:val="none" w:sz="0" w:space="0" w:color="auto"/>
              </w:divBdr>
              <w:divsChild>
                <w:div w:id="1729186599">
                  <w:marLeft w:val="0"/>
                  <w:marRight w:val="0"/>
                  <w:marTop w:val="0"/>
                  <w:marBottom w:val="0"/>
                  <w:divBdr>
                    <w:top w:val="none" w:sz="0" w:space="0" w:color="auto"/>
                    <w:left w:val="none" w:sz="0" w:space="0" w:color="auto"/>
                    <w:bottom w:val="none" w:sz="0" w:space="0" w:color="auto"/>
                    <w:right w:val="none" w:sz="0" w:space="0" w:color="auto"/>
                  </w:divBdr>
                </w:div>
              </w:divsChild>
            </w:div>
            <w:div w:id="589585452">
              <w:marLeft w:val="0"/>
              <w:marRight w:val="0"/>
              <w:marTop w:val="300"/>
              <w:marBottom w:val="300"/>
              <w:divBdr>
                <w:top w:val="none" w:sz="0" w:space="0" w:color="auto"/>
                <w:left w:val="none" w:sz="0" w:space="0" w:color="auto"/>
                <w:bottom w:val="none" w:sz="0" w:space="0" w:color="auto"/>
                <w:right w:val="none" w:sz="0" w:space="0" w:color="auto"/>
              </w:divBdr>
            </w:div>
            <w:div w:id="591859877">
              <w:marLeft w:val="0"/>
              <w:marRight w:val="0"/>
              <w:marTop w:val="0"/>
              <w:marBottom w:val="0"/>
              <w:divBdr>
                <w:top w:val="none" w:sz="0" w:space="0" w:color="auto"/>
                <w:left w:val="none" w:sz="0" w:space="0" w:color="auto"/>
                <w:bottom w:val="none" w:sz="0" w:space="0" w:color="auto"/>
                <w:right w:val="none" w:sz="0" w:space="0" w:color="auto"/>
              </w:divBdr>
              <w:divsChild>
                <w:div w:id="1830972761">
                  <w:marLeft w:val="0"/>
                  <w:marRight w:val="0"/>
                  <w:marTop w:val="0"/>
                  <w:marBottom w:val="0"/>
                  <w:divBdr>
                    <w:top w:val="none" w:sz="0" w:space="0" w:color="auto"/>
                    <w:left w:val="none" w:sz="0" w:space="0" w:color="auto"/>
                    <w:bottom w:val="none" w:sz="0" w:space="0" w:color="auto"/>
                    <w:right w:val="none" w:sz="0" w:space="0" w:color="auto"/>
                  </w:divBdr>
                </w:div>
              </w:divsChild>
            </w:div>
            <w:div w:id="591860666">
              <w:marLeft w:val="0"/>
              <w:marRight w:val="0"/>
              <w:marTop w:val="0"/>
              <w:marBottom w:val="0"/>
              <w:divBdr>
                <w:top w:val="none" w:sz="0" w:space="0" w:color="auto"/>
                <w:left w:val="none" w:sz="0" w:space="0" w:color="auto"/>
                <w:bottom w:val="none" w:sz="0" w:space="0" w:color="auto"/>
                <w:right w:val="none" w:sz="0" w:space="0" w:color="auto"/>
              </w:divBdr>
              <w:divsChild>
                <w:div w:id="1447891019">
                  <w:marLeft w:val="0"/>
                  <w:marRight w:val="0"/>
                  <w:marTop w:val="0"/>
                  <w:marBottom w:val="0"/>
                  <w:divBdr>
                    <w:top w:val="none" w:sz="0" w:space="0" w:color="auto"/>
                    <w:left w:val="none" w:sz="0" w:space="0" w:color="auto"/>
                    <w:bottom w:val="none" w:sz="0" w:space="0" w:color="auto"/>
                    <w:right w:val="none" w:sz="0" w:space="0" w:color="auto"/>
                  </w:divBdr>
                </w:div>
              </w:divsChild>
            </w:div>
            <w:div w:id="592325196">
              <w:marLeft w:val="0"/>
              <w:marRight w:val="0"/>
              <w:marTop w:val="300"/>
              <w:marBottom w:val="300"/>
              <w:divBdr>
                <w:top w:val="none" w:sz="0" w:space="0" w:color="auto"/>
                <w:left w:val="none" w:sz="0" w:space="0" w:color="auto"/>
                <w:bottom w:val="none" w:sz="0" w:space="0" w:color="auto"/>
                <w:right w:val="none" w:sz="0" w:space="0" w:color="auto"/>
              </w:divBdr>
            </w:div>
            <w:div w:id="593906532">
              <w:marLeft w:val="0"/>
              <w:marRight w:val="0"/>
              <w:marTop w:val="0"/>
              <w:marBottom w:val="0"/>
              <w:divBdr>
                <w:top w:val="none" w:sz="0" w:space="0" w:color="auto"/>
                <w:left w:val="none" w:sz="0" w:space="0" w:color="auto"/>
                <w:bottom w:val="none" w:sz="0" w:space="0" w:color="auto"/>
                <w:right w:val="none" w:sz="0" w:space="0" w:color="auto"/>
              </w:divBdr>
              <w:divsChild>
                <w:div w:id="550993790">
                  <w:marLeft w:val="0"/>
                  <w:marRight w:val="0"/>
                  <w:marTop w:val="0"/>
                  <w:marBottom w:val="0"/>
                  <w:divBdr>
                    <w:top w:val="none" w:sz="0" w:space="0" w:color="auto"/>
                    <w:left w:val="none" w:sz="0" w:space="0" w:color="auto"/>
                    <w:bottom w:val="none" w:sz="0" w:space="0" w:color="auto"/>
                    <w:right w:val="none" w:sz="0" w:space="0" w:color="auto"/>
                  </w:divBdr>
                </w:div>
              </w:divsChild>
            </w:div>
            <w:div w:id="594286374">
              <w:marLeft w:val="0"/>
              <w:marRight w:val="0"/>
              <w:marTop w:val="0"/>
              <w:marBottom w:val="0"/>
              <w:divBdr>
                <w:top w:val="none" w:sz="0" w:space="0" w:color="auto"/>
                <w:left w:val="none" w:sz="0" w:space="0" w:color="auto"/>
                <w:bottom w:val="none" w:sz="0" w:space="0" w:color="auto"/>
                <w:right w:val="none" w:sz="0" w:space="0" w:color="auto"/>
              </w:divBdr>
              <w:divsChild>
                <w:div w:id="1278637839">
                  <w:marLeft w:val="0"/>
                  <w:marRight w:val="0"/>
                  <w:marTop w:val="0"/>
                  <w:marBottom w:val="0"/>
                  <w:divBdr>
                    <w:top w:val="none" w:sz="0" w:space="0" w:color="auto"/>
                    <w:left w:val="none" w:sz="0" w:space="0" w:color="auto"/>
                    <w:bottom w:val="none" w:sz="0" w:space="0" w:color="auto"/>
                    <w:right w:val="none" w:sz="0" w:space="0" w:color="auto"/>
                  </w:divBdr>
                </w:div>
              </w:divsChild>
            </w:div>
            <w:div w:id="595138627">
              <w:marLeft w:val="0"/>
              <w:marRight w:val="0"/>
              <w:marTop w:val="0"/>
              <w:marBottom w:val="0"/>
              <w:divBdr>
                <w:top w:val="none" w:sz="0" w:space="0" w:color="auto"/>
                <w:left w:val="none" w:sz="0" w:space="0" w:color="auto"/>
                <w:bottom w:val="none" w:sz="0" w:space="0" w:color="auto"/>
                <w:right w:val="none" w:sz="0" w:space="0" w:color="auto"/>
              </w:divBdr>
              <w:divsChild>
                <w:div w:id="979188060">
                  <w:marLeft w:val="0"/>
                  <w:marRight w:val="0"/>
                  <w:marTop w:val="0"/>
                  <w:marBottom w:val="0"/>
                  <w:divBdr>
                    <w:top w:val="none" w:sz="0" w:space="0" w:color="auto"/>
                    <w:left w:val="none" w:sz="0" w:space="0" w:color="auto"/>
                    <w:bottom w:val="none" w:sz="0" w:space="0" w:color="auto"/>
                    <w:right w:val="none" w:sz="0" w:space="0" w:color="auto"/>
                  </w:divBdr>
                </w:div>
              </w:divsChild>
            </w:div>
            <w:div w:id="595140473">
              <w:marLeft w:val="0"/>
              <w:marRight w:val="0"/>
              <w:marTop w:val="0"/>
              <w:marBottom w:val="0"/>
              <w:divBdr>
                <w:top w:val="none" w:sz="0" w:space="0" w:color="auto"/>
                <w:left w:val="none" w:sz="0" w:space="0" w:color="auto"/>
                <w:bottom w:val="none" w:sz="0" w:space="0" w:color="auto"/>
                <w:right w:val="none" w:sz="0" w:space="0" w:color="auto"/>
              </w:divBdr>
              <w:divsChild>
                <w:div w:id="144129573">
                  <w:marLeft w:val="0"/>
                  <w:marRight w:val="0"/>
                  <w:marTop w:val="0"/>
                  <w:marBottom w:val="0"/>
                  <w:divBdr>
                    <w:top w:val="none" w:sz="0" w:space="0" w:color="auto"/>
                    <w:left w:val="none" w:sz="0" w:space="0" w:color="auto"/>
                    <w:bottom w:val="none" w:sz="0" w:space="0" w:color="auto"/>
                    <w:right w:val="none" w:sz="0" w:space="0" w:color="auto"/>
                  </w:divBdr>
                </w:div>
              </w:divsChild>
            </w:div>
            <w:div w:id="595283737">
              <w:marLeft w:val="0"/>
              <w:marRight w:val="0"/>
              <w:marTop w:val="0"/>
              <w:marBottom w:val="0"/>
              <w:divBdr>
                <w:top w:val="none" w:sz="0" w:space="0" w:color="auto"/>
                <w:left w:val="none" w:sz="0" w:space="0" w:color="auto"/>
                <w:bottom w:val="none" w:sz="0" w:space="0" w:color="auto"/>
                <w:right w:val="none" w:sz="0" w:space="0" w:color="auto"/>
              </w:divBdr>
              <w:divsChild>
                <w:div w:id="421297362">
                  <w:marLeft w:val="0"/>
                  <w:marRight w:val="0"/>
                  <w:marTop w:val="0"/>
                  <w:marBottom w:val="0"/>
                  <w:divBdr>
                    <w:top w:val="none" w:sz="0" w:space="0" w:color="auto"/>
                    <w:left w:val="none" w:sz="0" w:space="0" w:color="auto"/>
                    <w:bottom w:val="none" w:sz="0" w:space="0" w:color="auto"/>
                    <w:right w:val="none" w:sz="0" w:space="0" w:color="auto"/>
                  </w:divBdr>
                </w:div>
              </w:divsChild>
            </w:div>
            <w:div w:id="595672807">
              <w:marLeft w:val="0"/>
              <w:marRight w:val="0"/>
              <w:marTop w:val="0"/>
              <w:marBottom w:val="0"/>
              <w:divBdr>
                <w:top w:val="none" w:sz="0" w:space="0" w:color="auto"/>
                <w:left w:val="none" w:sz="0" w:space="0" w:color="auto"/>
                <w:bottom w:val="none" w:sz="0" w:space="0" w:color="auto"/>
                <w:right w:val="none" w:sz="0" w:space="0" w:color="auto"/>
              </w:divBdr>
              <w:divsChild>
                <w:div w:id="762801164">
                  <w:marLeft w:val="0"/>
                  <w:marRight w:val="0"/>
                  <w:marTop w:val="0"/>
                  <w:marBottom w:val="0"/>
                  <w:divBdr>
                    <w:top w:val="none" w:sz="0" w:space="0" w:color="auto"/>
                    <w:left w:val="none" w:sz="0" w:space="0" w:color="auto"/>
                    <w:bottom w:val="none" w:sz="0" w:space="0" w:color="auto"/>
                    <w:right w:val="none" w:sz="0" w:space="0" w:color="auto"/>
                  </w:divBdr>
                </w:div>
              </w:divsChild>
            </w:div>
            <w:div w:id="597106056">
              <w:marLeft w:val="0"/>
              <w:marRight w:val="0"/>
              <w:marTop w:val="0"/>
              <w:marBottom w:val="0"/>
              <w:divBdr>
                <w:top w:val="none" w:sz="0" w:space="0" w:color="auto"/>
                <w:left w:val="none" w:sz="0" w:space="0" w:color="auto"/>
                <w:bottom w:val="none" w:sz="0" w:space="0" w:color="auto"/>
                <w:right w:val="none" w:sz="0" w:space="0" w:color="auto"/>
              </w:divBdr>
              <w:divsChild>
                <w:div w:id="520239606">
                  <w:marLeft w:val="0"/>
                  <w:marRight w:val="0"/>
                  <w:marTop w:val="0"/>
                  <w:marBottom w:val="0"/>
                  <w:divBdr>
                    <w:top w:val="none" w:sz="0" w:space="0" w:color="auto"/>
                    <w:left w:val="none" w:sz="0" w:space="0" w:color="auto"/>
                    <w:bottom w:val="none" w:sz="0" w:space="0" w:color="auto"/>
                    <w:right w:val="none" w:sz="0" w:space="0" w:color="auto"/>
                  </w:divBdr>
                </w:div>
              </w:divsChild>
            </w:div>
            <w:div w:id="599992393">
              <w:marLeft w:val="0"/>
              <w:marRight w:val="0"/>
              <w:marTop w:val="0"/>
              <w:marBottom w:val="0"/>
              <w:divBdr>
                <w:top w:val="none" w:sz="0" w:space="0" w:color="auto"/>
                <w:left w:val="none" w:sz="0" w:space="0" w:color="auto"/>
                <w:bottom w:val="none" w:sz="0" w:space="0" w:color="auto"/>
                <w:right w:val="none" w:sz="0" w:space="0" w:color="auto"/>
              </w:divBdr>
            </w:div>
            <w:div w:id="600139901">
              <w:marLeft w:val="0"/>
              <w:marRight w:val="0"/>
              <w:marTop w:val="300"/>
              <w:marBottom w:val="300"/>
              <w:divBdr>
                <w:top w:val="none" w:sz="0" w:space="0" w:color="auto"/>
                <w:left w:val="none" w:sz="0" w:space="0" w:color="auto"/>
                <w:bottom w:val="none" w:sz="0" w:space="0" w:color="auto"/>
                <w:right w:val="none" w:sz="0" w:space="0" w:color="auto"/>
              </w:divBdr>
            </w:div>
            <w:div w:id="600339098">
              <w:marLeft w:val="0"/>
              <w:marRight w:val="0"/>
              <w:marTop w:val="300"/>
              <w:marBottom w:val="300"/>
              <w:divBdr>
                <w:top w:val="none" w:sz="0" w:space="0" w:color="auto"/>
                <w:left w:val="none" w:sz="0" w:space="0" w:color="auto"/>
                <w:bottom w:val="none" w:sz="0" w:space="0" w:color="auto"/>
                <w:right w:val="none" w:sz="0" w:space="0" w:color="auto"/>
              </w:divBdr>
            </w:div>
            <w:div w:id="601062557">
              <w:marLeft w:val="0"/>
              <w:marRight w:val="0"/>
              <w:marTop w:val="0"/>
              <w:marBottom w:val="0"/>
              <w:divBdr>
                <w:top w:val="none" w:sz="0" w:space="0" w:color="auto"/>
                <w:left w:val="none" w:sz="0" w:space="0" w:color="auto"/>
                <w:bottom w:val="none" w:sz="0" w:space="0" w:color="auto"/>
                <w:right w:val="none" w:sz="0" w:space="0" w:color="auto"/>
              </w:divBdr>
              <w:divsChild>
                <w:div w:id="1361206933">
                  <w:marLeft w:val="0"/>
                  <w:marRight w:val="0"/>
                  <w:marTop w:val="0"/>
                  <w:marBottom w:val="0"/>
                  <w:divBdr>
                    <w:top w:val="none" w:sz="0" w:space="0" w:color="auto"/>
                    <w:left w:val="none" w:sz="0" w:space="0" w:color="auto"/>
                    <w:bottom w:val="none" w:sz="0" w:space="0" w:color="auto"/>
                    <w:right w:val="none" w:sz="0" w:space="0" w:color="auto"/>
                  </w:divBdr>
                </w:div>
              </w:divsChild>
            </w:div>
            <w:div w:id="601109985">
              <w:marLeft w:val="0"/>
              <w:marRight w:val="0"/>
              <w:marTop w:val="0"/>
              <w:marBottom w:val="0"/>
              <w:divBdr>
                <w:top w:val="none" w:sz="0" w:space="0" w:color="auto"/>
                <w:left w:val="none" w:sz="0" w:space="0" w:color="auto"/>
                <w:bottom w:val="none" w:sz="0" w:space="0" w:color="auto"/>
                <w:right w:val="none" w:sz="0" w:space="0" w:color="auto"/>
              </w:divBdr>
              <w:divsChild>
                <w:div w:id="1079132659">
                  <w:marLeft w:val="0"/>
                  <w:marRight w:val="0"/>
                  <w:marTop w:val="0"/>
                  <w:marBottom w:val="0"/>
                  <w:divBdr>
                    <w:top w:val="none" w:sz="0" w:space="0" w:color="auto"/>
                    <w:left w:val="none" w:sz="0" w:space="0" w:color="auto"/>
                    <w:bottom w:val="none" w:sz="0" w:space="0" w:color="auto"/>
                    <w:right w:val="none" w:sz="0" w:space="0" w:color="auto"/>
                  </w:divBdr>
                </w:div>
              </w:divsChild>
            </w:div>
            <w:div w:id="601190005">
              <w:marLeft w:val="0"/>
              <w:marRight w:val="0"/>
              <w:marTop w:val="0"/>
              <w:marBottom w:val="0"/>
              <w:divBdr>
                <w:top w:val="none" w:sz="0" w:space="0" w:color="auto"/>
                <w:left w:val="none" w:sz="0" w:space="0" w:color="auto"/>
                <w:bottom w:val="none" w:sz="0" w:space="0" w:color="auto"/>
                <w:right w:val="none" w:sz="0" w:space="0" w:color="auto"/>
              </w:divBdr>
              <w:divsChild>
                <w:div w:id="425810177">
                  <w:marLeft w:val="0"/>
                  <w:marRight w:val="0"/>
                  <w:marTop w:val="0"/>
                  <w:marBottom w:val="0"/>
                  <w:divBdr>
                    <w:top w:val="none" w:sz="0" w:space="0" w:color="auto"/>
                    <w:left w:val="none" w:sz="0" w:space="0" w:color="auto"/>
                    <w:bottom w:val="none" w:sz="0" w:space="0" w:color="auto"/>
                    <w:right w:val="none" w:sz="0" w:space="0" w:color="auto"/>
                  </w:divBdr>
                </w:div>
              </w:divsChild>
            </w:div>
            <w:div w:id="602306690">
              <w:marLeft w:val="0"/>
              <w:marRight w:val="0"/>
              <w:marTop w:val="0"/>
              <w:marBottom w:val="0"/>
              <w:divBdr>
                <w:top w:val="none" w:sz="0" w:space="0" w:color="auto"/>
                <w:left w:val="none" w:sz="0" w:space="0" w:color="auto"/>
                <w:bottom w:val="none" w:sz="0" w:space="0" w:color="auto"/>
                <w:right w:val="none" w:sz="0" w:space="0" w:color="auto"/>
              </w:divBdr>
              <w:divsChild>
                <w:div w:id="1866751624">
                  <w:marLeft w:val="0"/>
                  <w:marRight w:val="0"/>
                  <w:marTop w:val="0"/>
                  <w:marBottom w:val="0"/>
                  <w:divBdr>
                    <w:top w:val="none" w:sz="0" w:space="0" w:color="auto"/>
                    <w:left w:val="none" w:sz="0" w:space="0" w:color="auto"/>
                    <w:bottom w:val="none" w:sz="0" w:space="0" w:color="auto"/>
                    <w:right w:val="none" w:sz="0" w:space="0" w:color="auto"/>
                  </w:divBdr>
                </w:div>
              </w:divsChild>
            </w:div>
            <w:div w:id="603266577">
              <w:marLeft w:val="0"/>
              <w:marRight w:val="0"/>
              <w:marTop w:val="0"/>
              <w:marBottom w:val="0"/>
              <w:divBdr>
                <w:top w:val="none" w:sz="0" w:space="0" w:color="auto"/>
                <w:left w:val="none" w:sz="0" w:space="0" w:color="auto"/>
                <w:bottom w:val="none" w:sz="0" w:space="0" w:color="auto"/>
                <w:right w:val="none" w:sz="0" w:space="0" w:color="auto"/>
              </w:divBdr>
              <w:divsChild>
                <w:div w:id="694114791">
                  <w:marLeft w:val="0"/>
                  <w:marRight w:val="0"/>
                  <w:marTop w:val="0"/>
                  <w:marBottom w:val="0"/>
                  <w:divBdr>
                    <w:top w:val="none" w:sz="0" w:space="0" w:color="auto"/>
                    <w:left w:val="none" w:sz="0" w:space="0" w:color="auto"/>
                    <w:bottom w:val="none" w:sz="0" w:space="0" w:color="auto"/>
                    <w:right w:val="none" w:sz="0" w:space="0" w:color="auto"/>
                  </w:divBdr>
                </w:div>
              </w:divsChild>
            </w:div>
            <w:div w:id="604774030">
              <w:marLeft w:val="0"/>
              <w:marRight w:val="0"/>
              <w:marTop w:val="0"/>
              <w:marBottom w:val="0"/>
              <w:divBdr>
                <w:top w:val="none" w:sz="0" w:space="0" w:color="auto"/>
                <w:left w:val="none" w:sz="0" w:space="0" w:color="auto"/>
                <w:bottom w:val="none" w:sz="0" w:space="0" w:color="auto"/>
                <w:right w:val="none" w:sz="0" w:space="0" w:color="auto"/>
              </w:divBdr>
              <w:divsChild>
                <w:div w:id="628391455">
                  <w:marLeft w:val="0"/>
                  <w:marRight w:val="0"/>
                  <w:marTop w:val="0"/>
                  <w:marBottom w:val="0"/>
                  <w:divBdr>
                    <w:top w:val="none" w:sz="0" w:space="0" w:color="auto"/>
                    <w:left w:val="none" w:sz="0" w:space="0" w:color="auto"/>
                    <w:bottom w:val="none" w:sz="0" w:space="0" w:color="auto"/>
                    <w:right w:val="none" w:sz="0" w:space="0" w:color="auto"/>
                  </w:divBdr>
                </w:div>
              </w:divsChild>
            </w:div>
            <w:div w:id="604970622">
              <w:marLeft w:val="0"/>
              <w:marRight w:val="0"/>
              <w:marTop w:val="0"/>
              <w:marBottom w:val="0"/>
              <w:divBdr>
                <w:top w:val="none" w:sz="0" w:space="0" w:color="auto"/>
                <w:left w:val="none" w:sz="0" w:space="0" w:color="auto"/>
                <w:bottom w:val="none" w:sz="0" w:space="0" w:color="auto"/>
                <w:right w:val="none" w:sz="0" w:space="0" w:color="auto"/>
              </w:divBdr>
              <w:divsChild>
                <w:div w:id="1324506750">
                  <w:marLeft w:val="0"/>
                  <w:marRight w:val="0"/>
                  <w:marTop w:val="0"/>
                  <w:marBottom w:val="0"/>
                  <w:divBdr>
                    <w:top w:val="none" w:sz="0" w:space="0" w:color="auto"/>
                    <w:left w:val="none" w:sz="0" w:space="0" w:color="auto"/>
                    <w:bottom w:val="none" w:sz="0" w:space="0" w:color="auto"/>
                    <w:right w:val="none" w:sz="0" w:space="0" w:color="auto"/>
                  </w:divBdr>
                </w:div>
              </w:divsChild>
            </w:div>
            <w:div w:id="605650060">
              <w:marLeft w:val="0"/>
              <w:marRight w:val="0"/>
              <w:marTop w:val="0"/>
              <w:marBottom w:val="0"/>
              <w:divBdr>
                <w:top w:val="none" w:sz="0" w:space="0" w:color="auto"/>
                <w:left w:val="none" w:sz="0" w:space="0" w:color="auto"/>
                <w:bottom w:val="none" w:sz="0" w:space="0" w:color="auto"/>
                <w:right w:val="none" w:sz="0" w:space="0" w:color="auto"/>
              </w:divBdr>
              <w:divsChild>
                <w:div w:id="1313023650">
                  <w:marLeft w:val="0"/>
                  <w:marRight w:val="0"/>
                  <w:marTop w:val="0"/>
                  <w:marBottom w:val="0"/>
                  <w:divBdr>
                    <w:top w:val="none" w:sz="0" w:space="0" w:color="auto"/>
                    <w:left w:val="none" w:sz="0" w:space="0" w:color="auto"/>
                    <w:bottom w:val="none" w:sz="0" w:space="0" w:color="auto"/>
                    <w:right w:val="none" w:sz="0" w:space="0" w:color="auto"/>
                  </w:divBdr>
                </w:div>
              </w:divsChild>
            </w:div>
            <w:div w:id="607012033">
              <w:marLeft w:val="0"/>
              <w:marRight w:val="0"/>
              <w:marTop w:val="300"/>
              <w:marBottom w:val="300"/>
              <w:divBdr>
                <w:top w:val="none" w:sz="0" w:space="0" w:color="auto"/>
                <w:left w:val="none" w:sz="0" w:space="0" w:color="auto"/>
                <w:bottom w:val="none" w:sz="0" w:space="0" w:color="auto"/>
                <w:right w:val="none" w:sz="0" w:space="0" w:color="auto"/>
              </w:divBdr>
            </w:div>
            <w:div w:id="607548396">
              <w:marLeft w:val="0"/>
              <w:marRight w:val="0"/>
              <w:marTop w:val="0"/>
              <w:marBottom w:val="0"/>
              <w:divBdr>
                <w:top w:val="none" w:sz="0" w:space="0" w:color="auto"/>
                <w:left w:val="none" w:sz="0" w:space="0" w:color="auto"/>
                <w:bottom w:val="none" w:sz="0" w:space="0" w:color="auto"/>
                <w:right w:val="none" w:sz="0" w:space="0" w:color="auto"/>
              </w:divBdr>
              <w:divsChild>
                <w:div w:id="1013193093">
                  <w:marLeft w:val="0"/>
                  <w:marRight w:val="0"/>
                  <w:marTop w:val="0"/>
                  <w:marBottom w:val="0"/>
                  <w:divBdr>
                    <w:top w:val="none" w:sz="0" w:space="0" w:color="auto"/>
                    <w:left w:val="none" w:sz="0" w:space="0" w:color="auto"/>
                    <w:bottom w:val="none" w:sz="0" w:space="0" w:color="auto"/>
                    <w:right w:val="none" w:sz="0" w:space="0" w:color="auto"/>
                  </w:divBdr>
                </w:div>
              </w:divsChild>
            </w:div>
            <w:div w:id="608508198">
              <w:marLeft w:val="0"/>
              <w:marRight w:val="0"/>
              <w:marTop w:val="0"/>
              <w:marBottom w:val="0"/>
              <w:divBdr>
                <w:top w:val="none" w:sz="0" w:space="0" w:color="auto"/>
                <w:left w:val="none" w:sz="0" w:space="0" w:color="auto"/>
                <w:bottom w:val="none" w:sz="0" w:space="0" w:color="auto"/>
                <w:right w:val="none" w:sz="0" w:space="0" w:color="auto"/>
              </w:divBdr>
              <w:divsChild>
                <w:div w:id="1642535989">
                  <w:marLeft w:val="0"/>
                  <w:marRight w:val="0"/>
                  <w:marTop w:val="0"/>
                  <w:marBottom w:val="0"/>
                  <w:divBdr>
                    <w:top w:val="none" w:sz="0" w:space="0" w:color="auto"/>
                    <w:left w:val="none" w:sz="0" w:space="0" w:color="auto"/>
                    <w:bottom w:val="none" w:sz="0" w:space="0" w:color="auto"/>
                    <w:right w:val="none" w:sz="0" w:space="0" w:color="auto"/>
                  </w:divBdr>
                </w:div>
              </w:divsChild>
            </w:div>
            <w:div w:id="609553226">
              <w:marLeft w:val="0"/>
              <w:marRight w:val="0"/>
              <w:marTop w:val="0"/>
              <w:marBottom w:val="0"/>
              <w:divBdr>
                <w:top w:val="none" w:sz="0" w:space="0" w:color="auto"/>
                <w:left w:val="none" w:sz="0" w:space="0" w:color="auto"/>
                <w:bottom w:val="none" w:sz="0" w:space="0" w:color="auto"/>
                <w:right w:val="none" w:sz="0" w:space="0" w:color="auto"/>
              </w:divBdr>
              <w:divsChild>
                <w:div w:id="1483812047">
                  <w:marLeft w:val="0"/>
                  <w:marRight w:val="0"/>
                  <w:marTop w:val="0"/>
                  <w:marBottom w:val="0"/>
                  <w:divBdr>
                    <w:top w:val="none" w:sz="0" w:space="0" w:color="auto"/>
                    <w:left w:val="none" w:sz="0" w:space="0" w:color="auto"/>
                    <w:bottom w:val="none" w:sz="0" w:space="0" w:color="auto"/>
                    <w:right w:val="none" w:sz="0" w:space="0" w:color="auto"/>
                  </w:divBdr>
                </w:div>
              </w:divsChild>
            </w:div>
            <w:div w:id="609700268">
              <w:marLeft w:val="0"/>
              <w:marRight w:val="0"/>
              <w:marTop w:val="0"/>
              <w:marBottom w:val="0"/>
              <w:divBdr>
                <w:top w:val="none" w:sz="0" w:space="0" w:color="auto"/>
                <w:left w:val="none" w:sz="0" w:space="0" w:color="auto"/>
                <w:bottom w:val="none" w:sz="0" w:space="0" w:color="auto"/>
                <w:right w:val="none" w:sz="0" w:space="0" w:color="auto"/>
              </w:divBdr>
              <w:divsChild>
                <w:div w:id="816146854">
                  <w:marLeft w:val="0"/>
                  <w:marRight w:val="0"/>
                  <w:marTop w:val="0"/>
                  <w:marBottom w:val="0"/>
                  <w:divBdr>
                    <w:top w:val="none" w:sz="0" w:space="0" w:color="auto"/>
                    <w:left w:val="none" w:sz="0" w:space="0" w:color="auto"/>
                    <w:bottom w:val="none" w:sz="0" w:space="0" w:color="auto"/>
                    <w:right w:val="none" w:sz="0" w:space="0" w:color="auto"/>
                  </w:divBdr>
                </w:div>
              </w:divsChild>
            </w:div>
            <w:div w:id="610472411">
              <w:marLeft w:val="0"/>
              <w:marRight w:val="0"/>
              <w:marTop w:val="300"/>
              <w:marBottom w:val="300"/>
              <w:divBdr>
                <w:top w:val="none" w:sz="0" w:space="0" w:color="auto"/>
                <w:left w:val="none" w:sz="0" w:space="0" w:color="auto"/>
                <w:bottom w:val="none" w:sz="0" w:space="0" w:color="auto"/>
                <w:right w:val="none" w:sz="0" w:space="0" w:color="auto"/>
              </w:divBdr>
            </w:div>
            <w:div w:id="611864968">
              <w:marLeft w:val="0"/>
              <w:marRight w:val="0"/>
              <w:marTop w:val="0"/>
              <w:marBottom w:val="0"/>
              <w:divBdr>
                <w:top w:val="none" w:sz="0" w:space="0" w:color="auto"/>
                <w:left w:val="none" w:sz="0" w:space="0" w:color="auto"/>
                <w:bottom w:val="none" w:sz="0" w:space="0" w:color="auto"/>
                <w:right w:val="none" w:sz="0" w:space="0" w:color="auto"/>
              </w:divBdr>
              <w:divsChild>
                <w:div w:id="733552570">
                  <w:marLeft w:val="0"/>
                  <w:marRight w:val="0"/>
                  <w:marTop w:val="0"/>
                  <w:marBottom w:val="0"/>
                  <w:divBdr>
                    <w:top w:val="none" w:sz="0" w:space="0" w:color="auto"/>
                    <w:left w:val="none" w:sz="0" w:space="0" w:color="auto"/>
                    <w:bottom w:val="none" w:sz="0" w:space="0" w:color="auto"/>
                    <w:right w:val="none" w:sz="0" w:space="0" w:color="auto"/>
                  </w:divBdr>
                </w:div>
              </w:divsChild>
            </w:div>
            <w:div w:id="612715594">
              <w:marLeft w:val="0"/>
              <w:marRight w:val="0"/>
              <w:marTop w:val="300"/>
              <w:marBottom w:val="300"/>
              <w:divBdr>
                <w:top w:val="none" w:sz="0" w:space="0" w:color="auto"/>
                <w:left w:val="none" w:sz="0" w:space="0" w:color="auto"/>
                <w:bottom w:val="none" w:sz="0" w:space="0" w:color="auto"/>
                <w:right w:val="none" w:sz="0" w:space="0" w:color="auto"/>
              </w:divBdr>
            </w:div>
            <w:div w:id="612782749">
              <w:marLeft w:val="0"/>
              <w:marRight w:val="0"/>
              <w:marTop w:val="0"/>
              <w:marBottom w:val="0"/>
              <w:divBdr>
                <w:top w:val="none" w:sz="0" w:space="0" w:color="auto"/>
                <w:left w:val="none" w:sz="0" w:space="0" w:color="auto"/>
                <w:bottom w:val="none" w:sz="0" w:space="0" w:color="auto"/>
                <w:right w:val="none" w:sz="0" w:space="0" w:color="auto"/>
              </w:divBdr>
              <w:divsChild>
                <w:div w:id="243027257">
                  <w:marLeft w:val="0"/>
                  <w:marRight w:val="0"/>
                  <w:marTop w:val="0"/>
                  <w:marBottom w:val="0"/>
                  <w:divBdr>
                    <w:top w:val="none" w:sz="0" w:space="0" w:color="auto"/>
                    <w:left w:val="none" w:sz="0" w:space="0" w:color="auto"/>
                    <w:bottom w:val="none" w:sz="0" w:space="0" w:color="auto"/>
                    <w:right w:val="none" w:sz="0" w:space="0" w:color="auto"/>
                  </w:divBdr>
                </w:div>
              </w:divsChild>
            </w:div>
            <w:div w:id="613170484">
              <w:marLeft w:val="0"/>
              <w:marRight w:val="0"/>
              <w:marTop w:val="0"/>
              <w:marBottom w:val="0"/>
              <w:divBdr>
                <w:top w:val="none" w:sz="0" w:space="0" w:color="auto"/>
                <w:left w:val="none" w:sz="0" w:space="0" w:color="auto"/>
                <w:bottom w:val="none" w:sz="0" w:space="0" w:color="auto"/>
                <w:right w:val="none" w:sz="0" w:space="0" w:color="auto"/>
              </w:divBdr>
              <w:divsChild>
                <w:div w:id="634794258">
                  <w:marLeft w:val="0"/>
                  <w:marRight w:val="0"/>
                  <w:marTop w:val="0"/>
                  <w:marBottom w:val="0"/>
                  <w:divBdr>
                    <w:top w:val="none" w:sz="0" w:space="0" w:color="auto"/>
                    <w:left w:val="none" w:sz="0" w:space="0" w:color="auto"/>
                    <w:bottom w:val="none" w:sz="0" w:space="0" w:color="auto"/>
                    <w:right w:val="none" w:sz="0" w:space="0" w:color="auto"/>
                  </w:divBdr>
                </w:div>
              </w:divsChild>
            </w:div>
            <w:div w:id="613371248">
              <w:marLeft w:val="0"/>
              <w:marRight w:val="0"/>
              <w:marTop w:val="0"/>
              <w:marBottom w:val="0"/>
              <w:divBdr>
                <w:top w:val="none" w:sz="0" w:space="0" w:color="auto"/>
                <w:left w:val="none" w:sz="0" w:space="0" w:color="auto"/>
                <w:bottom w:val="none" w:sz="0" w:space="0" w:color="auto"/>
                <w:right w:val="none" w:sz="0" w:space="0" w:color="auto"/>
              </w:divBdr>
              <w:divsChild>
                <w:div w:id="59986467">
                  <w:marLeft w:val="0"/>
                  <w:marRight w:val="0"/>
                  <w:marTop w:val="0"/>
                  <w:marBottom w:val="0"/>
                  <w:divBdr>
                    <w:top w:val="none" w:sz="0" w:space="0" w:color="auto"/>
                    <w:left w:val="none" w:sz="0" w:space="0" w:color="auto"/>
                    <w:bottom w:val="none" w:sz="0" w:space="0" w:color="auto"/>
                    <w:right w:val="none" w:sz="0" w:space="0" w:color="auto"/>
                  </w:divBdr>
                </w:div>
              </w:divsChild>
            </w:div>
            <w:div w:id="615520947">
              <w:marLeft w:val="0"/>
              <w:marRight w:val="0"/>
              <w:marTop w:val="0"/>
              <w:marBottom w:val="0"/>
              <w:divBdr>
                <w:top w:val="none" w:sz="0" w:space="0" w:color="auto"/>
                <w:left w:val="none" w:sz="0" w:space="0" w:color="auto"/>
                <w:bottom w:val="none" w:sz="0" w:space="0" w:color="auto"/>
                <w:right w:val="none" w:sz="0" w:space="0" w:color="auto"/>
              </w:divBdr>
              <w:divsChild>
                <w:div w:id="1213081904">
                  <w:marLeft w:val="0"/>
                  <w:marRight w:val="0"/>
                  <w:marTop w:val="0"/>
                  <w:marBottom w:val="0"/>
                  <w:divBdr>
                    <w:top w:val="none" w:sz="0" w:space="0" w:color="auto"/>
                    <w:left w:val="none" w:sz="0" w:space="0" w:color="auto"/>
                    <w:bottom w:val="none" w:sz="0" w:space="0" w:color="auto"/>
                    <w:right w:val="none" w:sz="0" w:space="0" w:color="auto"/>
                  </w:divBdr>
                </w:div>
              </w:divsChild>
            </w:div>
            <w:div w:id="617688518">
              <w:marLeft w:val="0"/>
              <w:marRight w:val="0"/>
              <w:marTop w:val="300"/>
              <w:marBottom w:val="300"/>
              <w:divBdr>
                <w:top w:val="none" w:sz="0" w:space="0" w:color="auto"/>
                <w:left w:val="none" w:sz="0" w:space="0" w:color="auto"/>
                <w:bottom w:val="none" w:sz="0" w:space="0" w:color="auto"/>
                <w:right w:val="none" w:sz="0" w:space="0" w:color="auto"/>
              </w:divBdr>
            </w:div>
            <w:div w:id="619413452">
              <w:marLeft w:val="0"/>
              <w:marRight w:val="0"/>
              <w:marTop w:val="300"/>
              <w:marBottom w:val="300"/>
              <w:divBdr>
                <w:top w:val="none" w:sz="0" w:space="0" w:color="auto"/>
                <w:left w:val="none" w:sz="0" w:space="0" w:color="auto"/>
                <w:bottom w:val="none" w:sz="0" w:space="0" w:color="auto"/>
                <w:right w:val="none" w:sz="0" w:space="0" w:color="auto"/>
              </w:divBdr>
            </w:div>
            <w:div w:id="620889385">
              <w:marLeft w:val="0"/>
              <w:marRight w:val="0"/>
              <w:marTop w:val="0"/>
              <w:marBottom w:val="0"/>
              <w:divBdr>
                <w:top w:val="none" w:sz="0" w:space="0" w:color="auto"/>
                <w:left w:val="none" w:sz="0" w:space="0" w:color="auto"/>
                <w:bottom w:val="none" w:sz="0" w:space="0" w:color="auto"/>
                <w:right w:val="none" w:sz="0" w:space="0" w:color="auto"/>
              </w:divBdr>
              <w:divsChild>
                <w:div w:id="657882185">
                  <w:marLeft w:val="0"/>
                  <w:marRight w:val="0"/>
                  <w:marTop w:val="0"/>
                  <w:marBottom w:val="0"/>
                  <w:divBdr>
                    <w:top w:val="none" w:sz="0" w:space="0" w:color="auto"/>
                    <w:left w:val="none" w:sz="0" w:space="0" w:color="auto"/>
                    <w:bottom w:val="none" w:sz="0" w:space="0" w:color="auto"/>
                    <w:right w:val="none" w:sz="0" w:space="0" w:color="auto"/>
                  </w:divBdr>
                </w:div>
              </w:divsChild>
            </w:div>
            <w:div w:id="621113917">
              <w:marLeft w:val="0"/>
              <w:marRight w:val="0"/>
              <w:marTop w:val="0"/>
              <w:marBottom w:val="0"/>
              <w:divBdr>
                <w:top w:val="none" w:sz="0" w:space="0" w:color="auto"/>
                <w:left w:val="none" w:sz="0" w:space="0" w:color="auto"/>
                <w:bottom w:val="none" w:sz="0" w:space="0" w:color="auto"/>
                <w:right w:val="none" w:sz="0" w:space="0" w:color="auto"/>
              </w:divBdr>
              <w:divsChild>
                <w:div w:id="1433822479">
                  <w:marLeft w:val="0"/>
                  <w:marRight w:val="0"/>
                  <w:marTop w:val="0"/>
                  <w:marBottom w:val="0"/>
                  <w:divBdr>
                    <w:top w:val="none" w:sz="0" w:space="0" w:color="auto"/>
                    <w:left w:val="none" w:sz="0" w:space="0" w:color="auto"/>
                    <w:bottom w:val="none" w:sz="0" w:space="0" w:color="auto"/>
                    <w:right w:val="none" w:sz="0" w:space="0" w:color="auto"/>
                  </w:divBdr>
                </w:div>
              </w:divsChild>
            </w:div>
            <w:div w:id="621425463">
              <w:marLeft w:val="0"/>
              <w:marRight w:val="0"/>
              <w:marTop w:val="0"/>
              <w:marBottom w:val="0"/>
              <w:divBdr>
                <w:top w:val="none" w:sz="0" w:space="0" w:color="auto"/>
                <w:left w:val="none" w:sz="0" w:space="0" w:color="auto"/>
                <w:bottom w:val="none" w:sz="0" w:space="0" w:color="auto"/>
                <w:right w:val="none" w:sz="0" w:space="0" w:color="auto"/>
              </w:divBdr>
              <w:divsChild>
                <w:div w:id="1064183752">
                  <w:marLeft w:val="0"/>
                  <w:marRight w:val="0"/>
                  <w:marTop w:val="0"/>
                  <w:marBottom w:val="0"/>
                  <w:divBdr>
                    <w:top w:val="none" w:sz="0" w:space="0" w:color="auto"/>
                    <w:left w:val="none" w:sz="0" w:space="0" w:color="auto"/>
                    <w:bottom w:val="none" w:sz="0" w:space="0" w:color="auto"/>
                    <w:right w:val="none" w:sz="0" w:space="0" w:color="auto"/>
                  </w:divBdr>
                  <w:divsChild>
                    <w:div w:id="1494443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012391">
              <w:marLeft w:val="0"/>
              <w:marRight w:val="0"/>
              <w:marTop w:val="0"/>
              <w:marBottom w:val="0"/>
              <w:divBdr>
                <w:top w:val="none" w:sz="0" w:space="0" w:color="auto"/>
                <w:left w:val="none" w:sz="0" w:space="0" w:color="auto"/>
                <w:bottom w:val="none" w:sz="0" w:space="0" w:color="auto"/>
                <w:right w:val="none" w:sz="0" w:space="0" w:color="auto"/>
              </w:divBdr>
              <w:divsChild>
                <w:div w:id="1182547259">
                  <w:marLeft w:val="0"/>
                  <w:marRight w:val="0"/>
                  <w:marTop w:val="0"/>
                  <w:marBottom w:val="0"/>
                  <w:divBdr>
                    <w:top w:val="none" w:sz="0" w:space="0" w:color="auto"/>
                    <w:left w:val="none" w:sz="0" w:space="0" w:color="auto"/>
                    <w:bottom w:val="none" w:sz="0" w:space="0" w:color="auto"/>
                    <w:right w:val="none" w:sz="0" w:space="0" w:color="auto"/>
                  </w:divBdr>
                </w:div>
              </w:divsChild>
            </w:div>
            <w:div w:id="628127752">
              <w:marLeft w:val="0"/>
              <w:marRight w:val="0"/>
              <w:marTop w:val="0"/>
              <w:marBottom w:val="0"/>
              <w:divBdr>
                <w:top w:val="none" w:sz="0" w:space="0" w:color="auto"/>
                <w:left w:val="none" w:sz="0" w:space="0" w:color="auto"/>
                <w:bottom w:val="none" w:sz="0" w:space="0" w:color="auto"/>
                <w:right w:val="none" w:sz="0" w:space="0" w:color="auto"/>
              </w:divBdr>
              <w:divsChild>
                <w:div w:id="1021471469">
                  <w:marLeft w:val="0"/>
                  <w:marRight w:val="0"/>
                  <w:marTop w:val="0"/>
                  <w:marBottom w:val="0"/>
                  <w:divBdr>
                    <w:top w:val="none" w:sz="0" w:space="0" w:color="auto"/>
                    <w:left w:val="none" w:sz="0" w:space="0" w:color="auto"/>
                    <w:bottom w:val="none" w:sz="0" w:space="0" w:color="auto"/>
                    <w:right w:val="none" w:sz="0" w:space="0" w:color="auto"/>
                  </w:divBdr>
                </w:div>
              </w:divsChild>
            </w:div>
            <w:div w:id="628360657">
              <w:marLeft w:val="0"/>
              <w:marRight w:val="0"/>
              <w:marTop w:val="0"/>
              <w:marBottom w:val="0"/>
              <w:divBdr>
                <w:top w:val="none" w:sz="0" w:space="0" w:color="auto"/>
                <w:left w:val="none" w:sz="0" w:space="0" w:color="auto"/>
                <w:bottom w:val="none" w:sz="0" w:space="0" w:color="auto"/>
                <w:right w:val="none" w:sz="0" w:space="0" w:color="auto"/>
              </w:divBdr>
              <w:divsChild>
                <w:div w:id="1548491855">
                  <w:marLeft w:val="0"/>
                  <w:marRight w:val="0"/>
                  <w:marTop w:val="0"/>
                  <w:marBottom w:val="0"/>
                  <w:divBdr>
                    <w:top w:val="none" w:sz="0" w:space="0" w:color="auto"/>
                    <w:left w:val="none" w:sz="0" w:space="0" w:color="auto"/>
                    <w:bottom w:val="none" w:sz="0" w:space="0" w:color="auto"/>
                    <w:right w:val="none" w:sz="0" w:space="0" w:color="auto"/>
                  </w:divBdr>
                </w:div>
              </w:divsChild>
            </w:div>
            <w:div w:id="629363123">
              <w:marLeft w:val="0"/>
              <w:marRight w:val="0"/>
              <w:marTop w:val="0"/>
              <w:marBottom w:val="0"/>
              <w:divBdr>
                <w:top w:val="none" w:sz="0" w:space="0" w:color="auto"/>
                <w:left w:val="none" w:sz="0" w:space="0" w:color="auto"/>
                <w:bottom w:val="none" w:sz="0" w:space="0" w:color="auto"/>
                <w:right w:val="none" w:sz="0" w:space="0" w:color="auto"/>
              </w:divBdr>
              <w:divsChild>
                <w:div w:id="1154948576">
                  <w:marLeft w:val="0"/>
                  <w:marRight w:val="0"/>
                  <w:marTop w:val="0"/>
                  <w:marBottom w:val="0"/>
                  <w:divBdr>
                    <w:top w:val="none" w:sz="0" w:space="0" w:color="auto"/>
                    <w:left w:val="none" w:sz="0" w:space="0" w:color="auto"/>
                    <w:bottom w:val="none" w:sz="0" w:space="0" w:color="auto"/>
                    <w:right w:val="none" w:sz="0" w:space="0" w:color="auto"/>
                  </w:divBdr>
                </w:div>
              </w:divsChild>
            </w:div>
            <w:div w:id="630522672">
              <w:marLeft w:val="0"/>
              <w:marRight w:val="0"/>
              <w:marTop w:val="0"/>
              <w:marBottom w:val="0"/>
              <w:divBdr>
                <w:top w:val="none" w:sz="0" w:space="0" w:color="auto"/>
                <w:left w:val="none" w:sz="0" w:space="0" w:color="auto"/>
                <w:bottom w:val="none" w:sz="0" w:space="0" w:color="auto"/>
                <w:right w:val="none" w:sz="0" w:space="0" w:color="auto"/>
              </w:divBdr>
              <w:divsChild>
                <w:div w:id="1974169128">
                  <w:marLeft w:val="0"/>
                  <w:marRight w:val="0"/>
                  <w:marTop w:val="0"/>
                  <w:marBottom w:val="0"/>
                  <w:divBdr>
                    <w:top w:val="none" w:sz="0" w:space="0" w:color="auto"/>
                    <w:left w:val="none" w:sz="0" w:space="0" w:color="auto"/>
                    <w:bottom w:val="none" w:sz="0" w:space="0" w:color="auto"/>
                    <w:right w:val="none" w:sz="0" w:space="0" w:color="auto"/>
                  </w:divBdr>
                </w:div>
              </w:divsChild>
            </w:div>
            <w:div w:id="631598261">
              <w:marLeft w:val="0"/>
              <w:marRight w:val="0"/>
              <w:marTop w:val="0"/>
              <w:marBottom w:val="0"/>
              <w:divBdr>
                <w:top w:val="none" w:sz="0" w:space="0" w:color="auto"/>
                <w:left w:val="none" w:sz="0" w:space="0" w:color="auto"/>
                <w:bottom w:val="none" w:sz="0" w:space="0" w:color="auto"/>
                <w:right w:val="none" w:sz="0" w:space="0" w:color="auto"/>
              </w:divBdr>
              <w:divsChild>
                <w:div w:id="907762332">
                  <w:marLeft w:val="0"/>
                  <w:marRight w:val="0"/>
                  <w:marTop w:val="0"/>
                  <w:marBottom w:val="0"/>
                  <w:divBdr>
                    <w:top w:val="none" w:sz="0" w:space="0" w:color="auto"/>
                    <w:left w:val="none" w:sz="0" w:space="0" w:color="auto"/>
                    <w:bottom w:val="none" w:sz="0" w:space="0" w:color="auto"/>
                    <w:right w:val="none" w:sz="0" w:space="0" w:color="auto"/>
                  </w:divBdr>
                </w:div>
              </w:divsChild>
            </w:div>
            <w:div w:id="633410495">
              <w:marLeft w:val="0"/>
              <w:marRight w:val="0"/>
              <w:marTop w:val="0"/>
              <w:marBottom w:val="0"/>
              <w:divBdr>
                <w:top w:val="none" w:sz="0" w:space="0" w:color="auto"/>
                <w:left w:val="none" w:sz="0" w:space="0" w:color="auto"/>
                <w:bottom w:val="none" w:sz="0" w:space="0" w:color="auto"/>
                <w:right w:val="none" w:sz="0" w:space="0" w:color="auto"/>
              </w:divBdr>
              <w:divsChild>
                <w:div w:id="246304821">
                  <w:marLeft w:val="0"/>
                  <w:marRight w:val="0"/>
                  <w:marTop w:val="0"/>
                  <w:marBottom w:val="0"/>
                  <w:divBdr>
                    <w:top w:val="none" w:sz="0" w:space="0" w:color="auto"/>
                    <w:left w:val="none" w:sz="0" w:space="0" w:color="auto"/>
                    <w:bottom w:val="none" w:sz="0" w:space="0" w:color="auto"/>
                    <w:right w:val="none" w:sz="0" w:space="0" w:color="auto"/>
                  </w:divBdr>
                </w:div>
              </w:divsChild>
            </w:div>
            <w:div w:id="634022536">
              <w:marLeft w:val="0"/>
              <w:marRight w:val="0"/>
              <w:marTop w:val="0"/>
              <w:marBottom w:val="0"/>
              <w:divBdr>
                <w:top w:val="none" w:sz="0" w:space="0" w:color="auto"/>
                <w:left w:val="none" w:sz="0" w:space="0" w:color="auto"/>
                <w:bottom w:val="none" w:sz="0" w:space="0" w:color="auto"/>
                <w:right w:val="none" w:sz="0" w:space="0" w:color="auto"/>
              </w:divBdr>
              <w:divsChild>
                <w:div w:id="1640963522">
                  <w:marLeft w:val="0"/>
                  <w:marRight w:val="0"/>
                  <w:marTop w:val="0"/>
                  <w:marBottom w:val="0"/>
                  <w:divBdr>
                    <w:top w:val="none" w:sz="0" w:space="0" w:color="auto"/>
                    <w:left w:val="none" w:sz="0" w:space="0" w:color="auto"/>
                    <w:bottom w:val="none" w:sz="0" w:space="0" w:color="auto"/>
                    <w:right w:val="none" w:sz="0" w:space="0" w:color="auto"/>
                  </w:divBdr>
                </w:div>
              </w:divsChild>
            </w:div>
            <w:div w:id="637688569">
              <w:marLeft w:val="0"/>
              <w:marRight w:val="0"/>
              <w:marTop w:val="0"/>
              <w:marBottom w:val="0"/>
              <w:divBdr>
                <w:top w:val="none" w:sz="0" w:space="0" w:color="auto"/>
                <w:left w:val="none" w:sz="0" w:space="0" w:color="auto"/>
                <w:bottom w:val="none" w:sz="0" w:space="0" w:color="auto"/>
                <w:right w:val="none" w:sz="0" w:space="0" w:color="auto"/>
              </w:divBdr>
              <w:divsChild>
                <w:div w:id="1798715170">
                  <w:marLeft w:val="0"/>
                  <w:marRight w:val="0"/>
                  <w:marTop w:val="0"/>
                  <w:marBottom w:val="0"/>
                  <w:divBdr>
                    <w:top w:val="none" w:sz="0" w:space="0" w:color="auto"/>
                    <w:left w:val="none" w:sz="0" w:space="0" w:color="auto"/>
                    <w:bottom w:val="none" w:sz="0" w:space="0" w:color="auto"/>
                    <w:right w:val="none" w:sz="0" w:space="0" w:color="auto"/>
                  </w:divBdr>
                </w:div>
              </w:divsChild>
            </w:div>
            <w:div w:id="637807221">
              <w:marLeft w:val="0"/>
              <w:marRight w:val="0"/>
              <w:marTop w:val="0"/>
              <w:marBottom w:val="0"/>
              <w:divBdr>
                <w:top w:val="none" w:sz="0" w:space="0" w:color="auto"/>
                <w:left w:val="none" w:sz="0" w:space="0" w:color="auto"/>
                <w:bottom w:val="none" w:sz="0" w:space="0" w:color="auto"/>
                <w:right w:val="none" w:sz="0" w:space="0" w:color="auto"/>
              </w:divBdr>
              <w:divsChild>
                <w:div w:id="1458523199">
                  <w:marLeft w:val="0"/>
                  <w:marRight w:val="0"/>
                  <w:marTop w:val="0"/>
                  <w:marBottom w:val="0"/>
                  <w:divBdr>
                    <w:top w:val="none" w:sz="0" w:space="0" w:color="auto"/>
                    <w:left w:val="none" w:sz="0" w:space="0" w:color="auto"/>
                    <w:bottom w:val="none" w:sz="0" w:space="0" w:color="auto"/>
                    <w:right w:val="none" w:sz="0" w:space="0" w:color="auto"/>
                  </w:divBdr>
                </w:div>
              </w:divsChild>
            </w:div>
            <w:div w:id="638345338">
              <w:marLeft w:val="0"/>
              <w:marRight w:val="0"/>
              <w:marTop w:val="300"/>
              <w:marBottom w:val="300"/>
              <w:divBdr>
                <w:top w:val="none" w:sz="0" w:space="0" w:color="auto"/>
                <w:left w:val="none" w:sz="0" w:space="0" w:color="auto"/>
                <w:bottom w:val="none" w:sz="0" w:space="0" w:color="auto"/>
                <w:right w:val="none" w:sz="0" w:space="0" w:color="auto"/>
              </w:divBdr>
            </w:div>
            <w:div w:id="640498296">
              <w:marLeft w:val="0"/>
              <w:marRight w:val="0"/>
              <w:marTop w:val="300"/>
              <w:marBottom w:val="300"/>
              <w:divBdr>
                <w:top w:val="none" w:sz="0" w:space="0" w:color="auto"/>
                <w:left w:val="none" w:sz="0" w:space="0" w:color="auto"/>
                <w:bottom w:val="none" w:sz="0" w:space="0" w:color="auto"/>
                <w:right w:val="none" w:sz="0" w:space="0" w:color="auto"/>
              </w:divBdr>
            </w:div>
            <w:div w:id="640694411">
              <w:marLeft w:val="0"/>
              <w:marRight w:val="0"/>
              <w:marTop w:val="0"/>
              <w:marBottom w:val="0"/>
              <w:divBdr>
                <w:top w:val="none" w:sz="0" w:space="0" w:color="auto"/>
                <w:left w:val="none" w:sz="0" w:space="0" w:color="auto"/>
                <w:bottom w:val="none" w:sz="0" w:space="0" w:color="auto"/>
                <w:right w:val="none" w:sz="0" w:space="0" w:color="auto"/>
              </w:divBdr>
              <w:divsChild>
                <w:div w:id="1541355702">
                  <w:marLeft w:val="0"/>
                  <w:marRight w:val="0"/>
                  <w:marTop w:val="0"/>
                  <w:marBottom w:val="0"/>
                  <w:divBdr>
                    <w:top w:val="none" w:sz="0" w:space="0" w:color="auto"/>
                    <w:left w:val="none" w:sz="0" w:space="0" w:color="auto"/>
                    <w:bottom w:val="none" w:sz="0" w:space="0" w:color="auto"/>
                    <w:right w:val="none" w:sz="0" w:space="0" w:color="auto"/>
                  </w:divBdr>
                </w:div>
              </w:divsChild>
            </w:div>
            <w:div w:id="642005171">
              <w:marLeft w:val="0"/>
              <w:marRight w:val="0"/>
              <w:marTop w:val="0"/>
              <w:marBottom w:val="0"/>
              <w:divBdr>
                <w:top w:val="none" w:sz="0" w:space="0" w:color="auto"/>
                <w:left w:val="none" w:sz="0" w:space="0" w:color="auto"/>
                <w:bottom w:val="none" w:sz="0" w:space="0" w:color="auto"/>
                <w:right w:val="none" w:sz="0" w:space="0" w:color="auto"/>
              </w:divBdr>
              <w:divsChild>
                <w:div w:id="297495627">
                  <w:marLeft w:val="0"/>
                  <w:marRight w:val="0"/>
                  <w:marTop w:val="0"/>
                  <w:marBottom w:val="0"/>
                  <w:divBdr>
                    <w:top w:val="none" w:sz="0" w:space="0" w:color="auto"/>
                    <w:left w:val="none" w:sz="0" w:space="0" w:color="auto"/>
                    <w:bottom w:val="none" w:sz="0" w:space="0" w:color="auto"/>
                    <w:right w:val="none" w:sz="0" w:space="0" w:color="auto"/>
                  </w:divBdr>
                </w:div>
              </w:divsChild>
            </w:div>
            <w:div w:id="642152170">
              <w:marLeft w:val="0"/>
              <w:marRight w:val="0"/>
              <w:marTop w:val="0"/>
              <w:marBottom w:val="0"/>
              <w:divBdr>
                <w:top w:val="none" w:sz="0" w:space="0" w:color="auto"/>
                <w:left w:val="none" w:sz="0" w:space="0" w:color="auto"/>
                <w:bottom w:val="none" w:sz="0" w:space="0" w:color="auto"/>
                <w:right w:val="none" w:sz="0" w:space="0" w:color="auto"/>
              </w:divBdr>
              <w:divsChild>
                <w:div w:id="1668481449">
                  <w:marLeft w:val="0"/>
                  <w:marRight w:val="0"/>
                  <w:marTop w:val="0"/>
                  <w:marBottom w:val="0"/>
                  <w:divBdr>
                    <w:top w:val="none" w:sz="0" w:space="0" w:color="auto"/>
                    <w:left w:val="none" w:sz="0" w:space="0" w:color="auto"/>
                    <w:bottom w:val="none" w:sz="0" w:space="0" w:color="auto"/>
                    <w:right w:val="none" w:sz="0" w:space="0" w:color="auto"/>
                  </w:divBdr>
                </w:div>
              </w:divsChild>
            </w:div>
            <w:div w:id="642852860">
              <w:marLeft w:val="0"/>
              <w:marRight w:val="0"/>
              <w:marTop w:val="300"/>
              <w:marBottom w:val="300"/>
              <w:divBdr>
                <w:top w:val="none" w:sz="0" w:space="0" w:color="auto"/>
                <w:left w:val="none" w:sz="0" w:space="0" w:color="auto"/>
                <w:bottom w:val="none" w:sz="0" w:space="0" w:color="auto"/>
                <w:right w:val="none" w:sz="0" w:space="0" w:color="auto"/>
              </w:divBdr>
            </w:div>
            <w:div w:id="643923912">
              <w:marLeft w:val="0"/>
              <w:marRight w:val="0"/>
              <w:marTop w:val="0"/>
              <w:marBottom w:val="0"/>
              <w:divBdr>
                <w:top w:val="none" w:sz="0" w:space="0" w:color="auto"/>
                <w:left w:val="none" w:sz="0" w:space="0" w:color="auto"/>
                <w:bottom w:val="none" w:sz="0" w:space="0" w:color="auto"/>
                <w:right w:val="none" w:sz="0" w:space="0" w:color="auto"/>
              </w:divBdr>
              <w:divsChild>
                <w:div w:id="1059787748">
                  <w:marLeft w:val="0"/>
                  <w:marRight w:val="0"/>
                  <w:marTop w:val="0"/>
                  <w:marBottom w:val="0"/>
                  <w:divBdr>
                    <w:top w:val="none" w:sz="0" w:space="0" w:color="auto"/>
                    <w:left w:val="none" w:sz="0" w:space="0" w:color="auto"/>
                    <w:bottom w:val="none" w:sz="0" w:space="0" w:color="auto"/>
                    <w:right w:val="none" w:sz="0" w:space="0" w:color="auto"/>
                  </w:divBdr>
                </w:div>
              </w:divsChild>
            </w:div>
            <w:div w:id="645009478">
              <w:marLeft w:val="0"/>
              <w:marRight w:val="0"/>
              <w:marTop w:val="0"/>
              <w:marBottom w:val="0"/>
              <w:divBdr>
                <w:top w:val="none" w:sz="0" w:space="0" w:color="auto"/>
                <w:left w:val="none" w:sz="0" w:space="0" w:color="auto"/>
                <w:bottom w:val="none" w:sz="0" w:space="0" w:color="auto"/>
                <w:right w:val="none" w:sz="0" w:space="0" w:color="auto"/>
              </w:divBdr>
              <w:divsChild>
                <w:div w:id="364797616">
                  <w:marLeft w:val="0"/>
                  <w:marRight w:val="0"/>
                  <w:marTop w:val="0"/>
                  <w:marBottom w:val="0"/>
                  <w:divBdr>
                    <w:top w:val="none" w:sz="0" w:space="0" w:color="auto"/>
                    <w:left w:val="none" w:sz="0" w:space="0" w:color="auto"/>
                    <w:bottom w:val="none" w:sz="0" w:space="0" w:color="auto"/>
                    <w:right w:val="none" w:sz="0" w:space="0" w:color="auto"/>
                  </w:divBdr>
                </w:div>
              </w:divsChild>
            </w:div>
            <w:div w:id="645402429">
              <w:marLeft w:val="0"/>
              <w:marRight w:val="0"/>
              <w:marTop w:val="0"/>
              <w:marBottom w:val="0"/>
              <w:divBdr>
                <w:top w:val="none" w:sz="0" w:space="0" w:color="auto"/>
                <w:left w:val="none" w:sz="0" w:space="0" w:color="auto"/>
                <w:bottom w:val="none" w:sz="0" w:space="0" w:color="auto"/>
                <w:right w:val="none" w:sz="0" w:space="0" w:color="auto"/>
              </w:divBdr>
              <w:divsChild>
                <w:div w:id="17777363">
                  <w:marLeft w:val="0"/>
                  <w:marRight w:val="0"/>
                  <w:marTop w:val="0"/>
                  <w:marBottom w:val="0"/>
                  <w:divBdr>
                    <w:top w:val="none" w:sz="0" w:space="0" w:color="auto"/>
                    <w:left w:val="none" w:sz="0" w:space="0" w:color="auto"/>
                    <w:bottom w:val="none" w:sz="0" w:space="0" w:color="auto"/>
                    <w:right w:val="none" w:sz="0" w:space="0" w:color="auto"/>
                  </w:divBdr>
                </w:div>
              </w:divsChild>
            </w:div>
            <w:div w:id="646200912">
              <w:marLeft w:val="0"/>
              <w:marRight w:val="0"/>
              <w:marTop w:val="0"/>
              <w:marBottom w:val="0"/>
              <w:divBdr>
                <w:top w:val="none" w:sz="0" w:space="0" w:color="auto"/>
                <w:left w:val="none" w:sz="0" w:space="0" w:color="auto"/>
                <w:bottom w:val="none" w:sz="0" w:space="0" w:color="auto"/>
                <w:right w:val="none" w:sz="0" w:space="0" w:color="auto"/>
              </w:divBdr>
              <w:divsChild>
                <w:div w:id="1709522352">
                  <w:marLeft w:val="0"/>
                  <w:marRight w:val="0"/>
                  <w:marTop w:val="0"/>
                  <w:marBottom w:val="0"/>
                  <w:divBdr>
                    <w:top w:val="none" w:sz="0" w:space="0" w:color="auto"/>
                    <w:left w:val="none" w:sz="0" w:space="0" w:color="auto"/>
                    <w:bottom w:val="none" w:sz="0" w:space="0" w:color="auto"/>
                    <w:right w:val="none" w:sz="0" w:space="0" w:color="auto"/>
                  </w:divBdr>
                </w:div>
              </w:divsChild>
            </w:div>
            <w:div w:id="646470832">
              <w:marLeft w:val="0"/>
              <w:marRight w:val="0"/>
              <w:marTop w:val="0"/>
              <w:marBottom w:val="0"/>
              <w:divBdr>
                <w:top w:val="none" w:sz="0" w:space="0" w:color="auto"/>
                <w:left w:val="none" w:sz="0" w:space="0" w:color="auto"/>
                <w:bottom w:val="none" w:sz="0" w:space="0" w:color="auto"/>
                <w:right w:val="none" w:sz="0" w:space="0" w:color="auto"/>
              </w:divBdr>
              <w:divsChild>
                <w:div w:id="1786070602">
                  <w:marLeft w:val="0"/>
                  <w:marRight w:val="0"/>
                  <w:marTop w:val="0"/>
                  <w:marBottom w:val="0"/>
                  <w:divBdr>
                    <w:top w:val="none" w:sz="0" w:space="0" w:color="auto"/>
                    <w:left w:val="none" w:sz="0" w:space="0" w:color="auto"/>
                    <w:bottom w:val="none" w:sz="0" w:space="0" w:color="auto"/>
                    <w:right w:val="none" w:sz="0" w:space="0" w:color="auto"/>
                  </w:divBdr>
                </w:div>
              </w:divsChild>
            </w:div>
            <w:div w:id="647441860">
              <w:marLeft w:val="0"/>
              <w:marRight w:val="0"/>
              <w:marTop w:val="300"/>
              <w:marBottom w:val="300"/>
              <w:divBdr>
                <w:top w:val="none" w:sz="0" w:space="0" w:color="auto"/>
                <w:left w:val="none" w:sz="0" w:space="0" w:color="auto"/>
                <w:bottom w:val="none" w:sz="0" w:space="0" w:color="auto"/>
                <w:right w:val="none" w:sz="0" w:space="0" w:color="auto"/>
              </w:divBdr>
            </w:div>
            <w:div w:id="649408788">
              <w:marLeft w:val="0"/>
              <w:marRight w:val="0"/>
              <w:marTop w:val="0"/>
              <w:marBottom w:val="0"/>
              <w:divBdr>
                <w:top w:val="none" w:sz="0" w:space="0" w:color="auto"/>
                <w:left w:val="none" w:sz="0" w:space="0" w:color="auto"/>
                <w:bottom w:val="none" w:sz="0" w:space="0" w:color="auto"/>
                <w:right w:val="none" w:sz="0" w:space="0" w:color="auto"/>
              </w:divBdr>
              <w:divsChild>
                <w:div w:id="1220701546">
                  <w:marLeft w:val="0"/>
                  <w:marRight w:val="0"/>
                  <w:marTop w:val="0"/>
                  <w:marBottom w:val="0"/>
                  <w:divBdr>
                    <w:top w:val="none" w:sz="0" w:space="0" w:color="auto"/>
                    <w:left w:val="none" w:sz="0" w:space="0" w:color="auto"/>
                    <w:bottom w:val="none" w:sz="0" w:space="0" w:color="auto"/>
                    <w:right w:val="none" w:sz="0" w:space="0" w:color="auto"/>
                  </w:divBdr>
                </w:div>
              </w:divsChild>
            </w:div>
            <w:div w:id="649753991">
              <w:marLeft w:val="0"/>
              <w:marRight w:val="0"/>
              <w:marTop w:val="0"/>
              <w:marBottom w:val="0"/>
              <w:divBdr>
                <w:top w:val="none" w:sz="0" w:space="0" w:color="auto"/>
                <w:left w:val="none" w:sz="0" w:space="0" w:color="auto"/>
                <w:bottom w:val="none" w:sz="0" w:space="0" w:color="auto"/>
                <w:right w:val="none" w:sz="0" w:space="0" w:color="auto"/>
              </w:divBdr>
              <w:divsChild>
                <w:div w:id="1417824706">
                  <w:marLeft w:val="0"/>
                  <w:marRight w:val="0"/>
                  <w:marTop w:val="0"/>
                  <w:marBottom w:val="0"/>
                  <w:divBdr>
                    <w:top w:val="none" w:sz="0" w:space="0" w:color="auto"/>
                    <w:left w:val="none" w:sz="0" w:space="0" w:color="auto"/>
                    <w:bottom w:val="none" w:sz="0" w:space="0" w:color="auto"/>
                    <w:right w:val="none" w:sz="0" w:space="0" w:color="auto"/>
                  </w:divBdr>
                </w:div>
              </w:divsChild>
            </w:div>
            <w:div w:id="651718752">
              <w:marLeft w:val="0"/>
              <w:marRight w:val="0"/>
              <w:marTop w:val="0"/>
              <w:marBottom w:val="0"/>
              <w:divBdr>
                <w:top w:val="none" w:sz="0" w:space="0" w:color="auto"/>
                <w:left w:val="none" w:sz="0" w:space="0" w:color="auto"/>
                <w:bottom w:val="none" w:sz="0" w:space="0" w:color="auto"/>
                <w:right w:val="none" w:sz="0" w:space="0" w:color="auto"/>
              </w:divBdr>
              <w:divsChild>
                <w:div w:id="1110901534">
                  <w:marLeft w:val="0"/>
                  <w:marRight w:val="0"/>
                  <w:marTop w:val="0"/>
                  <w:marBottom w:val="0"/>
                  <w:divBdr>
                    <w:top w:val="none" w:sz="0" w:space="0" w:color="auto"/>
                    <w:left w:val="none" w:sz="0" w:space="0" w:color="auto"/>
                    <w:bottom w:val="none" w:sz="0" w:space="0" w:color="auto"/>
                    <w:right w:val="none" w:sz="0" w:space="0" w:color="auto"/>
                  </w:divBdr>
                </w:div>
              </w:divsChild>
            </w:div>
            <w:div w:id="652948061">
              <w:marLeft w:val="0"/>
              <w:marRight w:val="0"/>
              <w:marTop w:val="0"/>
              <w:marBottom w:val="0"/>
              <w:divBdr>
                <w:top w:val="none" w:sz="0" w:space="0" w:color="auto"/>
                <w:left w:val="none" w:sz="0" w:space="0" w:color="auto"/>
                <w:bottom w:val="none" w:sz="0" w:space="0" w:color="auto"/>
                <w:right w:val="none" w:sz="0" w:space="0" w:color="auto"/>
              </w:divBdr>
              <w:divsChild>
                <w:div w:id="1542935799">
                  <w:marLeft w:val="0"/>
                  <w:marRight w:val="0"/>
                  <w:marTop w:val="0"/>
                  <w:marBottom w:val="0"/>
                  <w:divBdr>
                    <w:top w:val="none" w:sz="0" w:space="0" w:color="auto"/>
                    <w:left w:val="none" w:sz="0" w:space="0" w:color="auto"/>
                    <w:bottom w:val="none" w:sz="0" w:space="0" w:color="auto"/>
                    <w:right w:val="none" w:sz="0" w:space="0" w:color="auto"/>
                  </w:divBdr>
                </w:div>
              </w:divsChild>
            </w:div>
            <w:div w:id="655230528">
              <w:marLeft w:val="0"/>
              <w:marRight w:val="0"/>
              <w:marTop w:val="0"/>
              <w:marBottom w:val="0"/>
              <w:divBdr>
                <w:top w:val="none" w:sz="0" w:space="0" w:color="auto"/>
                <w:left w:val="none" w:sz="0" w:space="0" w:color="auto"/>
                <w:bottom w:val="none" w:sz="0" w:space="0" w:color="auto"/>
                <w:right w:val="none" w:sz="0" w:space="0" w:color="auto"/>
              </w:divBdr>
              <w:divsChild>
                <w:div w:id="519589371">
                  <w:marLeft w:val="0"/>
                  <w:marRight w:val="0"/>
                  <w:marTop w:val="0"/>
                  <w:marBottom w:val="0"/>
                  <w:divBdr>
                    <w:top w:val="none" w:sz="0" w:space="0" w:color="auto"/>
                    <w:left w:val="none" w:sz="0" w:space="0" w:color="auto"/>
                    <w:bottom w:val="none" w:sz="0" w:space="0" w:color="auto"/>
                    <w:right w:val="none" w:sz="0" w:space="0" w:color="auto"/>
                  </w:divBdr>
                </w:div>
              </w:divsChild>
            </w:div>
            <w:div w:id="655573682">
              <w:marLeft w:val="0"/>
              <w:marRight w:val="0"/>
              <w:marTop w:val="0"/>
              <w:marBottom w:val="0"/>
              <w:divBdr>
                <w:top w:val="none" w:sz="0" w:space="0" w:color="auto"/>
                <w:left w:val="none" w:sz="0" w:space="0" w:color="auto"/>
                <w:bottom w:val="none" w:sz="0" w:space="0" w:color="auto"/>
                <w:right w:val="none" w:sz="0" w:space="0" w:color="auto"/>
              </w:divBdr>
              <w:divsChild>
                <w:div w:id="343939165">
                  <w:marLeft w:val="0"/>
                  <w:marRight w:val="0"/>
                  <w:marTop w:val="0"/>
                  <w:marBottom w:val="0"/>
                  <w:divBdr>
                    <w:top w:val="none" w:sz="0" w:space="0" w:color="auto"/>
                    <w:left w:val="none" w:sz="0" w:space="0" w:color="auto"/>
                    <w:bottom w:val="none" w:sz="0" w:space="0" w:color="auto"/>
                    <w:right w:val="none" w:sz="0" w:space="0" w:color="auto"/>
                  </w:divBdr>
                </w:div>
              </w:divsChild>
            </w:div>
            <w:div w:id="656614351">
              <w:marLeft w:val="0"/>
              <w:marRight w:val="0"/>
              <w:marTop w:val="0"/>
              <w:marBottom w:val="0"/>
              <w:divBdr>
                <w:top w:val="none" w:sz="0" w:space="0" w:color="auto"/>
                <w:left w:val="none" w:sz="0" w:space="0" w:color="auto"/>
                <w:bottom w:val="none" w:sz="0" w:space="0" w:color="auto"/>
                <w:right w:val="none" w:sz="0" w:space="0" w:color="auto"/>
              </w:divBdr>
              <w:divsChild>
                <w:div w:id="1984038727">
                  <w:marLeft w:val="0"/>
                  <w:marRight w:val="0"/>
                  <w:marTop w:val="0"/>
                  <w:marBottom w:val="0"/>
                  <w:divBdr>
                    <w:top w:val="none" w:sz="0" w:space="0" w:color="auto"/>
                    <w:left w:val="none" w:sz="0" w:space="0" w:color="auto"/>
                    <w:bottom w:val="none" w:sz="0" w:space="0" w:color="auto"/>
                    <w:right w:val="none" w:sz="0" w:space="0" w:color="auto"/>
                  </w:divBdr>
                </w:div>
              </w:divsChild>
            </w:div>
            <w:div w:id="656692725">
              <w:marLeft w:val="0"/>
              <w:marRight w:val="0"/>
              <w:marTop w:val="0"/>
              <w:marBottom w:val="0"/>
              <w:divBdr>
                <w:top w:val="none" w:sz="0" w:space="0" w:color="auto"/>
                <w:left w:val="none" w:sz="0" w:space="0" w:color="auto"/>
                <w:bottom w:val="none" w:sz="0" w:space="0" w:color="auto"/>
                <w:right w:val="none" w:sz="0" w:space="0" w:color="auto"/>
              </w:divBdr>
              <w:divsChild>
                <w:div w:id="1379162920">
                  <w:marLeft w:val="0"/>
                  <w:marRight w:val="0"/>
                  <w:marTop w:val="0"/>
                  <w:marBottom w:val="0"/>
                  <w:divBdr>
                    <w:top w:val="none" w:sz="0" w:space="0" w:color="auto"/>
                    <w:left w:val="none" w:sz="0" w:space="0" w:color="auto"/>
                    <w:bottom w:val="none" w:sz="0" w:space="0" w:color="auto"/>
                    <w:right w:val="none" w:sz="0" w:space="0" w:color="auto"/>
                  </w:divBdr>
                </w:div>
              </w:divsChild>
            </w:div>
            <w:div w:id="657802801">
              <w:marLeft w:val="0"/>
              <w:marRight w:val="0"/>
              <w:marTop w:val="300"/>
              <w:marBottom w:val="300"/>
              <w:divBdr>
                <w:top w:val="none" w:sz="0" w:space="0" w:color="auto"/>
                <w:left w:val="none" w:sz="0" w:space="0" w:color="auto"/>
                <w:bottom w:val="none" w:sz="0" w:space="0" w:color="auto"/>
                <w:right w:val="none" w:sz="0" w:space="0" w:color="auto"/>
              </w:divBdr>
            </w:div>
            <w:div w:id="657852515">
              <w:marLeft w:val="0"/>
              <w:marRight w:val="0"/>
              <w:marTop w:val="0"/>
              <w:marBottom w:val="0"/>
              <w:divBdr>
                <w:top w:val="none" w:sz="0" w:space="0" w:color="auto"/>
                <w:left w:val="none" w:sz="0" w:space="0" w:color="auto"/>
                <w:bottom w:val="none" w:sz="0" w:space="0" w:color="auto"/>
                <w:right w:val="none" w:sz="0" w:space="0" w:color="auto"/>
              </w:divBdr>
              <w:divsChild>
                <w:div w:id="416022959">
                  <w:marLeft w:val="0"/>
                  <w:marRight w:val="0"/>
                  <w:marTop w:val="0"/>
                  <w:marBottom w:val="0"/>
                  <w:divBdr>
                    <w:top w:val="none" w:sz="0" w:space="0" w:color="auto"/>
                    <w:left w:val="none" w:sz="0" w:space="0" w:color="auto"/>
                    <w:bottom w:val="none" w:sz="0" w:space="0" w:color="auto"/>
                    <w:right w:val="none" w:sz="0" w:space="0" w:color="auto"/>
                  </w:divBdr>
                </w:div>
              </w:divsChild>
            </w:div>
            <w:div w:id="660161708">
              <w:marLeft w:val="0"/>
              <w:marRight w:val="0"/>
              <w:marTop w:val="300"/>
              <w:marBottom w:val="300"/>
              <w:divBdr>
                <w:top w:val="none" w:sz="0" w:space="0" w:color="auto"/>
                <w:left w:val="none" w:sz="0" w:space="0" w:color="auto"/>
                <w:bottom w:val="none" w:sz="0" w:space="0" w:color="auto"/>
                <w:right w:val="none" w:sz="0" w:space="0" w:color="auto"/>
              </w:divBdr>
            </w:div>
            <w:div w:id="660276356">
              <w:marLeft w:val="0"/>
              <w:marRight w:val="0"/>
              <w:marTop w:val="0"/>
              <w:marBottom w:val="0"/>
              <w:divBdr>
                <w:top w:val="none" w:sz="0" w:space="0" w:color="auto"/>
                <w:left w:val="none" w:sz="0" w:space="0" w:color="auto"/>
                <w:bottom w:val="none" w:sz="0" w:space="0" w:color="auto"/>
                <w:right w:val="none" w:sz="0" w:space="0" w:color="auto"/>
              </w:divBdr>
              <w:divsChild>
                <w:div w:id="2116559612">
                  <w:marLeft w:val="0"/>
                  <w:marRight w:val="0"/>
                  <w:marTop w:val="0"/>
                  <w:marBottom w:val="0"/>
                  <w:divBdr>
                    <w:top w:val="none" w:sz="0" w:space="0" w:color="auto"/>
                    <w:left w:val="none" w:sz="0" w:space="0" w:color="auto"/>
                    <w:bottom w:val="none" w:sz="0" w:space="0" w:color="auto"/>
                    <w:right w:val="none" w:sz="0" w:space="0" w:color="auto"/>
                  </w:divBdr>
                </w:div>
              </w:divsChild>
            </w:div>
            <w:div w:id="660931471">
              <w:marLeft w:val="0"/>
              <w:marRight w:val="0"/>
              <w:marTop w:val="0"/>
              <w:marBottom w:val="0"/>
              <w:divBdr>
                <w:top w:val="none" w:sz="0" w:space="0" w:color="auto"/>
                <w:left w:val="none" w:sz="0" w:space="0" w:color="auto"/>
                <w:bottom w:val="none" w:sz="0" w:space="0" w:color="auto"/>
                <w:right w:val="none" w:sz="0" w:space="0" w:color="auto"/>
              </w:divBdr>
              <w:divsChild>
                <w:div w:id="950547787">
                  <w:marLeft w:val="0"/>
                  <w:marRight w:val="0"/>
                  <w:marTop w:val="0"/>
                  <w:marBottom w:val="0"/>
                  <w:divBdr>
                    <w:top w:val="none" w:sz="0" w:space="0" w:color="auto"/>
                    <w:left w:val="none" w:sz="0" w:space="0" w:color="auto"/>
                    <w:bottom w:val="none" w:sz="0" w:space="0" w:color="auto"/>
                    <w:right w:val="none" w:sz="0" w:space="0" w:color="auto"/>
                  </w:divBdr>
                </w:div>
              </w:divsChild>
            </w:div>
            <w:div w:id="662465077">
              <w:marLeft w:val="0"/>
              <w:marRight w:val="0"/>
              <w:marTop w:val="300"/>
              <w:marBottom w:val="300"/>
              <w:divBdr>
                <w:top w:val="none" w:sz="0" w:space="0" w:color="auto"/>
                <w:left w:val="none" w:sz="0" w:space="0" w:color="auto"/>
                <w:bottom w:val="none" w:sz="0" w:space="0" w:color="auto"/>
                <w:right w:val="none" w:sz="0" w:space="0" w:color="auto"/>
              </w:divBdr>
            </w:div>
            <w:div w:id="663631301">
              <w:marLeft w:val="0"/>
              <w:marRight w:val="0"/>
              <w:marTop w:val="0"/>
              <w:marBottom w:val="0"/>
              <w:divBdr>
                <w:top w:val="none" w:sz="0" w:space="0" w:color="auto"/>
                <w:left w:val="none" w:sz="0" w:space="0" w:color="auto"/>
                <w:bottom w:val="none" w:sz="0" w:space="0" w:color="auto"/>
                <w:right w:val="none" w:sz="0" w:space="0" w:color="auto"/>
              </w:divBdr>
              <w:divsChild>
                <w:div w:id="1940676999">
                  <w:marLeft w:val="0"/>
                  <w:marRight w:val="0"/>
                  <w:marTop w:val="0"/>
                  <w:marBottom w:val="0"/>
                  <w:divBdr>
                    <w:top w:val="none" w:sz="0" w:space="0" w:color="auto"/>
                    <w:left w:val="none" w:sz="0" w:space="0" w:color="auto"/>
                    <w:bottom w:val="none" w:sz="0" w:space="0" w:color="auto"/>
                    <w:right w:val="none" w:sz="0" w:space="0" w:color="auto"/>
                  </w:divBdr>
                </w:div>
              </w:divsChild>
            </w:div>
            <w:div w:id="665787829">
              <w:marLeft w:val="0"/>
              <w:marRight w:val="0"/>
              <w:marTop w:val="0"/>
              <w:marBottom w:val="0"/>
              <w:divBdr>
                <w:top w:val="none" w:sz="0" w:space="0" w:color="auto"/>
                <w:left w:val="none" w:sz="0" w:space="0" w:color="auto"/>
                <w:bottom w:val="none" w:sz="0" w:space="0" w:color="auto"/>
                <w:right w:val="none" w:sz="0" w:space="0" w:color="auto"/>
              </w:divBdr>
              <w:divsChild>
                <w:div w:id="1082408799">
                  <w:marLeft w:val="0"/>
                  <w:marRight w:val="0"/>
                  <w:marTop w:val="0"/>
                  <w:marBottom w:val="0"/>
                  <w:divBdr>
                    <w:top w:val="none" w:sz="0" w:space="0" w:color="auto"/>
                    <w:left w:val="none" w:sz="0" w:space="0" w:color="auto"/>
                    <w:bottom w:val="none" w:sz="0" w:space="0" w:color="auto"/>
                    <w:right w:val="none" w:sz="0" w:space="0" w:color="auto"/>
                  </w:divBdr>
                </w:div>
              </w:divsChild>
            </w:div>
            <w:div w:id="665791885">
              <w:marLeft w:val="0"/>
              <w:marRight w:val="0"/>
              <w:marTop w:val="0"/>
              <w:marBottom w:val="0"/>
              <w:divBdr>
                <w:top w:val="none" w:sz="0" w:space="0" w:color="auto"/>
                <w:left w:val="none" w:sz="0" w:space="0" w:color="auto"/>
                <w:bottom w:val="none" w:sz="0" w:space="0" w:color="auto"/>
                <w:right w:val="none" w:sz="0" w:space="0" w:color="auto"/>
              </w:divBdr>
              <w:divsChild>
                <w:div w:id="505903560">
                  <w:marLeft w:val="0"/>
                  <w:marRight w:val="0"/>
                  <w:marTop w:val="0"/>
                  <w:marBottom w:val="0"/>
                  <w:divBdr>
                    <w:top w:val="none" w:sz="0" w:space="0" w:color="auto"/>
                    <w:left w:val="none" w:sz="0" w:space="0" w:color="auto"/>
                    <w:bottom w:val="none" w:sz="0" w:space="0" w:color="auto"/>
                    <w:right w:val="none" w:sz="0" w:space="0" w:color="auto"/>
                  </w:divBdr>
                </w:div>
              </w:divsChild>
            </w:div>
            <w:div w:id="666204118">
              <w:marLeft w:val="0"/>
              <w:marRight w:val="0"/>
              <w:marTop w:val="0"/>
              <w:marBottom w:val="0"/>
              <w:divBdr>
                <w:top w:val="none" w:sz="0" w:space="0" w:color="auto"/>
                <w:left w:val="none" w:sz="0" w:space="0" w:color="auto"/>
                <w:bottom w:val="none" w:sz="0" w:space="0" w:color="auto"/>
                <w:right w:val="none" w:sz="0" w:space="0" w:color="auto"/>
              </w:divBdr>
              <w:divsChild>
                <w:div w:id="1164593572">
                  <w:marLeft w:val="0"/>
                  <w:marRight w:val="0"/>
                  <w:marTop w:val="0"/>
                  <w:marBottom w:val="0"/>
                  <w:divBdr>
                    <w:top w:val="none" w:sz="0" w:space="0" w:color="auto"/>
                    <w:left w:val="none" w:sz="0" w:space="0" w:color="auto"/>
                    <w:bottom w:val="none" w:sz="0" w:space="0" w:color="auto"/>
                    <w:right w:val="none" w:sz="0" w:space="0" w:color="auto"/>
                  </w:divBdr>
                </w:div>
              </w:divsChild>
            </w:div>
            <w:div w:id="667173369">
              <w:marLeft w:val="0"/>
              <w:marRight w:val="0"/>
              <w:marTop w:val="0"/>
              <w:marBottom w:val="0"/>
              <w:divBdr>
                <w:top w:val="none" w:sz="0" w:space="0" w:color="auto"/>
                <w:left w:val="none" w:sz="0" w:space="0" w:color="auto"/>
                <w:bottom w:val="none" w:sz="0" w:space="0" w:color="auto"/>
                <w:right w:val="none" w:sz="0" w:space="0" w:color="auto"/>
              </w:divBdr>
              <w:divsChild>
                <w:div w:id="2013222295">
                  <w:marLeft w:val="0"/>
                  <w:marRight w:val="0"/>
                  <w:marTop w:val="0"/>
                  <w:marBottom w:val="0"/>
                  <w:divBdr>
                    <w:top w:val="none" w:sz="0" w:space="0" w:color="auto"/>
                    <w:left w:val="none" w:sz="0" w:space="0" w:color="auto"/>
                    <w:bottom w:val="none" w:sz="0" w:space="0" w:color="auto"/>
                    <w:right w:val="none" w:sz="0" w:space="0" w:color="auto"/>
                  </w:divBdr>
                </w:div>
              </w:divsChild>
            </w:div>
            <w:div w:id="671642243">
              <w:marLeft w:val="0"/>
              <w:marRight w:val="0"/>
              <w:marTop w:val="0"/>
              <w:marBottom w:val="0"/>
              <w:divBdr>
                <w:top w:val="none" w:sz="0" w:space="0" w:color="auto"/>
                <w:left w:val="none" w:sz="0" w:space="0" w:color="auto"/>
                <w:bottom w:val="none" w:sz="0" w:space="0" w:color="auto"/>
                <w:right w:val="none" w:sz="0" w:space="0" w:color="auto"/>
              </w:divBdr>
              <w:divsChild>
                <w:div w:id="283001241">
                  <w:marLeft w:val="0"/>
                  <w:marRight w:val="0"/>
                  <w:marTop w:val="0"/>
                  <w:marBottom w:val="0"/>
                  <w:divBdr>
                    <w:top w:val="none" w:sz="0" w:space="0" w:color="auto"/>
                    <w:left w:val="none" w:sz="0" w:space="0" w:color="auto"/>
                    <w:bottom w:val="none" w:sz="0" w:space="0" w:color="auto"/>
                    <w:right w:val="none" w:sz="0" w:space="0" w:color="auto"/>
                  </w:divBdr>
                </w:div>
              </w:divsChild>
            </w:div>
            <w:div w:id="672300981">
              <w:marLeft w:val="0"/>
              <w:marRight w:val="0"/>
              <w:marTop w:val="0"/>
              <w:marBottom w:val="0"/>
              <w:divBdr>
                <w:top w:val="none" w:sz="0" w:space="0" w:color="auto"/>
                <w:left w:val="none" w:sz="0" w:space="0" w:color="auto"/>
                <w:bottom w:val="none" w:sz="0" w:space="0" w:color="auto"/>
                <w:right w:val="none" w:sz="0" w:space="0" w:color="auto"/>
              </w:divBdr>
              <w:divsChild>
                <w:div w:id="1798253245">
                  <w:marLeft w:val="0"/>
                  <w:marRight w:val="0"/>
                  <w:marTop w:val="0"/>
                  <w:marBottom w:val="0"/>
                  <w:divBdr>
                    <w:top w:val="none" w:sz="0" w:space="0" w:color="auto"/>
                    <w:left w:val="none" w:sz="0" w:space="0" w:color="auto"/>
                    <w:bottom w:val="none" w:sz="0" w:space="0" w:color="auto"/>
                    <w:right w:val="none" w:sz="0" w:space="0" w:color="auto"/>
                  </w:divBdr>
                </w:div>
              </w:divsChild>
            </w:div>
            <w:div w:id="672531185">
              <w:marLeft w:val="0"/>
              <w:marRight w:val="0"/>
              <w:marTop w:val="0"/>
              <w:marBottom w:val="0"/>
              <w:divBdr>
                <w:top w:val="none" w:sz="0" w:space="0" w:color="auto"/>
                <w:left w:val="none" w:sz="0" w:space="0" w:color="auto"/>
                <w:bottom w:val="none" w:sz="0" w:space="0" w:color="auto"/>
                <w:right w:val="none" w:sz="0" w:space="0" w:color="auto"/>
              </w:divBdr>
              <w:divsChild>
                <w:div w:id="1894777370">
                  <w:marLeft w:val="0"/>
                  <w:marRight w:val="0"/>
                  <w:marTop w:val="0"/>
                  <w:marBottom w:val="0"/>
                  <w:divBdr>
                    <w:top w:val="none" w:sz="0" w:space="0" w:color="auto"/>
                    <w:left w:val="none" w:sz="0" w:space="0" w:color="auto"/>
                    <w:bottom w:val="none" w:sz="0" w:space="0" w:color="auto"/>
                    <w:right w:val="none" w:sz="0" w:space="0" w:color="auto"/>
                  </w:divBdr>
                </w:div>
              </w:divsChild>
            </w:div>
            <w:div w:id="672562966">
              <w:marLeft w:val="0"/>
              <w:marRight w:val="0"/>
              <w:marTop w:val="0"/>
              <w:marBottom w:val="0"/>
              <w:divBdr>
                <w:top w:val="none" w:sz="0" w:space="0" w:color="auto"/>
                <w:left w:val="none" w:sz="0" w:space="0" w:color="auto"/>
                <w:bottom w:val="none" w:sz="0" w:space="0" w:color="auto"/>
                <w:right w:val="none" w:sz="0" w:space="0" w:color="auto"/>
              </w:divBdr>
              <w:divsChild>
                <w:div w:id="1048263555">
                  <w:marLeft w:val="0"/>
                  <w:marRight w:val="0"/>
                  <w:marTop w:val="0"/>
                  <w:marBottom w:val="0"/>
                  <w:divBdr>
                    <w:top w:val="none" w:sz="0" w:space="0" w:color="auto"/>
                    <w:left w:val="none" w:sz="0" w:space="0" w:color="auto"/>
                    <w:bottom w:val="none" w:sz="0" w:space="0" w:color="auto"/>
                    <w:right w:val="none" w:sz="0" w:space="0" w:color="auto"/>
                  </w:divBdr>
                </w:div>
              </w:divsChild>
            </w:div>
            <w:div w:id="675155234">
              <w:marLeft w:val="0"/>
              <w:marRight w:val="0"/>
              <w:marTop w:val="0"/>
              <w:marBottom w:val="0"/>
              <w:divBdr>
                <w:top w:val="none" w:sz="0" w:space="0" w:color="auto"/>
                <w:left w:val="none" w:sz="0" w:space="0" w:color="auto"/>
                <w:bottom w:val="none" w:sz="0" w:space="0" w:color="auto"/>
                <w:right w:val="none" w:sz="0" w:space="0" w:color="auto"/>
              </w:divBdr>
              <w:divsChild>
                <w:div w:id="283074164">
                  <w:marLeft w:val="0"/>
                  <w:marRight w:val="0"/>
                  <w:marTop w:val="0"/>
                  <w:marBottom w:val="0"/>
                  <w:divBdr>
                    <w:top w:val="none" w:sz="0" w:space="0" w:color="auto"/>
                    <w:left w:val="none" w:sz="0" w:space="0" w:color="auto"/>
                    <w:bottom w:val="none" w:sz="0" w:space="0" w:color="auto"/>
                    <w:right w:val="none" w:sz="0" w:space="0" w:color="auto"/>
                  </w:divBdr>
                </w:div>
              </w:divsChild>
            </w:div>
            <w:div w:id="676494275">
              <w:marLeft w:val="0"/>
              <w:marRight w:val="0"/>
              <w:marTop w:val="0"/>
              <w:marBottom w:val="0"/>
              <w:divBdr>
                <w:top w:val="none" w:sz="0" w:space="0" w:color="auto"/>
                <w:left w:val="none" w:sz="0" w:space="0" w:color="auto"/>
                <w:bottom w:val="none" w:sz="0" w:space="0" w:color="auto"/>
                <w:right w:val="none" w:sz="0" w:space="0" w:color="auto"/>
              </w:divBdr>
              <w:divsChild>
                <w:div w:id="2123068759">
                  <w:marLeft w:val="0"/>
                  <w:marRight w:val="0"/>
                  <w:marTop w:val="0"/>
                  <w:marBottom w:val="0"/>
                  <w:divBdr>
                    <w:top w:val="none" w:sz="0" w:space="0" w:color="auto"/>
                    <w:left w:val="none" w:sz="0" w:space="0" w:color="auto"/>
                    <w:bottom w:val="none" w:sz="0" w:space="0" w:color="auto"/>
                    <w:right w:val="none" w:sz="0" w:space="0" w:color="auto"/>
                  </w:divBdr>
                </w:div>
              </w:divsChild>
            </w:div>
            <w:div w:id="679116579">
              <w:marLeft w:val="0"/>
              <w:marRight w:val="0"/>
              <w:marTop w:val="0"/>
              <w:marBottom w:val="0"/>
              <w:divBdr>
                <w:top w:val="none" w:sz="0" w:space="0" w:color="auto"/>
                <w:left w:val="none" w:sz="0" w:space="0" w:color="auto"/>
                <w:bottom w:val="none" w:sz="0" w:space="0" w:color="auto"/>
                <w:right w:val="none" w:sz="0" w:space="0" w:color="auto"/>
              </w:divBdr>
              <w:divsChild>
                <w:div w:id="165216827">
                  <w:marLeft w:val="0"/>
                  <w:marRight w:val="0"/>
                  <w:marTop w:val="0"/>
                  <w:marBottom w:val="0"/>
                  <w:divBdr>
                    <w:top w:val="none" w:sz="0" w:space="0" w:color="auto"/>
                    <w:left w:val="none" w:sz="0" w:space="0" w:color="auto"/>
                    <w:bottom w:val="none" w:sz="0" w:space="0" w:color="auto"/>
                    <w:right w:val="none" w:sz="0" w:space="0" w:color="auto"/>
                  </w:divBdr>
                </w:div>
              </w:divsChild>
            </w:div>
            <w:div w:id="681783651">
              <w:marLeft w:val="0"/>
              <w:marRight w:val="0"/>
              <w:marTop w:val="300"/>
              <w:marBottom w:val="300"/>
              <w:divBdr>
                <w:top w:val="none" w:sz="0" w:space="0" w:color="auto"/>
                <w:left w:val="none" w:sz="0" w:space="0" w:color="auto"/>
                <w:bottom w:val="none" w:sz="0" w:space="0" w:color="auto"/>
                <w:right w:val="none" w:sz="0" w:space="0" w:color="auto"/>
              </w:divBdr>
            </w:div>
            <w:div w:id="683096484">
              <w:marLeft w:val="0"/>
              <w:marRight w:val="0"/>
              <w:marTop w:val="300"/>
              <w:marBottom w:val="300"/>
              <w:divBdr>
                <w:top w:val="none" w:sz="0" w:space="0" w:color="auto"/>
                <w:left w:val="none" w:sz="0" w:space="0" w:color="auto"/>
                <w:bottom w:val="none" w:sz="0" w:space="0" w:color="auto"/>
                <w:right w:val="none" w:sz="0" w:space="0" w:color="auto"/>
              </w:divBdr>
            </w:div>
            <w:div w:id="684019935">
              <w:marLeft w:val="0"/>
              <w:marRight w:val="0"/>
              <w:marTop w:val="300"/>
              <w:marBottom w:val="300"/>
              <w:divBdr>
                <w:top w:val="none" w:sz="0" w:space="0" w:color="auto"/>
                <w:left w:val="none" w:sz="0" w:space="0" w:color="auto"/>
                <w:bottom w:val="none" w:sz="0" w:space="0" w:color="auto"/>
                <w:right w:val="none" w:sz="0" w:space="0" w:color="auto"/>
              </w:divBdr>
            </w:div>
            <w:div w:id="684286041">
              <w:marLeft w:val="0"/>
              <w:marRight w:val="0"/>
              <w:marTop w:val="0"/>
              <w:marBottom w:val="0"/>
              <w:divBdr>
                <w:top w:val="none" w:sz="0" w:space="0" w:color="auto"/>
                <w:left w:val="none" w:sz="0" w:space="0" w:color="auto"/>
                <w:bottom w:val="none" w:sz="0" w:space="0" w:color="auto"/>
                <w:right w:val="none" w:sz="0" w:space="0" w:color="auto"/>
              </w:divBdr>
              <w:divsChild>
                <w:div w:id="13969545">
                  <w:marLeft w:val="0"/>
                  <w:marRight w:val="0"/>
                  <w:marTop w:val="0"/>
                  <w:marBottom w:val="0"/>
                  <w:divBdr>
                    <w:top w:val="none" w:sz="0" w:space="0" w:color="auto"/>
                    <w:left w:val="none" w:sz="0" w:space="0" w:color="auto"/>
                    <w:bottom w:val="none" w:sz="0" w:space="0" w:color="auto"/>
                    <w:right w:val="none" w:sz="0" w:space="0" w:color="auto"/>
                  </w:divBdr>
                </w:div>
              </w:divsChild>
            </w:div>
            <w:div w:id="684674220">
              <w:marLeft w:val="0"/>
              <w:marRight w:val="0"/>
              <w:marTop w:val="0"/>
              <w:marBottom w:val="0"/>
              <w:divBdr>
                <w:top w:val="none" w:sz="0" w:space="0" w:color="auto"/>
                <w:left w:val="none" w:sz="0" w:space="0" w:color="auto"/>
                <w:bottom w:val="none" w:sz="0" w:space="0" w:color="auto"/>
                <w:right w:val="none" w:sz="0" w:space="0" w:color="auto"/>
              </w:divBdr>
              <w:divsChild>
                <w:div w:id="583994093">
                  <w:marLeft w:val="0"/>
                  <w:marRight w:val="0"/>
                  <w:marTop w:val="0"/>
                  <w:marBottom w:val="0"/>
                  <w:divBdr>
                    <w:top w:val="none" w:sz="0" w:space="0" w:color="auto"/>
                    <w:left w:val="none" w:sz="0" w:space="0" w:color="auto"/>
                    <w:bottom w:val="none" w:sz="0" w:space="0" w:color="auto"/>
                    <w:right w:val="none" w:sz="0" w:space="0" w:color="auto"/>
                  </w:divBdr>
                </w:div>
              </w:divsChild>
            </w:div>
            <w:div w:id="686951711">
              <w:marLeft w:val="0"/>
              <w:marRight w:val="0"/>
              <w:marTop w:val="0"/>
              <w:marBottom w:val="0"/>
              <w:divBdr>
                <w:top w:val="none" w:sz="0" w:space="0" w:color="auto"/>
                <w:left w:val="none" w:sz="0" w:space="0" w:color="auto"/>
                <w:bottom w:val="none" w:sz="0" w:space="0" w:color="auto"/>
                <w:right w:val="none" w:sz="0" w:space="0" w:color="auto"/>
              </w:divBdr>
              <w:divsChild>
                <w:div w:id="2104719032">
                  <w:marLeft w:val="0"/>
                  <w:marRight w:val="0"/>
                  <w:marTop w:val="0"/>
                  <w:marBottom w:val="0"/>
                  <w:divBdr>
                    <w:top w:val="none" w:sz="0" w:space="0" w:color="auto"/>
                    <w:left w:val="none" w:sz="0" w:space="0" w:color="auto"/>
                    <w:bottom w:val="none" w:sz="0" w:space="0" w:color="auto"/>
                    <w:right w:val="none" w:sz="0" w:space="0" w:color="auto"/>
                  </w:divBdr>
                </w:div>
              </w:divsChild>
            </w:div>
            <w:div w:id="687755643">
              <w:marLeft w:val="0"/>
              <w:marRight w:val="0"/>
              <w:marTop w:val="0"/>
              <w:marBottom w:val="0"/>
              <w:divBdr>
                <w:top w:val="none" w:sz="0" w:space="0" w:color="auto"/>
                <w:left w:val="none" w:sz="0" w:space="0" w:color="auto"/>
                <w:bottom w:val="none" w:sz="0" w:space="0" w:color="auto"/>
                <w:right w:val="none" w:sz="0" w:space="0" w:color="auto"/>
              </w:divBdr>
              <w:divsChild>
                <w:div w:id="1508864122">
                  <w:marLeft w:val="0"/>
                  <w:marRight w:val="0"/>
                  <w:marTop w:val="0"/>
                  <w:marBottom w:val="0"/>
                  <w:divBdr>
                    <w:top w:val="none" w:sz="0" w:space="0" w:color="auto"/>
                    <w:left w:val="none" w:sz="0" w:space="0" w:color="auto"/>
                    <w:bottom w:val="none" w:sz="0" w:space="0" w:color="auto"/>
                    <w:right w:val="none" w:sz="0" w:space="0" w:color="auto"/>
                  </w:divBdr>
                </w:div>
              </w:divsChild>
            </w:div>
            <w:div w:id="688025673">
              <w:marLeft w:val="0"/>
              <w:marRight w:val="0"/>
              <w:marTop w:val="0"/>
              <w:marBottom w:val="0"/>
              <w:divBdr>
                <w:top w:val="none" w:sz="0" w:space="0" w:color="auto"/>
                <w:left w:val="none" w:sz="0" w:space="0" w:color="auto"/>
                <w:bottom w:val="none" w:sz="0" w:space="0" w:color="auto"/>
                <w:right w:val="none" w:sz="0" w:space="0" w:color="auto"/>
              </w:divBdr>
              <w:divsChild>
                <w:div w:id="1868327764">
                  <w:marLeft w:val="0"/>
                  <w:marRight w:val="0"/>
                  <w:marTop w:val="0"/>
                  <w:marBottom w:val="0"/>
                  <w:divBdr>
                    <w:top w:val="none" w:sz="0" w:space="0" w:color="auto"/>
                    <w:left w:val="none" w:sz="0" w:space="0" w:color="auto"/>
                    <w:bottom w:val="none" w:sz="0" w:space="0" w:color="auto"/>
                    <w:right w:val="none" w:sz="0" w:space="0" w:color="auto"/>
                  </w:divBdr>
                </w:div>
              </w:divsChild>
            </w:div>
            <w:div w:id="688412152">
              <w:marLeft w:val="0"/>
              <w:marRight w:val="0"/>
              <w:marTop w:val="300"/>
              <w:marBottom w:val="300"/>
              <w:divBdr>
                <w:top w:val="none" w:sz="0" w:space="0" w:color="auto"/>
                <w:left w:val="none" w:sz="0" w:space="0" w:color="auto"/>
                <w:bottom w:val="none" w:sz="0" w:space="0" w:color="auto"/>
                <w:right w:val="none" w:sz="0" w:space="0" w:color="auto"/>
              </w:divBdr>
            </w:div>
            <w:div w:id="689452349">
              <w:marLeft w:val="0"/>
              <w:marRight w:val="0"/>
              <w:marTop w:val="0"/>
              <w:marBottom w:val="0"/>
              <w:divBdr>
                <w:top w:val="none" w:sz="0" w:space="0" w:color="auto"/>
                <w:left w:val="none" w:sz="0" w:space="0" w:color="auto"/>
                <w:bottom w:val="none" w:sz="0" w:space="0" w:color="auto"/>
                <w:right w:val="none" w:sz="0" w:space="0" w:color="auto"/>
              </w:divBdr>
              <w:divsChild>
                <w:div w:id="481624138">
                  <w:marLeft w:val="0"/>
                  <w:marRight w:val="0"/>
                  <w:marTop w:val="0"/>
                  <w:marBottom w:val="0"/>
                  <w:divBdr>
                    <w:top w:val="none" w:sz="0" w:space="0" w:color="auto"/>
                    <w:left w:val="none" w:sz="0" w:space="0" w:color="auto"/>
                    <w:bottom w:val="none" w:sz="0" w:space="0" w:color="auto"/>
                    <w:right w:val="none" w:sz="0" w:space="0" w:color="auto"/>
                  </w:divBdr>
                </w:div>
              </w:divsChild>
            </w:div>
            <w:div w:id="691416450">
              <w:marLeft w:val="0"/>
              <w:marRight w:val="0"/>
              <w:marTop w:val="0"/>
              <w:marBottom w:val="0"/>
              <w:divBdr>
                <w:top w:val="none" w:sz="0" w:space="0" w:color="auto"/>
                <w:left w:val="none" w:sz="0" w:space="0" w:color="auto"/>
                <w:bottom w:val="none" w:sz="0" w:space="0" w:color="auto"/>
                <w:right w:val="none" w:sz="0" w:space="0" w:color="auto"/>
              </w:divBdr>
              <w:divsChild>
                <w:div w:id="171143617">
                  <w:marLeft w:val="0"/>
                  <w:marRight w:val="0"/>
                  <w:marTop w:val="0"/>
                  <w:marBottom w:val="0"/>
                  <w:divBdr>
                    <w:top w:val="none" w:sz="0" w:space="0" w:color="auto"/>
                    <w:left w:val="none" w:sz="0" w:space="0" w:color="auto"/>
                    <w:bottom w:val="none" w:sz="0" w:space="0" w:color="auto"/>
                    <w:right w:val="none" w:sz="0" w:space="0" w:color="auto"/>
                  </w:divBdr>
                </w:div>
              </w:divsChild>
            </w:div>
            <w:div w:id="692389915">
              <w:marLeft w:val="0"/>
              <w:marRight w:val="0"/>
              <w:marTop w:val="300"/>
              <w:marBottom w:val="300"/>
              <w:divBdr>
                <w:top w:val="none" w:sz="0" w:space="0" w:color="auto"/>
                <w:left w:val="none" w:sz="0" w:space="0" w:color="auto"/>
                <w:bottom w:val="none" w:sz="0" w:space="0" w:color="auto"/>
                <w:right w:val="none" w:sz="0" w:space="0" w:color="auto"/>
              </w:divBdr>
            </w:div>
            <w:div w:id="693925108">
              <w:marLeft w:val="0"/>
              <w:marRight w:val="0"/>
              <w:marTop w:val="0"/>
              <w:marBottom w:val="0"/>
              <w:divBdr>
                <w:top w:val="none" w:sz="0" w:space="0" w:color="auto"/>
                <w:left w:val="none" w:sz="0" w:space="0" w:color="auto"/>
                <w:bottom w:val="none" w:sz="0" w:space="0" w:color="auto"/>
                <w:right w:val="none" w:sz="0" w:space="0" w:color="auto"/>
              </w:divBdr>
              <w:divsChild>
                <w:div w:id="1156536037">
                  <w:marLeft w:val="0"/>
                  <w:marRight w:val="0"/>
                  <w:marTop w:val="0"/>
                  <w:marBottom w:val="0"/>
                  <w:divBdr>
                    <w:top w:val="none" w:sz="0" w:space="0" w:color="auto"/>
                    <w:left w:val="none" w:sz="0" w:space="0" w:color="auto"/>
                    <w:bottom w:val="none" w:sz="0" w:space="0" w:color="auto"/>
                    <w:right w:val="none" w:sz="0" w:space="0" w:color="auto"/>
                  </w:divBdr>
                </w:div>
              </w:divsChild>
            </w:div>
            <w:div w:id="694697127">
              <w:marLeft w:val="0"/>
              <w:marRight w:val="0"/>
              <w:marTop w:val="300"/>
              <w:marBottom w:val="300"/>
              <w:divBdr>
                <w:top w:val="none" w:sz="0" w:space="0" w:color="auto"/>
                <w:left w:val="none" w:sz="0" w:space="0" w:color="auto"/>
                <w:bottom w:val="none" w:sz="0" w:space="0" w:color="auto"/>
                <w:right w:val="none" w:sz="0" w:space="0" w:color="auto"/>
              </w:divBdr>
            </w:div>
            <w:div w:id="694889726">
              <w:marLeft w:val="0"/>
              <w:marRight w:val="0"/>
              <w:marTop w:val="300"/>
              <w:marBottom w:val="300"/>
              <w:divBdr>
                <w:top w:val="none" w:sz="0" w:space="0" w:color="auto"/>
                <w:left w:val="none" w:sz="0" w:space="0" w:color="auto"/>
                <w:bottom w:val="none" w:sz="0" w:space="0" w:color="auto"/>
                <w:right w:val="none" w:sz="0" w:space="0" w:color="auto"/>
              </w:divBdr>
            </w:div>
            <w:div w:id="694967572">
              <w:marLeft w:val="0"/>
              <w:marRight w:val="0"/>
              <w:marTop w:val="300"/>
              <w:marBottom w:val="300"/>
              <w:divBdr>
                <w:top w:val="none" w:sz="0" w:space="0" w:color="auto"/>
                <w:left w:val="none" w:sz="0" w:space="0" w:color="auto"/>
                <w:bottom w:val="none" w:sz="0" w:space="0" w:color="auto"/>
                <w:right w:val="none" w:sz="0" w:space="0" w:color="auto"/>
              </w:divBdr>
            </w:div>
            <w:div w:id="695081114">
              <w:marLeft w:val="0"/>
              <w:marRight w:val="0"/>
              <w:marTop w:val="0"/>
              <w:marBottom w:val="0"/>
              <w:divBdr>
                <w:top w:val="none" w:sz="0" w:space="0" w:color="auto"/>
                <w:left w:val="none" w:sz="0" w:space="0" w:color="auto"/>
                <w:bottom w:val="none" w:sz="0" w:space="0" w:color="auto"/>
                <w:right w:val="none" w:sz="0" w:space="0" w:color="auto"/>
              </w:divBdr>
              <w:divsChild>
                <w:div w:id="1772629960">
                  <w:marLeft w:val="0"/>
                  <w:marRight w:val="0"/>
                  <w:marTop w:val="0"/>
                  <w:marBottom w:val="0"/>
                  <w:divBdr>
                    <w:top w:val="none" w:sz="0" w:space="0" w:color="auto"/>
                    <w:left w:val="none" w:sz="0" w:space="0" w:color="auto"/>
                    <w:bottom w:val="none" w:sz="0" w:space="0" w:color="auto"/>
                    <w:right w:val="none" w:sz="0" w:space="0" w:color="auto"/>
                  </w:divBdr>
                </w:div>
              </w:divsChild>
            </w:div>
            <w:div w:id="695887492">
              <w:marLeft w:val="0"/>
              <w:marRight w:val="0"/>
              <w:marTop w:val="0"/>
              <w:marBottom w:val="0"/>
              <w:divBdr>
                <w:top w:val="none" w:sz="0" w:space="0" w:color="auto"/>
                <w:left w:val="none" w:sz="0" w:space="0" w:color="auto"/>
                <w:bottom w:val="none" w:sz="0" w:space="0" w:color="auto"/>
                <w:right w:val="none" w:sz="0" w:space="0" w:color="auto"/>
              </w:divBdr>
              <w:divsChild>
                <w:div w:id="2105611767">
                  <w:marLeft w:val="0"/>
                  <w:marRight w:val="0"/>
                  <w:marTop w:val="0"/>
                  <w:marBottom w:val="0"/>
                  <w:divBdr>
                    <w:top w:val="none" w:sz="0" w:space="0" w:color="auto"/>
                    <w:left w:val="none" w:sz="0" w:space="0" w:color="auto"/>
                    <w:bottom w:val="none" w:sz="0" w:space="0" w:color="auto"/>
                    <w:right w:val="none" w:sz="0" w:space="0" w:color="auto"/>
                  </w:divBdr>
                </w:div>
              </w:divsChild>
            </w:div>
            <w:div w:id="696538406">
              <w:marLeft w:val="0"/>
              <w:marRight w:val="0"/>
              <w:marTop w:val="0"/>
              <w:marBottom w:val="0"/>
              <w:divBdr>
                <w:top w:val="none" w:sz="0" w:space="0" w:color="auto"/>
                <w:left w:val="none" w:sz="0" w:space="0" w:color="auto"/>
                <w:bottom w:val="none" w:sz="0" w:space="0" w:color="auto"/>
                <w:right w:val="none" w:sz="0" w:space="0" w:color="auto"/>
              </w:divBdr>
              <w:divsChild>
                <w:div w:id="404422997">
                  <w:marLeft w:val="0"/>
                  <w:marRight w:val="0"/>
                  <w:marTop w:val="0"/>
                  <w:marBottom w:val="0"/>
                  <w:divBdr>
                    <w:top w:val="none" w:sz="0" w:space="0" w:color="auto"/>
                    <w:left w:val="none" w:sz="0" w:space="0" w:color="auto"/>
                    <w:bottom w:val="none" w:sz="0" w:space="0" w:color="auto"/>
                    <w:right w:val="none" w:sz="0" w:space="0" w:color="auto"/>
                  </w:divBdr>
                </w:div>
              </w:divsChild>
            </w:div>
            <w:div w:id="696582284">
              <w:marLeft w:val="0"/>
              <w:marRight w:val="0"/>
              <w:marTop w:val="0"/>
              <w:marBottom w:val="0"/>
              <w:divBdr>
                <w:top w:val="none" w:sz="0" w:space="0" w:color="auto"/>
                <w:left w:val="none" w:sz="0" w:space="0" w:color="auto"/>
                <w:bottom w:val="none" w:sz="0" w:space="0" w:color="auto"/>
                <w:right w:val="none" w:sz="0" w:space="0" w:color="auto"/>
              </w:divBdr>
              <w:divsChild>
                <w:div w:id="1001472349">
                  <w:marLeft w:val="0"/>
                  <w:marRight w:val="0"/>
                  <w:marTop w:val="0"/>
                  <w:marBottom w:val="0"/>
                  <w:divBdr>
                    <w:top w:val="none" w:sz="0" w:space="0" w:color="auto"/>
                    <w:left w:val="none" w:sz="0" w:space="0" w:color="auto"/>
                    <w:bottom w:val="none" w:sz="0" w:space="0" w:color="auto"/>
                    <w:right w:val="none" w:sz="0" w:space="0" w:color="auto"/>
                  </w:divBdr>
                </w:div>
              </w:divsChild>
            </w:div>
            <w:div w:id="699167529">
              <w:marLeft w:val="0"/>
              <w:marRight w:val="0"/>
              <w:marTop w:val="0"/>
              <w:marBottom w:val="0"/>
              <w:divBdr>
                <w:top w:val="none" w:sz="0" w:space="0" w:color="auto"/>
                <w:left w:val="none" w:sz="0" w:space="0" w:color="auto"/>
                <w:bottom w:val="none" w:sz="0" w:space="0" w:color="auto"/>
                <w:right w:val="none" w:sz="0" w:space="0" w:color="auto"/>
              </w:divBdr>
              <w:divsChild>
                <w:div w:id="681248296">
                  <w:marLeft w:val="0"/>
                  <w:marRight w:val="0"/>
                  <w:marTop w:val="0"/>
                  <w:marBottom w:val="0"/>
                  <w:divBdr>
                    <w:top w:val="none" w:sz="0" w:space="0" w:color="auto"/>
                    <w:left w:val="none" w:sz="0" w:space="0" w:color="auto"/>
                    <w:bottom w:val="none" w:sz="0" w:space="0" w:color="auto"/>
                    <w:right w:val="none" w:sz="0" w:space="0" w:color="auto"/>
                  </w:divBdr>
                </w:div>
              </w:divsChild>
            </w:div>
            <w:div w:id="701131694">
              <w:marLeft w:val="0"/>
              <w:marRight w:val="0"/>
              <w:marTop w:val="0"/>
              <w:marBottom w:val="0"/>
              <w:divBdr>
                <w:top w:val="none" w:sz="0" w:space="0" w:color="auto"/>
                <w:left w:val="none" w:sz="0" w:space="0" w:color="auto"/>
                <w:bottom w:val="none" w:sz="0" w:space="0" w:color="auto"/>
                <w:right w:val="none" w:sz="0" w:space="0" w:color="auto"/>
              </w:divBdr>
              <w:divsChild>
                <w:div w:id="549615912">
                  <w:marLeft w:val="0"/>
                  <w:marRight w:val="0"/>
                  <w:marTop w:val="0"/>
                  <w:marBottom w:val="0"/>
                  <w:divBdr>
                    <w:top w:val="none" w:sz="0" w:space="0" w:color="auto"/>
                    <w:left w:val="none" w:sz="0" w:space="0" w:color="auto"/>
                    <w:bottom w:val="none" w:sz="0" w:space="0" w:color="auto"/>
                    <w:right w:val="none" w:sz="0" w:space="0" w:color="auto"/>
                  </w:divBdr>
                </w:div>
              </w:divsChild>
            </w:div>
            <w:div w:id="701634263">
              <w:marLeft w:val="0"/>
              <w:marRight w:val="0"/>
              <w:marTop w:val="0"/>
              <w:marBottom w:val="0"/>
              <w:divBdr>
                <w:top w:val="none" w:sz="0" w:space="0" w:color="auto"/>
                <w:left w:val="none" w:sz="0" w:space="0" w:color="auto"/>
                <w:bottom w:val="none" w:sz="0" w:space="0" w:color="auto"/>
                <w:right w:val="none" w:sz="0" w:space="0" w:color="auto"/>
              </w:divBdr>
              <w:divsChild>
                <w:div w:id="615257768">
                  <w:marLeft w:val="0"/>
                  <w:marRight w:val="0"/>
                  <w:marTop w:val="0"/>
                  <w:marBottom w:val="0"/>
                  <w:divBdr>
                    <w:top w:val="none" w:sz="0" w:space="0" w:color="auto"/>
                    <w:left w:val="none" w:sz="0" w:space="0" w:color="auto"/>
                    <w:bottom w:val="none" w:sz="0" w:space="0" w:color="auto"/>
                    <w:right w:val="none" w:sz="0" w:space="0" w:color="auto"/>
                  </w:divBdr>
                </w:div>
              </w:divsChild>
            </w:div>
            <w:div w:id="704986295">
              <w:marLeft w:val="0"/>
              <w:marRight w:val="0"/>
              <w:marTop w:val="0"/>
              <w:marBottom w:val="0"/>
              <w:divBdr>
                <w:top w:val="none" w:sz="0" w:space="0" w:color="auto"/>
                <w:left w:val="none" w:sz="0" w:space="0" w:color="auto"/>
                <w:bottom w:val="none" w:sz="0" w:space="0" w:color="auto"/>
                <w:right w:val="none" w:sz="0" w:space="0" w:color="auto"/>
              </w:divBdr>
              <w:divsChild>
                <w:div w:id="1255819894">
                  <w:marLeft w:val="0"/>
                  <w:marRight w:val="0"/>
                  <w:marTop w:val="0"/>
                  <w:marBottom w:val="0"/>
                  <w:divBdr>
                    <w:top w:val="none" w:sz="0" w:space="0" w:color="auto"/>
                    <w:left w:val="none" w:sz="0" w:space="0" w:color="auto"/>
                    <w:bottom w:val="none" w:sz="0" w:space="0" w:color="auto"/>
                    <w:right w:val="none" w:sz="0" w:space="0" w:color="auto"/>
                  </w:divBdr>
                </w:div>
              </w:divsChild>
            </w:div>
            <w:div w:id="706218173">
              <w:marLeft w:val="0"/>
              <w:marRight w:val="0"/>
              <w:marTop w:val="300"/>
              <w:marBottom w:val="300"/>
              <w:divBdr>
                <w:top w:val="none" w:sz="0" w:space="0" w:color="auto"/>
                <w:left w:val="none" w:sz="0" w:space="0" w:color="auto"/>
                <w:bottom w:val="none" w:sz="0" w:space="0" w:color="auto"/>
                <w:right w:val="none" w:sz="0" w:space="0" w:color="auto"/>
              </w:divBdr>
            </w:div>
            <w:div w:id="706293450">
              <w:marLeft w:val="0"/>
              <w:marRight w:val="0"/>
              <w:marTop w:val="0"/>
              <w:marBottom w:val="0"/>
              <w:divBdr>
                <w:top w:val="none" w:sz="0" w:space="0" w:color="auto"/>
                <w:left w:val="none" w:sz="0" w:space="0" w:color="auto"/>
                <w:bottom w:val="none" w:sz="0" w:space="0" w:color="auto"/>
                <w:right w:val="none" w:sz="0" w:space="0" w:color="auto"/>
              </w:divBdr>
              <w:divsChild>
                <w:div w:id="1187986340">
                  <w:marLeft w:val="0"/>
                  <w:marRight w:val="0"/>
                  <w:marTop w:val="0"/>
                  <w:marBottom w:val="0"/>
                  <w:divBdr>
                    <w:top w:val="none" w:sz="0" w:space="0" w:color="auto"/>
                    <w:left w:val="none" w:sz="0" w:space="0" w:color="auto"/>
                    <w:bottom w:val="none" w:sz="0" w:space="0" w:color="auto"/>
                    <w:right w:val="none" w:sz="0" w:space="0" w:color="auto"/>
                  </w:divBdr>
                </w:div>
              </w:divsChild>
            </w:div>
            <w:div w:id="706295678">
              <w:marLeft w:val="0"/>
              <w:marRight w:val="0"/>
              <w:marTop w:val="0"/>
              <w:marBottom w:val="0"/>
              <w:divBdr>
                <w:top w:val="none" w:sz="0" w:space="0" w:color="auto"/>
                <w:left w:val="none" w:sz="0" w:space="0" w:color="auto"/>
                <w:bottom w:val="none" w:sz="0" w:space="0" w:color="auto"/>
                <w:right w:val="none" w:sz="0" w:space="0" w:color="auto"/>
              </w:divBdr>
              <w:divsChild>
                <w:div w:id="1929804099">
                  <w:marLeft w:val="0"/>
                  <w:marRight w:val="0"/>
                  <w:marTop w:val="0"/>
                  <w:marBottom w:val="0"/>
                  <w:divBdr>
                    <w:top w:val="none" w:sz="0" w:space="0" w:color="auto"/>
                    <w:left w:val="none" w:sz="0" w:space="0" w:color="auto"/>
                    <w:bottom w:val="none" w:sz="0" w:space="0" w:color="auto"/>
                    <w:right w:val="none" w:sz="0" w:space="0" w:color="auto"/>
                  </w:divBdr>
                </w:div>
              </w:divsChild>
            </w:div>
            <w:div w:id="706640805">
              <w:marLeft w:val="0"/>
              <w:marRight w:val="0"/>
              <w:marTop w:val="0"/>
              <w:marBottom w:val="0"/>
              <w:divBdr>
                <w:top w:val="none" w:sz="0" w:space="0" w:color="auto"/>
                <w:left w:val="none" w:sz="0" w:space="0" w:color="auto"/>
                <w:bottom w:val="none" w:sz="0" w:space="0" w:color="auto"/>
                <w:right w:val="none" w:sz="0" w:space="0" w:color="auto"/>
              </w:divBdr>
              <w:divsChild>
                <w:div w:id="994262652">
                  <w:marLeft w:val="0"/>
                  <w:marRight w:val="0"/>
                  <w:marTop w:val="0"/>
                  <w:marBottom w:val="0"/>
                  <w:divBdr>
                    <w:top w:val="none" w:sz="0" w:space="0" w:color="auto"/>
                    <w:left w:val="none" w:sz="0" w:space="0" w:color="auto"/>
                    <w:bottom w:val="none" w:sz="0" w:space="0" w:color="auto"/>
                    <w:right w:val="none" w:sz="0" w:space="0" w:color="auto"/>
                  </w:divBdr>
                </w:div>
              </w:divsChild>
            </w:div>
            <w:div w:id="709572827">
              <w:marLeft w:val="0"/>
              <w:marRight w:val="0"/>
              <w:marTop w:val="0"/>
              <w:marBottom w:val="0"/>
              <w:divBdr>
                <w:top w:val="none" w:sz="0" w:space="0" w:color="auto"/>
                <w:left w:val="none" w:sz="0" w:space="0" w:color="auto"/>
                <w:bottom w:val="none" w:sz="0" w:space="0" w:color="auto"/>
                <w:right w:val="none" w:sz="0" w:space="0" w:color="auto"/>
              </w:divBdr>
              <w:divsChild>
                <w:div w:id="1226451899">
                  <w:marLeft w:val="0"/>
                  <w:marRight w:val="0"/>
                  <w:marTop w:val="0"/>
                  <w:marBottom w:val="0"/>
                  <w:divBdr>
                    <w:top w:val="none" w:sz="0" w:space="0" w:color="auto"/>
                    <w:left w:val="none" w:sz="0" w:space="0" w:color="auto"/>
                    <w:bottom w:val="none" w:sz="0" w:space="0" w:color="auto"/>
                    <w:right w:val="none" w:sz="0" w:space="0" w:color="auto"/>
                  </w:divBdr>
                </w:div>
              </w:divsChild>
            </w:div>
            <w:div w:id="710110366">
              <w:marLeft w:val="0"/>
              <w:marRight w:val="0"/>
              <w:marTop w:val="0"/>
              <w:marBottom w:val="0"/>
              <w:divBdr>
                <w:top w:val="none" w:sz="0" w:space="0" w:color="auto"/>
                <w:left w:val="none" w:sz="0" w:space="0" w:color="auto"/>
                <w:bottom w:val="none" w:sz="0" w:space="0" w:color="auto"/>
                <w:right w:val="none" w:sz="0" w:space="0" w:color="auto"/>
              </w:divBdr>
              <w:divsChild>
                <w:div w:id="404693676">
                  <w:marLeft w:val="0"/>
                  <w:marRight w:val="0"/>
                  <w:marTop w:val="0"/>
                  <w:marBottom w:val="0"/>
                  <w:divBdr>
                    <w:top w:val="none" w:sz="0" w:space="0" w:color="auto"/>
                    <w:left w:val="none" w:sz="0" w:space="0" w:color="auto"/>
                    <w:bottom w:val="none" w:sz="0" w:space="0" w:color="auto"/>
                    <w:right w:val="none" w:sz="0" w:space="0" w:color="auto"/>
                  </w:divBdr>
                </w:div>
              </w:divsChild>
            </w:div>
            <w:div w:id="710231522">
              <w:marLeft w:val="0"/>
              <w:marRight w:val="0"/>
              <w:marTop w:val="0"/>
              <w:marBottom w:val="0"/>
              <w:divBdr>
                <w:top w:val="none" w:sz="0" w:space="0" w:color="auto"/>
                <w:left w:val="none" w:sz="0" w:space="0" w:color="auto"/>
                <w:bottom w:val="none" w:sz="0" w:space="0" w:color="auto"/>
                <w:right w:val="none" w:sz="0" w:space="0" w:color="auto"/>
              </w:divBdr>
              <w:divsChild>
                <w:div w:id="3868170">
                  <w:marLeft w:val="0"/>
                  <w:marRight w:val="0"/>
                  <w:marTop w:val="0"/>
                  <w:marBottom w:val="0"/>
                  <w:divBdr>
                    <w:top w:val="none" w:sz="0" w:space="0" w:color="auto"/>
                    <w:left w:val="none" w:sz="0" w:space="0" w:color="auto"/>
                    <w:bottom w:val="none" w:sz="0" w:space="0" w:color="auto"/>
                    <w:right w:val="none" w:sz="0" w:space="0" w:color="auto"/>
                  </w:divBdr>
                </w:div>
              </w:divsChild>
            </w:div>
            <w:div w:id="711147891">
              <w:marLeft w:val="0"/>
              <w:marRight w:val="0"/>
              <w:marTop w:val="0"/>
              <w:marBottom w:val="0"/>
              <w:divBdr>
                <w:top w:val="none" w:sz="0" w:space="0" w:color="auto"/>
                <w:left w:val="none" w:sz="0" w:space="0" w:color="auto"/>
                <w:bottom w:val="none" w:sz="0" w:space="0" w:color="auto"/>
                <w:right w:val="none" w:sz="0" w:space="0" w:color="auto"/>
              </w:divBdr>
              <w:divsChild>
                <w:div w:id="205145874">
                  <w:marLeft w:val="0"/>
                  <w:marRight w:val="0"/>
                  <w:marTop w:val="0"/>
                  <w:marBottom w:val="0"/>
                  <w:divBdr>
                    <w:top w:val="none" w:sz="0" w:space="0" w:color="auto"/>
                    <w:left w:val="none" w:sz="0" w:space="0" w:color="auto"/>
                    <w:bottom w:val="none" w:sz="0" w:space="0" w:color="auto"/>
                    <w:right w:val="none" w:sz="0" w:space="0" w:color="auto"/>
                  </w:divBdr>
                </w:div>
              </w:divsChild>
            </w:div>
            <w:div w:id="713500769">
              <w:marLeft w:val="0"/>
              <w:marRight w:val="0"/>
              <w:marTop w:val="0"/>
              <w:marBottom w:val="0"/>
              <w:divBdr>
                <w:top w:val="none" w:sz="0" w:space="0" w:color="auto"/>
                <w:left w:val="none" w:sz="0" w:space="0" w:color="auto"/>
                <w:bottom w:val="none" w:sz="0" w:space="0" w:color="auto"/>
                <w:right w:val="none" w:sz="0" w:space="0" w:color="auto"/>
              </w:divBdr>
              <w:divsChild>
                <w:div w:id="2133933845">
                  <w:marLeft w:val="0"/>
                  <w:marRight w:val="0"/>
                  <w:marTop w:val="0"/>
                  <w:marBottom w:val="0"/>
                  <w:divBdr>
                    <w:top w:val="none" w:sz="0" w:space="0" w:color="auto"/>
                    <w:left w:val="none" w:sz="0" w:space="0" w:color="auto"/>
                    <w:bottom w:val="none" w:sz="0" w:space="0" w:color="auto"/>
                    <w:right w:val="none" w:sz="0" w:space="0" w:color="auto"/>
                  </w:divBdr>
                </w:div>
              </w:divsChild>
            </w:div>
            <w:div w:id="713583945">
              <w:marLeft w:val="0"/>
              <w:marRight w:val="0"/>
              <w:marTop w:val="0"/>
              <w:marBottom w:val="0"/>
              <w:divBdr>
                <w:top w:val="none" w:sz="0" w:space="0" w:color="auto"/>
                <w:left w:val="none" w:sz="0" w:space="0" w:color="auto"/>
                <w:bottom w:val="none" w:sz="0" w:space="0" w:color="auto"/>
                <w:right w:val="none" w:sz="0" w:space="0" w:color="auto"/>
              </w:divBdr>
              <w:divsChild>
                <w:div w:id="2092655210">
                  <w:marLeft w:val="0"/>
                  <w:marRight w:val="0"/>
                  <w:marTop w:val="0"/>
                  <w:marBottom w:val="0"/>
                  <w:divBdr>
                    <w:top w:val="none" w:sz="0" w:space="0" w:color="auto"/>
                    <w:left w:val="none" w:sz="0" w:space="0" w:color="auto"/>
                    <w:bottom w:val="none" w:sz="0" w:space="0" w:color="auto"/>
                    <w:right w:val="none" w:sz="0" w:space="0" w:color="auto"/>
                  </w:divBdr>
                </w:div>
              </w:divsChild>
            </w:div>
            <w:div w:id="713624096">
              <w:marLeft w:val="0"/>
              <w:marRight w:val="0"/>
              <w:marTop w:val="0"/>
              <w:marBottom w:val="0"/>
              <w:divBdr>
                <w:top w:val="none" w:sz="0" w:space="0" w:color="auto"/>
                <w:left w:val="none" w:sz="0" w:space="0" w:color="auto"/>
                <w:bottom w:val="none" w:sz="0" w:space="0" w:color="auto"/>
                <w:right w:val="none" w:sz="0" w:space="0" w:color="auto"/>
              </w:divBdr>
              <w:divsChild>
                <w:div w:id="956453738">
                  <w:marLeft w:val="0"/>
                  <w:marRight w:val="0"/>
                  <w:marTop w:val="0"/>
                  <w:marBottom w:val="0"/>
                  <w:divBdr>
                    <w:top w:val="none" w:sz="0" w:space="0" w:color="auto"/>
                    <w:left w:val="none" w:sz="0" w:space="0" w:color="auto"/>
                    <w:bottom w:val="none" w:sz="0" w:space="0" w:color="auto"/>
                    <w:right w:val="none" w:sz="0" w:space="0" w:color="auto"/>
                  </w:divBdr>
                </w:div>
              </w:divsChild>
            </w:div>
            <w:div w:id="713698989">
              <w:marLeft w:val="0"/>
              <w:marRight w:val="0"/>
              <w:marTop w:val="0"/>
              <w:marBottom w:val="0"/>
              <w:divBdr>
                <w:top w:val="none" w:sz="0" w:space="0" w:color="auto"/>
                <w:left w:val="none" w:sz="0" w:space="0" w:color="auto"/>
                <w:bottom w:val="none" w:sz="0" w:space="0" w:color="auto"/>
                <w:right w:val="none" w:sz="0" w:space="0" w:color="auto"/>
              </w:divBdr>
              <w:divsChild>
                <w:div w:id="1731297267">
                  <w:marLeft w:val="0"/>
                  <w:marRight w:val="0"/>
                  <w:marTop w:val="0"/>
                  <w:marBottom w:val="0"/>
                  <w:divBdr>
                    <w:top w:val="none" w:sz="0" w:space="0" w:color="auto"/>
                    <w:left w:val="none" w:sz="0" w:space="0" w:color="auto"/>
                    <w:bottom w:val="none" w:sz="0" w:space="0" w:color="auto"/>
                    <w:right w:val="none" w:sz="0" w:space="0" w:color="auto"/>
                  </w:divBdr>
                </w:div>
              </w:divsChild>
            </w:div>
            <w:div w:id="713970848">
              <w:marLeft w:val="0"/>
              <w:marRight w:val="0"/>
              <w:marTop w:val="0"/>
              <w:marBottom w:val="0"/>
              <w:divBdr>
                <w:top w:val="none" w:sz="0" w:space="0" w:color="auto"/>
                <w:left w:val="none" w:sz="0" w:space="0" w:color="auto"/>
                <w:bottom w:val="none" w:sz="0" w:space="0" w:color="auto"/>
                <w:right w:val="none" w:sz="0" w:space="0" w:color="auto"/>
              </w:divBdr>
              <w:divsChild>
                <w:div w:id="538471523">
                  <w:marLeft w:val="0"/>
                  <w:marRight w:val="0"/>
                  <w:marTop w:val="0"/>
                  <w:marBottom w:val="0"/>
                  <w:divBdr>
                    <w:top w:val="none" w:sz="0" w:space="0" w:color="auto"/>
                    <w:left w:val="none" w:sz="0" w:space="0" w:color="auto"/>
                    <w:bottom w:val="none" w:sz="0" w:space="0" w:color="auto"/>
                    <w:right w:val="none" w:sz="0" w:space="0" w:color="auto"/>
                  </w:divBdr>
                </w:div>
              </w:divsChild>
            </w:div>
            <w:div w:id="715591023">
              <w:marLeft w:val="0"/>
              <w:marRight w:val="0"/>
              <w:marTop w:val="0"/>
              <w:marBottom w:val="0"/>
              <w:divBdr>
                <w:top w:val="none" w:sz="0" w:space="0" w:color="auto"/>
                <w:left w:val="none" w:sz="0" w:space="0" w:color="auto"/>
                <w:bottom w:val="none" w:sz="0" w:space="0" w:color="auto"/>
                <w:right w:val="none" w:sz="0" w:space="0" w:color="auto"/>
              </w:divBdr>
              <w:divsChild>
                <w:div w:id="453795354">
                  <w:marLeft w:val="0"/>
                  <w:marRight w:val="0"/>
                  <w:marTop w:val="0"/>
                  <w:marBottom w:val="0"/>
                  <w:divBdr>
                    <w:top w:val="none" w:sz="0" w:space="0" w:color="auto"/>
                    <w:left w:val="none" w:sz="0" w:space="0" w:color="auto"/>
                    <w:bottom w:val="none" w:sz="0" w:space="0" w:color="auto"/>
                    <w:right w:val="none" w:sz="0" w:space="0" w:color="auto"/>
                  </w:divBdr>
                </w:div>
              </w:divsChild>
            </w:div>
            <w:div w:id="715935254">
              <w:marLeft w:val="0"/>
              <w:marRight w:val="0"/>
              <w:marTop w:val="300"/>
              <w:marBottom w:val="300"/>
              <w:divBdr>
                <w:top w:val="none" w:sz="0" w:space="0" w:color="auto"/>
                <w:left w:val="none" w:sz="0" w:space="0" w:color="auto"/>
                <w:bottom w:val="none" w:sz="0" w:space="0" w:color="auto"/>
                <w:right w:val="none" w:sz="0" w:space="0" w:color="auto"/>
              </w:divBdr>
            </w:div>
            <w:div w:id="716702695">
              <w:marLeft w:val="0"/>
              <w:marRight w:val="0"/>
              <w:marTop w:val="0"/>
              <w:marBottom w:val="0"/>
              <w:divBdr>
                <w:top w:val="none" w:sz="0" w:space="0" w:color="auto"/>
                <w:left w:val="none" w:sz="0" w:space="0" w:color="auto"/>
                <w:bottom w:val="none" w:sz="0" w:space="0" w:color="auto"/>
                <w:right w:val="none" w:sz="0" w:space="0" w:color="auto"/>
              </w:divBdr>
              <w:divsChild>
                <w:div w:id="1403872154">
                  <w:marLeft w:val="0"/>
                  <w:marRight w:val="0"/>
                  <w:marTop w:val="0"/>
                  <w:marBottom w:val="0"/>
                  <w:divBdr>
                    <w:top w:val="none" w:sz="0" w:space="0" w:color="auto"/>
                    <w:left w:val="none" w:sz="0" w:space="0" w:color="auto"/>
                    <w:bottom w:val="none" w:sz="0" w:space="0" w:color="auto"/>
                    <w:right w:val="none" w:sz="0" w:space="0" w:color="auto"/>
                  </w:divBdr>
                </w:div>
              </w:divsChild>
            </w:div>
            <w:div w:id="718018528">
              <w:marLeft w:val="0"/>
              <w:marRight w:val="0"/>
              <w:marTop w:val="0"/>
              <w:marBottom w:val="0"/>
              <w:divBdr>
                <w:top w:val="none" w:sz="0" w:space="0" w:color="auto"/>
                <w:left w:val="none" w:sz="0" w:space="0" w:color="auto"/>
                <w:bottom w:val="none" w:sz="0" w:space="0" w:color="auto"/>
                <w:right w:val="none" w:sz="0" w:space="0" w:color="auto"/>
              </w:divBdr>
              <w:divsChild>
                <w:div w:id="2004821419">
                  <w:marLeft w:val="0"/>
                  <w:marRight w:val="0"/>
                  <w:marTop w:val="0"/>
                  <w:marBottom w:val="0"/>
                  <w:divBdr>
                    <w:top w:val="none" w:sz="0" w:space="0" w:color="auto"/>
                    <w:left w:val="none" w:sz="0" w:space="0" w:color="auto"/>
                    <w:bottom w:val="none" w:sz="0" w:space="0" w:color="auto"/>
                    <w:right w:val="none" w:sz="0" w:space="0" w:color="auto"/>
                  </w:divBdr>
                </w:div>
              </w:divsChild>
            </w:div>
            <w:div w:id="718211070">
              <w:marLeft w:val="0"/>
              <w:marRight w:val="0"/>
              <w:marTop w:val="0"/>
              <w:marBottom w:val="0"/>
              <w:divBdr>
                <w:top w:val="none" w:sz="0" w:space="0" w:color="auto"/>
                <w:left w:val="none" w:sz="0" w:space="0" w:color="auto"/>
                <w:bottom w:val="none" w:sz="0" w:space="0" w:color="auto"/>
                <w:right w:val="none" w:sz="0" w:space="0" w:color="auto"/>
              </w:divBdr>
              <w:divsChild>
                <w:div w:id="2135784444">
                  <w:marLeft w:val="0"/>
                  <w:marRight w:val="0"/>
                  <w:marTop w:val="0"/>
                  <w:marBottom w:val="0"/>
                  <w:divBdr>
                    <w:top w:val="none" w:sz="0" w:space="0" w:color="auto"/>
                    <w:left w:val="none" w:sz="0" w:space="0" w:color="auto"/>
                    <w:bottom w:val="none" w:sz="0" w:space="0" w:color="auto"/>
                    <w:right w:val="none" w:sz="0" w:space="0" w:color="auto"/>
                  </w:divBdr>
                </w:div>
              </w:divsChild>
            </w:div>
            <w:div w:id="719207992">
              <w:marLeft w:val="0"/>
              <w:marRight w:val="0"/>
              <w:marTop w:val="0"/>
              <w:marBottom w:val="0"/>
              <w:divBdr>
                <w:top w:val="none" w:sz="0" w:space="0" w:color="auto"/>
                <w:left w:val="none" w:sz="0" w:space="0" w:color="auto"/>
                <w:bottom w:val="none" w:sz="0" w:space="0" w:color="auto"/>
                <w:right w:val="none" w:sz="0" w:space="0" w:color="auto"/>
              </w:divBdr>
              <w:divsChild>
                <w:div w:id="1419867148">
                  <w:marLeft w:val="0"/>
                  <w:marRight w:val="0"/>
                  <w:marTop w:val="0"/>
                  <w:marBottom w:val="0"/>
                  <w:divBdr>
                    <w:top w:val="none" w:sz="0" w:space="0" w:color="auto"/>
                    <w:left w:val="none" w:sz="0" w:space="0" w:color="auto"/>
                    <w:bottom w:val="none" w:sz="0" w:space="0" w:color="auto"/>
                    <w:right w:val="none" w:sz="0" w:space="0" w:color="auto"/>
                  </w:divBdr>
                </w:div>
              </w:divsChild>
            </w:div>
            <w:div w:id="720330572">
              <w:marLeft w:val="0"/>
              <w:marRight w:val="0"/>
              <w:marTop w:val="300"/>
              <w:marBottom w:val="300"/>
              <w:divBdr>
                <w:top w:val="none" w:sz="0" w:space="0" w:color="auto"/>
                <w:left w:val="none" w:sz="0" w:space="0" w:color="auto"/>
                <w:bottom w:val="none" w:sz="0" w:space="0" w:color="auto"/>
                <w:right w:val="none" w:sz="0" w:space="0" w:color="auto"/>
              </w:divBdr>
            </w:div>
            <w:div w:id="721248374">
              <w:marLeft w:val="0"/>
              <w:marRight w:val="0"/>
              <w:marTop w:val="300"/>
              <w:marBottom w:val="300"/>
              <w:divBdr>
                <w:top w:val="none" w:sz="0" w:space="0" w:color="auto"/>
                <w:left w:val="none" w:sz="0" w:space="0" w:color="auto"/>
                <w:bottom w:val="none" w:sz="0" w:space="0" w:color="auto"/>
                <w:right w:val="none" w:sz="0" w:space="0" w:color="auto"/>
              </w:divBdr>
            </w:div>
            <w:div w:id="721825085">
              <w:marLeft w:val="0"/>
              <w:marRight w:val="0"/>
              <w:marTop w:val="0"/>
              <w:marBottom w:val="0"/>
              <w:divBdr>
                <w:top w:val="none" w:sz="0" w:space="0" w:color="auto"/>
                <w:left w:val="none" w:sz="0" w:space="0" w:color="auto"/>
                <w:bottom w:val="none" w:sz="0" w:space="0" w:color="auto"/>
                <w:right w:val="none" w:sz="0" w:space="0" w:color="auto"/>
              </w:divBdr>
              <w:divsChild>
                <w:div w:id="779421184">
                  <w:marLeft w:val="0"/>
                  <w:marRight w:val="0"/>
                  <w:marTop w:val="0"/>
                  <w:marBottom w:val="0"/>
                  <w:divBdr>
                    <w:top w:val="none" w:sz="0" w:space="0" w:color="auto"/>
                    <w:left w:val="none" w:sz="0" w:space="0" w:color="auto"/>
                    <w:bottom w:val="none" w:sz="0" w:space="0" w:color="auto"/>
                    <w:right w:val="none" w:sz="0" w:space="0" w:color="auto"/>
                  </w:divBdr>
                </w:div>
              </w:divsChild>
            </w:div>
            <w:div w:id="722173474">
              <w:marLeft w:val="0"/>
              <w:marRight w:val="0"/>
              <w:marTop w:val="0"/>
              <w:marBottom w:val="0"/>
              <w:divBdr>
                <w:top w:val="none" w:sz="0" w:space="0" w:color="auto"/>
                <w:left w:val="none" w:sz="0" w:space="0" w:color="auto"/>
                <w:bottom w:val="none" w:sz="0" w:space="0" w:color="auto"/>
                <w:right w:val="none" w:sz="0" w:space="0" w:color="auto"/>
              </w:divBdr>
              <w:divsChild>
                <w:div w:id="1055931217">
                  <w:marLeft w:val="0"/>
                  <w:marRight w:val="0"/>
                  <w:marTop w:val="0"/>
                  <w:marBottom w:val="0"/>
                  <w:divBdr>
                    <w:top w:val="none" w:sz="0" w:space="0" w:color="auto"/>
                    <w:left w:val="none" w:sz="0" w:space="0" w:color="auto"/>
                    <w:bottom w:val="none" w:sz="0" w:space="0" w:color="auto"/>
                    <w:right w:val="none" w:sz="0" w:space="0" w:color="auto"/>
                  </w:divBdr>
                </w:div>
              </w:divsChild>
            </w:div>
            <w:div w:id="722562843">
              <w:marLeft w:val="0"/>
              <w:marRight w:val="0"/>
              <w:marTop w:val="300"/>
              <w:marBottom w:val="300"/>
              <w:divBdr>
                <w:top w:val="none" w:sz="0" w:space="0" w:color="auto"/>
                <w:left w:val="none" w:sz="0" w:space="0" w:color="auto"/>
                <w:bottom w:val="none" w:sz="0" w:space="0" w:color="auto"/>
                <w:right w:val="none" w:sz="0" w:space="0" w:color="auto"/>
              </w:divBdr>
            </w:div>
            <w:div w:id="723061838">
              <w:marLeft w:val="0"/>
              <w:marRight w:val="0"/>
              <w:marTop w:val="0"/>
              <w:marBottom w:val="0"/>
              <w:divBdr>
                <w:top w:val="none" w:sz="0" w:space="0" w:color="auto"/>
                <w:left w:val="none" w:sz="0" w:space="0" w:color="auto"/>
                <w:bottom w:val="none" w:sz="0" w:space="0" w:color="auto"/>
                <w:right w:val="none" w:sz="0" w:space="0" w:color="auto"/>
              </w:divBdr>
              <w:divsChild>
                <w:div w:id="1472137464">
                  <w:marLeft w:val="0"/>
                  <w:marRight w:val="0"/>
                  <w:marTop w:val="0"/>
                  <w:marBottom w:val="0"/>
                  <w:divBdr>
                    <w:top w:val="none" w:sz="0" w:space="0" w:color="auto"/>
                    <w:left w:val="none" w:sz="0" w:space="0" w:color="auto"/>
                    <w:bottom w:val="none" w:sz="0" w:space="0" w:color="auto"/>
                    <w:right w:val="none" w:sz="0" w:space="0" w:color="auto"/>
                  </w:divBdr>
                </w:div>
              </w:divsChild>
            </w:div>
            <w:div w:id="723256906">
              <w:marLeft w:val="0"/>
              <w:marRight w:val="0"/>
              <w:marTop w:val="0"/>
              <w:marBottom w:val="0"/>
              <w:divBdr>
                <w:top w:val="none" w:sz="0" w:space="0" w:color="auto"/>
                <w:left w:val="none" w:sz="0" w:space="0" w:color="auto"/>
                <w:bottom w:val="none" w:sz="0" w:space="0" w:color="auto"/>
                <w:right w:val="none" w:sz="0" w:space="0" w:color="auto"/>
              </w:divBdr>
              <w:divsChild>
                <w:div w:id="463472888">
                  <w:marLeft w:val="0"/>
                  <w:marRight w:val="0"/>
                  <w:marTop w:val="0"/>
                  <w:marBottom w:val="0"/>
                  <w:divBdr>
                    <w:top w:val="none" w:sz="0" w:space="0" w:color="auto"/>
                    <w:left w:val="none" w:sz="0" w:space="0" w:color="auto"/>
                    <w:bottom w:val="none" w:sz="0" w:space="0" w:color="auto"/>
                    <w:right w:val="none" w:sz="0" w:space="0" w:color="auto"/>
                  </w:divBdr>
                </w:div>
              </w:divsChild>
            </w:div>
            <w:div w:id="726295231">
              <w:marLeft w:val="0"/>
              <w:marRight w:val="0"/>
              <w:marTop w:val="0"/>
              <w:marBottom w:val="0"/>
              <w:divBdr>
                <w:top w:val="none" w:sz="0" w:space="0" w:color="auto"/>
                <w:left w:val="none" w:sz="0" w:space="0" w:color="auto"/>
                <w:bottom w:val="none" w:sz="0" w:space="0" w:color="auto"/>
                <w:right w:val="none" w:sz="0" w:space="0" w:color="auto"/>
              </w:divBdr>
              <w:divsChild>
                <w:div w:id="392238363">
                  <w:marLeft w:val="0"/>
                  <w:marRight w:val="0"/>
                  <w:marTop w:val="0"/>
                  <w:marBottom w:val="0"/>
                  <w:divBdr>
                    <w:top w:val="none" w:sz="0" w:space="0" w:color="auto"/>
                    <w:left w:val="none" w:sz="0" w:space="0" w:color="auto"/>
                    <w:bottom w:val="none" w:sz="0" w:space="0" w:color="auto"/>
                    <w:right w:val="none" w:sz="0" w:space="0" w:color="auto"/>
                  </w:divBdr>
                </w:div>
              </w:divsChild>
            </w:div>
            <w:div w:id="726760880">
              <w:marLeft w:val="0"/>
              <w:marRight w:val="0"/>
              <w:marTop w:val="300"/>
              <w:marBottom w:val="300"/>
              <w:divBdr>
                <w:top w:val="none" w:sz="0" w:space="0" w:color="auto"/>
                <w:left w:val="none" w:sz="0" w:space="0" w:color="auto"/>
                <w:bottom w:val="none" w:sz="0" w:space="0" w:color="auto"/>
                <w:right w:val="none" w:sz="0" w:space="0" w:color="auto"/>
              </w:divBdr>
            </w:div>
            <w:div w:id="726798897">
              <w:marLeft w:val="0"/>
              <w:marRight w:val="0"/>
              <w:marTop w:val="0"/>
              <w:marBottom w:val="0"/>
              <w:divBdr>
                <w:top w:val="none" w:sz="0" w:space="0" w:color="auto"/>
                <w:left w:val="none" w:sz="0" w:space="0" w:color="auto"/>
                <w:bottom w:val="none" w:sz="0" w:space="0" w:color="auto"/>
                <w:right w:val="none" w:sz="0" w:space="0" w:color="auto"/>
              </w:divBdr>
              <w:divsChild>
                <w:div w:id="1607616645">
                  <w:marLeft w:val="0"/>
                  <w:marRight w:val="0"/>
                  <w:marTop w:val="0"/>
                  <w:marBottom w:val="0"/>
                  <w:divBdr>
                    <w:top w:val="none" w:sz="0" w:space="0" w:color="auto"/>
                    <w:left w:val="none" w:sz="0" w:space="0" w:color="auto"/>
                    <w:bottom w:val="none" w:sz="0" w:space="0" w:color="auto"/>
                    <w:right w:val="none" w:sz="0" w:space="0" w:color="auto"/>
                  </w:divBdr>
                </w:div>
              </w:divsChild>
            </w:div>
            <w:div w:id="729306801">
              <w:marLeft w:val="0"/>
              <w:marRight w:val="0"/>
              <w:marTop w:val="0"/>
              <w:marBottom w:val="0"/>
              <w:divBdr>
                <w:top w:val="none" w:sz="0" w:space="0" w:color="auto"/>
                <w:left w:val="none" w:sz="0" w:space="0" w:color="auto"/>
                <w:bottom w:val="none" w:sz="0" w:space="0" w:color="auto"/>
                <w:right w:val="none" w:sz="0" w:space="0" w:color="auto"/>
              </w:divBdr>
              <w:divsChild>
                <w:div w:id="1854369724">
                  <w:marLeft w:val="0"/>
                  <w:marRight w:val="0"/>
                  <w:marTop w:val="0"/>
                  <w:marBottom w:val="0"/>
                  <w:divBdr>
                    <w:top w:val="none" w:sz="0" w:space="0" w:color="auto"/>
                    <w:left w:val="none" w:sz="0" w:space="0" w:color="auto"/>
                    <w:bottom w:val="none" w:sz="0" w:space="0" w:color="auto"/>
                    <w:right w:val="none" w:sz="0" w:space="0" w:color="auto"/>
                  </w:divBdr>
                </w:div>
              </w:divsChild>
            </w:div>
            <w:div w:id="730662636">
              <w:marLeft w:val="0"/>
              <w:marRight w:val="0"/>
              <w:marTop w:val="0"/>
              <w:marBottom w:val="0"/>
              <w:divBdr>
                <w:top w:val="none" w:sz="0" w:space="0" w:color="auto"/>
                <w:left w:val="none" w:sz="0" w:space="0" w:color="auto"/>
                <w:bottom w:val="none" w:sz="0" w:space="0" w:color="auto"/>
                <w:right w:val="none" w:sz="0" w:space="0" w:color="auto"/>
              </w:divBdr>
              <w:divsChild>
                <w:div w:id="588390206">
                  <w:marLeft w:val="0"/>
                  <w:marRight w:val="0"/>
                  <w:marTop w:val="0"/>
                  <w:marBottom w:val="0"/>
                  <w:divBdr>
                    <w:top w:val="none" w:sz="0" w:space="0" w:color="auto"/>
                    <w:left w:val="none" w:sz="0" w:space="0" w:color="auto"/>
                    <w:bottom w:val="none" w:sz="0" w:space="0" w:color="auto"/>
                    <w:right w:val="none" w:sz="0" w:space="0" w:color="auto"/>
                  </w:divBdr>
                </w:div>
              </w:divsChild>
            </w:div>
            <w:div w:id="730923851">
              <w:marLeft w:val="0"/>
              <w:marRight w:val="0"/>
              <w:marTop w:val="0"/>
              <w:marBottom w:val="0"/>
              <w:divBdr>
                <w:top w:val="none" w:sz="0" w:space="0" w:color="auto"/>
                <w:left w:val="none" w:sz="0" w:space="0" w:color="auto"/>
                <w:bottom w:val="none" w:sz="0" w:space="0" w:color="auto"/>
                <w:right w:val="none" w:sz="0" w:space="0" w:color="auto"/>
              </w:divBdr>
              <w:divsChild>
                <w:div w:id="280847335">
                  <w:marLeft w:val="0"/>
                  <w:marRight w:val="0"/>
                  <w:marTop w:val="0"/>
                  <w:marBottom w:val="0"/>
                  <w:divBdr>
                    <w:top w:val="none" w:sz="0" w:space="0" w:color="auto"/>
                    <w:left w:val="none" w:sz="0" w:space="0" w:color="auto"/>
                    <w:bottom w:val="none" w:sz="0" w:space="0" w:color="auto"/>
                    <w:right w:val="none" w:sz="0" w:space="0" w:color="auto"/>
                  </w:divBdr>
                </w:div>
              </w:divsChild>
            </w:div>
            <w:div w:id="731544932">
              <w:marLeft w:val="0"/>
              <w:marRight w:val="0"/>
              <w:marTop w:val="300"/>
              <w:marBottom w:val="300"/>
              <w:divBdr>
                <w:top w:val="none" w:sz="0" w:space="0" w:color="auto"/>
                <w:left w:val="none" w:sz="0" w:space="0" w:color="auto"/>
                <w:bottom w:val="none" w:sz="0" w:space="0" w:color="auto"/>
                <w:right w:val="none" w:sz="0" w:space="0" w:color="auto"/>
              </w:divBdr>
            </w:div>
            <w:div w:id="732779235">
              <w:marLeft w:val="0"/>
              <w:marRight w:val="0"/>
              <w:marTop w:val="0"/>
              <w:marBottom w:val="0"/>
              <w:divBdr>
                <w:top w:val="none" w:sz="0" w:space="0" w:color="auto"/>
                <w:left w:val="none" w:sz="0" w:space="0" w:color="auto"/>
                <w:bottom w:val="none" w:sz="0" w:space="0" w:color="auto"/>
                <w:right w:val="none" w:sz="0" w:space="0" w:color="auto"/>
              </w:divBdr>
              <w:divsChild>
                <w:div w:id="2045905948">
                  <w:marLeft w:val="0"/>
                  <w:marRight w:val="0"/>
                  <w:marTop w:val="0"/>
                  <w:marBottom w:val="0"/>
                  <w:divBdr>
                    <w:top w:val="none" w:sz="0" w:space="0" w:color="auto"/>
                    <w:left w:val="none" w:sz="0" w:space="0" w:color="auto"/>
                    <w:bottom w:val="none" w:sz="0" w:space="0" w:color="auto"/>
                    <w:right w:val="none" w:sz="0" w:space="0" w:color="auto"/>
                  </w:divBdr>
                </w:div>
              </w:divsChild>
            </w:div>
            <w:div w:id="734401146">
              <w:marLeft w:val="0"/>
              <w:marRight w:val="0"/>
              <w:marTop w:val="0"/>
              <w:marBottom w:val="0"/>
              <w:divBdr>
                <w:top w:val="none" w:sz="0" w:space="0" w:color="auto"/>
                <w:left w:val="none" w:sz="0" w:space="0" w:color="auto"/>
                <w:bottom w:val="none" w:sz="0" w:space="0" w:color="auto"/>
                <w:right w:val="none" w:sz="0" w:space="0" w:color="auto"/>
              </w:divBdr>
              <w:divsChild>
                <w:div w:id="1698434560">
                  <w:marLeft w:val="0"/>
                  <w:marRight w:val="0"/>
                  <w:marTop w:val="0"/>
                  <w:marBottom w:val="0"/>
                  <w:divBdr>
                    <w:top w:val="none" w:sz="0" w:space="0" w:color="auto"/>
                    <w:left w:val="none" w:sz="0" w:space="0" w:color="auto"/>
                    <w:bottom w:val="none" w:sz="0" w:space="0" w:color="auto"/>
                    <w:right w:val="none" w:sz="0" w:space="0" w:color="auto"/>
                  </w:divBdr>
                </w:div>
              </w:divsChild>
            </w:div>
            <w:div w:id="735006826">
              <w:marLeft w:val="0"/>
              <w:marRight w:val="0"/>
              <w:marTop w:val="0"/>
              <w:marBottom w:val="0"/>
              <w:divBdr>
                <w:top w:val="none" w:sz="0" w:space="0" w:color="auto"/>
                <w:left w:val="none" w:sz="0" w:space="0" w:color="auto"/>
                <w:bottom w:val="none" w:sz="0" w:space="0" w:color="auto"/>
                <w:right w:val="none" w:sz="0" w:space="0" w:color="auto"/>
              </w:divBdr>
              <w:divsChild>
                <w:div w:id="1319654704">
                  <w:marLeft w:val="0"/>
                  <w:marRight w:val="0"/>
                  <w:marTop w:val="0"/>
                  <w:marBottom w:val="0"/>
                  <w:divBdr>
                    <w:top w:val="none" w:sz="0" w:space="0" w:color="auto"/>
                    <w:left w:val="none" w:sz="0" w:space="0" w:color="auto"/>
                    <w:bottom w:val="none" w:sz="0" w:space="0" w:color="auto"/>
                    <w:right w:val="none" w:sz="0" w:space="0" w:color="auto"/>
                  </w:divBdr>
                </w:div>
              </w:divsChild>
            </w:div>
            <w:div w:id="735318818">
              <w:marLeft w:val="0"/>
              <w:marRight w:val="0"/>
              <w:marTop w:val="0"/>
              <w:marBottom w:val="0"/>
              <w:divBdr>
                <w:top w:val="none" w:sz="0" w:space="0" w:color="auto"/>
                <w:left w:val="none" w:sz="0" w:space="0" w:color="auto"/>
                <w:bottom w:val="none" w:sz="0" w:space="0" w:color="auto"/>
                <w:right w:val="none" w:sz="0" w:space="0" w:color="auto"/>
              </w:divBdr>
              <w:divsChild>
                <w:div w:id="1882470622">
                  <w:marLeft w:val="0"/>
                  <w:marRight w:val="0"/>
                  <w:marTop w:val="0"/>
                  <w:marBottom w:val="0"/>
                  <w:divBdr>
                    <w:top w:val="none" w:sz="0" w:space="0" w:color="auto"/>
                    <w:left w:val="none" w:sz="0" w:space="0" w:color="auto"/>
                    <w:bottom w:val="none" w:sz="0" w:space="0" w:color="auto"/>
                    <w:right w:val="none" w:sz="0" w:space="0" w:color="auto"/>
                  </w:divBdr>
                </w:div>
              </w:divsChild>
            </w:div>
            <w:div w:id="736124389">
              <w:marLeft w:val="0"/>
              <w:marRight w:val="0"/>
              <w:marTop w:val="300"/>
              <w:marBottom w:val="300"/>
              <w:divBdr>
                <w:top w:val="none" w:sz="0" w:space="0" w:color="auto"/>
                <w:left w:val="none" w:sz="0" w:space="0" w:color="auto"/>
                <w:bottom w:val="none" w:sz="0" w:space="0" w:color="auto"/>
                <w:right w:val="none" w:sz="0" w:space="0" w:color="auto"/>
              </w:divBdr>
            </w:div>
            <w:div w:id="736323863">
              <w:marLeft w:val="0"/>
              <w:marRight w:val="0"/>
              <w:marTop w:val="0"/>
              <w:marBottom w:val="0"/>
              <w:divBdr>
                <w:top w:val="none" w:sz="0" w:space="0" w:color="auto"/>
                <w:left w:val="none" w:sz="0" w:space="0" w:color="auto"/>
                <w:bottom w:val="none" w:sz="0" w:space="0" w:color="auto"/>
                <w:right w:val="none" w:sz="0" w:space="0" w:color="auto"/>
              </w:divBdr>
              <w:divsChild>
                <w:div w:id="551385848">
                  <w:marLeft w:val="0"/>
                  <w:marRight w:val="0"/>
                  <w:marTop w:val="0"/>
                  <w:marBottom w:val="0"/>
                  <w:divBdr>
                    <w:top w:val="none" w:sz="0" w:space="0" w:color="auto"/>
                    <w:left w:val="none" w:sz="0" w:space="0" w:color="auto"/>
                    <w:bottom w:val="none" w:sz="0" w:space="0" w:color="auto"/>
                    <w:right w:val="none" w:sz="0" w:space="0" w:color="auto"/>
                  </w:divBdr>
                </w:div>
              </w:divsChild>
            </w:div>
            <w:div w:id="736703578">
              <w:marLeft w:val="0"/>
              <w:marRight w:val="0"/>
              <w:marTop w:val="0"/>
              <w:marBottom w:val="0"/>
              <w:divBdr>
                <w:top w:val="none" w:sz="0" w:space="0" w:color="auto"/>
                <w:left w:val="none" w:sz="0" w:space="0" w:color="auto"/>
                <w:bottom w:val="none" w:sz="0" w:space="0" w:color="auto"/>
                <w:right w:val="none" w:sz="0" w:space="0" w:color="auto"/>
              </w:divBdr>
              <w:divsChild>
                <w:div w:id="996106128">
                  <w:marLeft w:val="0"/>
                  <w:marRight w:val="0"/>
                  <w:marTop w:val="0"/>
                  <w:marBottom w:val="0"/>
                  <w:divBdr>
                    <w:top w:val="none" w:sz="0" w:space="0" w:color="auto"/>
                    <w:left w:val="none" w:sz="0" w:space="0" w:color="auto"/>
                    <w:bottom w:val="none" w:sz="0" w:space="0" w:color="auto"/>
                    <w:right w:val="none" w:sz="0" w:space="0" w:color="auto"/>
                  </w:divBdr>
                </w:div>
              </w:divsChild>
            </w:div>
            <w:div w:id="737480937">
              <w:marLeft w:val="0"/>
              <w:marRight w:val="0"/>
              <w:marTop w:val="300"/>
              <w:marBottom w:val="300"/>
              <w:divBdr>
                <w:top w:val="none" w:sz="0" w:space="0" w:color="auto"/>
                <w:left w:val="none" w:sz="0" w:space="0" w:color="auto"/>
                <w:bottom w:val="none" w:sz="0" w:space="0" w:color="auto"/>
                <w:right w:val="none" w:sz="0" w:space="0" w:color="auto"/>
              </w:divBdr>
            </w:div>
            <w:div w:id="738334120">
              <w:marLeft w:val="0"/>
              <w:marRight w:val="0"/>
              <w:marTop w:val="0"/>
              <w:marBottom w:val="0"/>
              <w:divBdr>
                <w:top w:val="none" w:sz="0" w:space="0" w:color="auto"/>
                <w:left w:val="none" w:sz="0" w:space="0" w:color="auto"/>
                <w:bottom w:val="none" w:sz="0" w:space="0" w:color="auto"/>
                <w:right w:val="none" w:sz="0" w:space="0" w:color="auto"/>
              </w:divBdr>
              <w:divsChild>
                <w:div w:id="848568330">
                  <w:marLeft w:val="0"/>
                  <w:marRight w:val="0"/>
                  <w:marTop w:val="0"/>
                  <w:marBottom w:val="0"/>
                  <w:divBdr>
                    <w:top w:val="none" w:sz="0" w:space="0" w:color="auto"/>
                    <w:left w:val="none" w:sz="0" w:space="0" w:color="auto"/>
                    <w:bottom w:val="none" w:sz="0" w:space="0" w:color="auto"/>
                    <w:right w:val="none" w:sz="0" w:space="0" w:color="auto"/>
                  </w:divBdr>
                </w:div>
              </w:divsChild>
            </w:div>
            <w:div w:id="738357624">
              <w:marLeft w:val="0"/>
              <w:marRight w:val="0"/>
              <w:marTop w:val="300"/>
              <w:marBottom w:val="300"/>
              <w:divBdr>
                <w:top w:val="none" w:sz="0" w:space="0" w:color="auto"/>
                <w:left w:val="none" w:sz="0" w:space="0" w:color="auto"/>
                <w:bottom w:val="none" w:sz="0" w:space="0" w:color="auto"/>
                <w:right w:val="none" w:sz="0" w:space="0" w:color="auto"/>
              </w:divBdr>
            </w:div>
            <w:div w:id="740058939">
              <w:marLeft w:val="0"/>
              <w:marRight w:val="0"/>
              <w:marTop w:val="0"/>
              <w:marBottom w:val="0"/>
              <w:divBdr>
                <w:top w:val="none" w:sz="0" w:space="0" w:color="auto"/>
                <w:left w:val="none" w:sz="0" w:space="0" w:color="auto"/>
                <w:bottom w:val="none" w:sz="0" w:space="0" w:color="auto"/>
                <w:right w:val="none" w:sz="0" w:space="0" w:color="auto"/>
              </w:divBdr>
              <w:divsChild>
                <w:div w:id="190387576">
                  <w:marLeft w:val="0"/>
                  <w:marRight w:val="0"/>
                  <w:marTop w:val="0"/>
                  <w:marBottom w:val="0"/>
                  <w:divBdr>
                    <w:top w:val="none" w:sz="0" w:space="0" w:color="auto"/>
                    <w:left w:val="none" w:sz="0" w:space="0" w:color="auto"/>
                    <w:bottom w:val="none" w:sz="0" w:space="0" w:color="auto"/>
                    <w:right w:val="none" w:sz="0" w:space="0" w:color="auto"/>
                  </w:divBdr>
                </w:div>
              </w:divsChild>
            </w:div>
            <w:div w:id="740565715">
              <w:marLeft w:val="0"/>
              <w:marRight w:val="0"/>
              <w:marTop w:val="0"/>
              <w:marBottom w:val="0"/>
              <w:divBdr>
                <w:top w:val="none" w:sz="0" w:space="0" w:color="auto"/>
                <w:left w:val="none" w:sz="0" w:space="0" w:color="auto"/>
                <w:bottom w:val="none" w:sz="0" w:space="0" w:color="auto"/>
                <w:right w:val="none" w:sz="0" w:space="0" w:color="auto"/>
              </w:divBdr>
              <w:divsChild>
                <w:div w:id="854267129">
                  <w:marLeft w:val="0"/>
                  <w:marRight w:val="0"/>
                  <w:marTop w:val="0"/>
                  <w:marBottom w:val="0"/>
                  <w:divBdr>
                    <w:top w:val="none" w:sz="0" w:space="0" w:color="auto"/>
                    <w:left w:val="none" w:sz="0" w:space="0" w:color="auto"/>
                    <w:bottom w:val="none" w:sz="0" w:space="0" w:color="auto"/>
                    <w:right w:val="none" w:sz="0" w:space="0" w:color="auto"/>
                  </w:divBdr>
                </w:div>
              </w:divsChild>
            </w:div>
            <w:div w:id="741215082">
              <w:marLeft w:val="0"/>
              <w:marRight w:val="0"/>
              <w:marTop w:val="0"/>
              <w:marBottom w:val="0"/>
              <w:divBdr>
                <w:top w:val="none" w:sz="0" w:space="0" w:color="auto"/>
                <w:left w:val="none" w:sz="0" w:space="0" w:color="auto"/>
                <w:bottom w:val="none" w:sz="0" w:space="0" w:color="auto"/>
                <w:right w:val="none" w:sz="0" w:space="0" w:color="auto"/>
              </w:divBdr>
              <w:divsChild>
                <w:div w:id="41682845">
                  <w:marLeft w:val="0"/>
                  <w:marRight w:val="0"/>
                  <w:marTop w:val="0"/>
                  <w:marBottom w:val="0"/>
                  <w:divBdr>
                    <w:top w:val="none" w:sz="0" w:space="0" w:color="auto"/>
                    <w:left w:val="none" w:sz="0" w:space="0" w:color="auto"/>
                    <w:bottom w:val="none" w:sz="0" w:space="0" w:color="auto"/>
                    <w:right w:val="none" w:sz="0" w:space="0" w:color="auto"/>
                  </w:divBdr>
                </w:div>
              </w:divsChild>
            </w:div>
            <w:div w:id="741409384">
              <w:marLeft w:val="0"/>
              <w:marRight w:val="0"/>
              <w:marTop w:val="300"/>
              <w:marBottom w:val="300"/>
              <w:divBdr>
                <w:top w:val="none" w:sz="0" w:space="0" w:color="auto"/>
                <w:left w:val="none" w:sz="0" w:space="0" w:color="auto"/>
                <w:bottom w:val="none" w:sz="0" w:space="0" w:color="auto"/>
                <w:right w:val="none" w:sz="0" w:space="0" w:color="auto"/>
              </w:divBdr>
            </w:div>
            <w:div w:id="741833638">
              <w:marLeft w:val="0"/>
              <w:marRight w:val="0"/>
              <w:marTop w:val="0"/>
              <w:marBottom w:val="0"/>
              <w:divBdr>
                <w:top w:val="none" w:sz="0" w:space="0" w:color="auto"/>
                <w:left w:val="none" w:sz="0" w:space="0" w:color="auto"/>
                <w:bottom w:val="none" w:sz="0" w:space="0" w:color="auto"/>
                <w:right w:val="none" w:sz="0" w:space="0" w:color="auto"/>
              </w:divBdr>
              <w:divsChild>
                <w:div w:id="78530906">
                  <w:marLeft w:val="0"/>
                  <w:marRight w:val="0"/>
                  <w:marTop w:val="0"/>
                  <w:marBottom w:val="0"/>
                  <w:divBdr>
                    <w:top w:val="none" w:sz="0" w:space="0" w:color="auto"/>
                    <w:left w:val="none" w:sz="0" w:space="0" w:color="auto"/>
                    <w:bottom w:val="none" w:sz="0" w:space="0" w:color="auto"/>
                    <w:right w:val="none" w:sz="0" w:space="0" w:color="auto"/>
                  </w:divBdr>
                </w:div>
              </w:divsChild>
            </w:div>
            <w:div w:id="742458796">
              <w:marLeft w:val="0"/>
              <w:marRight w:val="0"/>
              <w:marTop w:val="0"/>
              <w:marBottom w:val="0"/>
              <w:divBdr>
                <w:top w:val="none" w:sz="0" w:space="0" w:color="auto"/>
                <w:left w:val="none" w:sz="0" w:space="0" w:color="auto"/>
                <w:bottom w:val="none" w:sz="0" w:space="0" w:color="auto"/>
                <w:right w:val="none" w:sz="0" w:space="0" w:color="auto"/>
              </w:divBdr>
              <w:divsChild>
                <w:div w:id="1751124450">
                  <w:marLeft w:val="0"/>
                  <w:marRight w:val="0"/>
                  <w:marTop w:val="0"/>
                  <w:marBottom w:val="0"/>
                  <w:divBdr>
                    <w:top w:val="none" w:sz="0" w:space="0" w:color="auto"/>
                    <w:left w:val="none" w:sz="0" w:space="0" w:color="auto"/>
                    <w:bottom w:val="none" w:sz="0" w:space="0" w:color="auto"/>
                    <w:right w:val="none" w:sz="0" w:space="0" w:color="auto"/>
                  </w:divBdr>
                </w:div>
              </w:divsChild>
            </w:div>
            <w:div w:id="742873596">
              <w:marLeft w:val="0"/>
              <w:marRight w:val="0"/>
              <w:marTop w:val="300"/>
              <w:marBottom w:val="300"/>
              <w:divBdr>
                <w:top w:val="none" w:sz="0" w:space="0" w:color="auto"/>
                <w:left w:val="none" w:sz="0" w:space="0" w:color="auto"/>
                <w:bottom w:val="none" w:sz="0" w:space="0" w:color="auto"/>
                <w:right w:val="none" w:sz="0" w:space="0" w:color="auto"/>
              </w:divBdr>
            </w:div>
            <w:div w:id="743720699">
              <w:marLeft w:val="0"/>
              <w:marRight w:val="0"/>
              <w:marTop w:val="300"/>
              <w:marBottom w:val="300"/>
              <w:divBdr>
                <w:top w:val="none" w:sz="0" w:space="0" w:color="auto"/>
                <w:left w:val="none" w:sz="0" w:space="0" w:color="auto"/>
                <w:bottom w:val="none" w:sz="0" w:space="0" w:color="auto"/>
                <w:right w:val="none" w:sz="0" w:space="0" w:color="auto"/>
              </w:divBdr>
            </w:div>
            <w:div w:id="744885524">
              <w:marLeft w:val="0"/>
              <w:marRight w:val="0"/>
              <w:marTop w:val="0"/>
              <w:marBottom w:val="0"/>
              <w:divBdr>
                <w:top w:val="none" w:sz="0" w:space="0" w:color="auto"/>
                <w:left w:val="none" w:sz="0" w:space="0" w:color="auto"/>
                <w:bottom w:val="none" w:sz="0" w:space="0" w:color="auto"/>
                <w:right w:val="none" w:sz="0" w:space="0" w:color="auto"/>
              </w:divBdr>
              <w:divsChild>
                <w:div w:id="251281857">
                  <w:marLeft w:val="0"/>
                  <w:marRight w:val="0"/>
                  <w:marTop w:val="0"/>
                  <w:marBottom w:val="0"/>
                  <w:divBdr>
                    <w:top w:val="none" w:sz="0" w:space="0" w:color="auto"/>
                    <w:left w:val="none" w:sz="0" w:space="0" w:color="auto"/>
                    <w:bottom w:val="none" w:sz="0" w:space="0" w:color="auto"/>
                    <w:right w:val="none" w:sz="0" w:space="0" w:color="auto"/>
                  </w:divBdr>
                </w:div>
              </w:divsChild>
            </w:div>
            <w:div w:id="746000782">
              <w:marLeft w:val="0"/>
              <w:marRight w:val="0"/>
              <w:marTop w:val="300"/>
              <w:marBottom w:val="300"/>
              <w:divBdr>
                <w:top w:val="none" w:sz="0" w:space="0" w:color="auto"/>
                <w:left w:val="none" w:sz="0" w:space="0" w:color="auto"/>
                <w:bottom w:val="none" w:sz="0" w:space="0" w:color="auto"/>
                <w:right w:val="none" w:sz="0" w:space="0" w:color="auto"/>
              </w:divBdr>
            </w:div>
            <w:div w:id="747969596">
              <w:marLeft w:val="0"/>
              <w:marRight w:val="0"/>
              <w:marTop w:val="0"/>
              <w:marBottom w:val="0"/>
              <w:divBdr>
                <w:top w:val="none" w:sz="0" w:space="0" w:color="auto"/>
                <w:left w:val="none" w:sz="0" w:space="0" w:color="auto"/>
                <w:bottom w:val="none" w:sz="0" w:space="0" w:color="auto"/>
                <w:right w:val="none" w:sz="0" w:space="0" w:color="auto"/>
              </w:divBdr>
              <w:divsChild>
                <w:div w:id="1502164717">
                  <w:marLeft w:val="0"/>
                  <w:marRight w:val="0"/>
                  <w:marTop w:val="0"/>
                  <w:marBottom w:val="0"/>
                  <w:divBdr>
                    <w:top w:val="none" w:sz="0" w:space="0" w:color="auto"/>
                    <w:left w:val="none" w:sz="0" w:space="0" w:color="auto"/>
                    <w:bottom w:val="none" w:sz="0" w:space="0" w:color="auto"/>
                    <w:right w:val="none" w:sz="0" w:space="0" w:color="auto"/>
                  </w:divBdr>
                </w:div>
              </w:divsChild>
            </w:div>
            <w:div w:id="748160037">
              <w:marLeft w:val="0"/>
              <w:marRight w:val="0"/>
              <w:marTop w:val="0"/>
              <w:marBottom w:val="0"/>
              <w:divBdr>
                <w:top w:val="none" w:sz="0" w:space="0" w:color="auto"/>
                <w:left w:val="none" w:sz="0" w:space="0" w:color="auto"/>
                <w:bottom w:val="none" w:sz="0" w:space="0" w:color="auto"/>
                <w:right w:val="none" w:sz="0" w:space="0" w:color="auto"/>
              </w:divBdr>
              <w:divsChild>
                <w:div w:id="104930277">
                  <w:marLeft w:val="0"/>
                  <w:marRight w:val="0"/>
                  <w:marTop w:val="0"/>
                  <w:marBottom w:val="0"/>
                  <w:divBdr>
                    <w:top w:val="none" w:sz="0" w:space="0" w:color="auto"/>
                    <w:left w:val="none" w:sz="0" w:space="0" w:color="auto"/>
                    <w:bottom w:val="none" w:sz="0" w:space="0" w:color="auto"/>
                    <w:right w:val="none" w:sz="0" w:space="0" w:color="auto"/>
                  </w:divBdr>
                </w:div>
              </w:divsChild>
            </w:div>
            <w:div w:id="748617866">
              <w:marLeft w:val="0"/>
              <w:marRight w:val="0"/>
              <w:marTop w:val="0"/>
              <w:marBottom w:val="0"/>
              <w:divBdr>
                <w:top w:val="none" w:sz="0" w:space="0" w:color="auto"/>
                <w:left w:val="none" w:sz="0" w:space="0" w:color="auto"/>
                <w:bottom w:val="none" w:sz="0" w:space="0" w:color="auto"/>
                <w:right w:val="none" w:sz="0" w:space="0" w:color="auto"/>
              </w:divBdr>
              <w:divsChild>
                <w:div w:id="963736839">
                  <w:marLeft w:val="0"/>
                  <w:marRight w:val="0"/>
                  <w:marTop w:val="0"/>
                  <w:marBottom w:val="0"/>
                  <w:divBdr>
                    <w:top w:val="none" w:sz="0" w:space="0" w:color="auto"/>
                    <w:left w:val="none" w:sz="0" w:space="0" w:color="auto"/>
                    <w:bottom w:val="none" w:sz="0" w:space="0" w:color="auto"/>
                    <w:right w:val="none" w:sz="0" w:space="0" w:color="auto"/>
                  </w:divBdr>
                </w:div>
              </w:divsChild>
            </w:div>
            <w:div w:id="749473611">
              <w:marLeft w:val="0"/>
              <w:marRight w:val="0"/>
              <w:marTop w:val="300"/>
              <w:marBottom w:val="300"/>
              <w:divBdr>
                <w:top w:val="none" w:sz="0" w:space="0" w:color="auto"/>
                <w:left w:val="none" w:sz="0" w:space="0" w:color="auto"/>
                <w:bottom w:val="none" w:sz="0" w:space="0" w:color="auto"/>
                <w:right w:val="none" w:sz="0" w:space="0" w:color="auto"/>
              </w:divBdr>
            </w:div>
            <w:div w:id="749618078">
              <w:marLeft w:val="0"/>
              <w:marRight w:val="0"/>
              <w:marTop w:val="0"/>
              <w:marBottom w:val="0"/>
              <w:divBdr>
                <w:top w:val="none" w:sz="0" w:space="0" w:color="auto"/>
                <w:left w:val="none" w:sz="0" w:space="0" w:color="auto"/>
                <w:bottom w:val="none" w:sz="0" w:space="0" w:color="auto"/>
                <w:right w:val="none" w:sz="0" w:space="0" w:color="auto"/>
              </w:divBdr>
              <w:divsChild>
                <w:div w:id="556667486">
                  <w:marLeft w:val="0"/>
                  <w:marRight w:val="0"/>
                  <w:marTop w:val="0"/>
                  <w:marBottom w:val="0"/>
                  <w:divBdr>
                    <w:top w:val="none" w:sz="0" w:space="0" w:color="auto"/>
                    <w:left w:val="none" w:sz="0" w:space="0" w:color="auto"/>
                    <w:bottom w:val="none" w:sz="0" w:space="0" w:color="auto"/>
                    <w:right w:val="none" w:sz="0" w:space="0" w:color="auto"/>
                  </w:divBdr>
                </w:div>
              </w:divsChild>
            </w:div>
            <w:div w:id="749620251">
              <w:marLeft w:val="0"/>
              <w:marRight w:val="0"/>
              <w:marTop w:val="300"/>
              <w:marBottom w:val="300"/>
              <w:divBdr>
                <w:top w:val="none" w:sz="0" w:space="0" w:color="auto"/>
                <w:left w:val="none" w:sz="0" w:space="0" w:color="auto"/>
                <w:bottom w:val="none" w:sz="0" w:space="0" w:color="auto"/>
                <w:right w:val="none" w:sz="0" w:space="0" w:color="auto"/>
              </w:divBdr>
            </w:div>
            <w:div w:id="750394422">
              <w:marLeft w:val="0"/>
              <w:marRight w:val="0"/>
              <w:marTop w:val="0"/>
              <w:marBottom w:val="0"/>
              <w:divBdr>
                <w:top w:val="none" w:sz="0" w:space="0" w:color="auto"/>
                <w:left w:val="none" w:sz="0" w:space="0" w:color="auto"/>
                <w:bottom w:val="none" w:sz="0" w:space="0" w:color="auto"/>
                <w:right w:val="none" w:sz="0" w:space="0" w:color="auto"/>
              </w:divBdr>
              <w:divsChild>
                <w:div w:id="941381449">
                  <w:marLeft w:val="0"/>
                  <w:marRight w:val="0"/>
                  <w:marTop w:val="0"/>
                  <w:marBottom w:val="0"/>
                  <w:divBdr>
                    <w:top w:val="none" w:sz="0" w:space="0" w:color="auto"/>
                    <w:left w:val="none" w:sz="0" w:space="0" w:color="auto"/>
                    <w:bottom w:val="none" w:sz="0" w:space="0" w:color="auto"/>
                    <w:right w:val="none" w:sz="0" w:space="0" w:color="auto"/>
                  </w:divBdr>
                </w:div>
              </w:divsChild>
            </w:div>
            <w:div w:id="750467669">
              <w:marLeft w:val="0"/>
              <w:marRight w:val="0"/>
              <w:marTop w:val="0"/>
              <w:marBottom w:val="0"/>
              <w:divBdr>
                <w:top w:val="none" w:sz="0" w:space="0" w:color="auto"/>
                <w:left w:val="none" w:sz="0" w:space="0" w:color="auto"/>
                <w:bottom w:val="none" w:sz="0" w:space="0" w:color="auto"/>
                <w:right w:val="none" w:sz="0" w:space="0" w:color="auto"/>
              </w:divBdr>
              <w:divsChild>
                <w:div w:id="464126253">
                  <w:marLeft w:val="0"/>
                  <w:marRight w:val="0"/>
                  <w:marTop w:val="0"/>
                  <w:marBottom w:val="0"/>
                  <w:divBdr>
                    <w:top w:val="none" w:sz="0" w:space="0" w:color="auto"/>
                    <w:left w:val="none" w:sz="0" w:space="0" w:color="auto"/>
                    <w:bottom w:val="none" w:sz="0" w:space="0" w:color="auto"/>
                    <w:right w:val="none" w:sz="0" w:space="0" w:color="auto"/>
                  </w:divBdr>
                </w:div>
              </w:divsChild>
            </w:div>
            <w:div w:id="751508374">
              <w:marLeft w:val="0"/>
              <w:marRight w:val="0"/>
              <w:marTop w:val="0"/>
              <w:marBottom w:val="0"/>
              <w:divBdr>
                <w:top w:val="none" w:sz="0" w:space="0" w:color="auto"/>
                <w:left w:val="none" w:sz="0" w:space="0" w:color="auto"/>
                <w:bottom w:val="none" w:sz="0" w:space="0" w:color="auto"/>
                <w:right w:val="none" w:sz="0" w:space="0" w:color="auto"/>
              </w:divBdr>
              <w:divsChild>
                <w:div w:id="1706445377">
                  <w:marLeft w:val="0"/>
                  <w:marRight w:val="0"/>
                  <w:marTop w:val="0"/>
                  <w:marBottom w:val="0"/>
                  <w:divBdr>
                    <w:top w:val="none" w:sz="0" w:space="0" w:color="auto"/>
                    <w:left w:val="none" w:sz="0" w:space="0" w:color="auto"/>
                    <w:bottom w:val="none" w:sz="0" w:space="0" w:color="auto"/>
                    <w:right w:val="none" w:sz="0" w:space="0" w:color="auto"/>
                  </w:divBdr>
                </w:div>
              </w:divsChild>
            </w:div>
            <w:div w:id="753624501">
              <w:marLeft w:val="0"/>
              <w:marRight w:val="0"/>
              <w:marTop w:val="0"/>
              <w:marBottom w:val="0"/>
              <w:divBdr>
                <w:top w:val="none" w:sz="0" w:space="0" w:color="auto"/>
                <w:left w:val="none" w:sz="0" w:space="0" w:color="auto"/>
                <w:bottom w:val="none" w:sz="0" w:space="0" w:color="auto"/>
                <w:right w:val="none" w:sz="0" w:space="0" w:color="auto"/>
              </w:divBdr>
              <w:divsChild>
                <w:div w:id="1385253474">
                  <w:marLeft w:val="0"/>
                  <w:marRight w:val="0"/>
                  <w:marTop w:val="0"/>
                  <w:marBottom w:val="0"/>
                  <w:divBdr>
                    <w:top w:val="none" w:sz="0" w:space="0" w:color="auto"/>
                    <w:left w:val="none" w:sz="0" w:space="0" w:color="auto"/>
                    <w:bottom w:val="none" w:sz="0" w:space="0" w:color="auto"/>
                    <w:right w:val="none" w:sz="0" w:space="0" w:color="auto"/>
                  </w:divBdr>
                </w:div>
              </w:divsChild>
            </w:div>
            <w:div w:id="754975749">
              <w:marLeft w:val="0"/>
              <w:marRight w:val="0"/>
              <w:marTop w:val="0"/>
              <w:marBottom w:val="0"/>
              <w:divBdr>
                <w:top w:val="none" w:sz="0" w:space="0" w:color="auto"/>
                <w:left w:val="none" w:sz="0" w:space="0" w:color="auto"/>
                <w:bottom w:val="none" w:sz="0" w:space="0" w:color="auto"/>
                <w:right w:val="none" w:sz="0" w:space="0" w:color="auto"/>
              </w:divBdr>
              <w:divsChild>
                <w:div w:id="1932926886">
                  <w:marLeft w:val="0"/>
                  <w:marRight w:val="0"/>
                  <w:marTop w:val="0"/>
                  <w:marBottom w:val="0"/>
                  <w:divBdr>
                    <w:top w:val="none" w:sz="0" w:space="0" w:color="auto"/>
                    <w:left w:val="none" w:sz="0" w:space="0" w:color="auto"/>
                    <w:bottom w:val="none" w:sz="0" w:space="0" w:color="auto"/>
                    <w:right w:val="none" w:sz="0" w:space="0" w:color="auto"/>
                  </w:divBdr>
                </w:div>
              </w:divsChild>
            </w:div>
            <w:div w:id="755440375">
              <w:marLeft w:val="0"/>
              <w:marRight w:val="0"/>
              <w:marTop w:val="0"/>
              <w:marBottom w:val="0"/>
              <w:divBdr>
                <w:top w:val="none" w:sz="0" w:space="0" w:color="auto"/>
                <w:left w:val="none" w:sz="0" w:space="0" w:color="auto"/>
                <w:bottom w:val="none" w:sz="0" w:space="0" w:color="auto"/>
                <w:right w:val="none" w:sz="0" w:space="0" w:color="auto"/>
              </w:divBdr>
              <w:divsChild>
                <w:div w:id="16086946">
                  <w:marLeft w:val="0"/>
                  <w:marRight w:val="0"/>
                  <w:marTop w:val="0"/>
                  <w:marBottom w:val="0"/>
                  <w:divBdr>
                    <w:top w:val="none" w:sz="0" w:space="0" w:color="auto"/>
                    <w:left w:val="none" w:sz="0" w:space="0" w:color="auto"/>
                    <w:bottom w:val="none" w:sz="0" w:space="0" w:color="auto"/>
                    <w:right w:val="none" w:sz="0" w:space="0" w:color="auto"/>
                  </w:divBdr>
                </w:div>
              </w:divsChild>
            </w:div>
            <w:div w:id="755706254">
              <w:marLeft w:val="0"/>
              <w:marRight w:val="0"/>
              <w:marTop w:val="300"/>
              <w:marBottom w:val="300"/>
              <w:divBdr>
                <w:top w:val="none" w:sz="0" w:space="0" w:color="auto"/>
                <w:left w:val="none" w:sz="0" w:space="0" w:color="auto"/>
                <w:bottom w:val="none" w:sz="0" w:space="0" w:color="auto"/>
                <w:right w:val="none" w:sz="0" w:space="0" w:color="auto"/>
              </w:divBdr>
            </w:div>
            <w:div w:id="757673729">
              <w:marLeft w:val="0"/>
              <w:marRight w:val="0"/>
              <w:marTop w:val="0"/>
              <w:marBottom w:val="0"/>
              <w:divBdr>
                <w:top w:val="none" w:sz="0" w:space="0" w:color="auto"/>
                <w:left w:val="none" w:sz="0" w:space="0" w:color="auto"/>
                <w:bottom w:val="none" w:sz="0" w:space="0" w:color="auto"/>
                <w:right w:val="none" w:sz="0" w:space="0" w:color="auto"/>
              </w:divBdr>
              <w:divsChild>
                <w:div w:id="2020812627">
                  <w:marLeft w:val="0"/>
                  <w:marRight w:val="0"/>
                  <w:marTop w:val="0"/>
                  <w:marBottom w:val="0"/>
                  <w:divBdr>
                    <w:top w:val="none" w:sz="0" w:space="0" w:color="auto"/>
                    <w:left w:val="none" w:sz="0" w:space="0" w:color="auto"/>
                    <w:bottom w:val="none" w:sz="0" w:space="0" w:color="auto"/>
                    <w:right w:val="none" w:sz="0" w:space="0" w:color="auto"/>
                  </w:divBdr>
                </w:div>
              </w:divsChild>
            </w:div>
            <w:div w:id="760217999">
              <w:marLeft w:val="0"/>
              <w:marRight w:val="0"/>
              <w:marTop w:val="0"/>
              <w:marBottom w:val="0"/>
              <w:divBdr>
                <w:top w:val="none" w:sz="0" w:space="0" w:color="auto"/>
                <w:left w:val="none" w:sz="0" w:space="0" w:color="auto"/>
                <w:bottom w:val="none" w:sz="0" w:space="0" w:color="auto"/>
                <w:right w:val="none" w:sz="0" w:space="0" w:color="auto"/>
              </w:divBdr>
              <w:divsChild>
                <w:div w:id="1961718286">
                  <w:marLeft w:val="0"/>
                  <w:marRight w:val="0"/>
                  <w:marTop w:val="0"/>
                  <w:marBottom w:val="0"/>
                  <w:divBdr>
                    <w:top w:val="none" w:sz="0" w:space="0" w:color="auto"/>
                    <w:left w:val="none" w:sz="0" w:space="0" w:color="auto"/>
                    <w:bottom w:val="none" w:sz="0" w:space="0" w:color="auto"/>
                    <w:right w:val="none" w:sz="0" w:space="0" w:color="auto"/>
                  </w:divBdr>
                </w:div>
              </w:divsChild>
            </w:div>
            <w:div w:id="760375443">
              <w:marLeft w:val="0"/>
              <w:marRight w:val="0"/>
              <w:marTop w:val="0"/>
              <w:marBottom w:val="0"/>
              <w:divBdr>
                <w:top w:val="none" w:sz="0" w:space="0" w:color="auto"/>
                <w:left w:val="none" w:sz="0" w:space="0" w:color="auto"/>
                <w:bottom w:val="none" w:sz="0" w:space="0" w:color="auto"/>
                <w:right w:val="none" w:sz="0" w:space="0" w:color="auto"/>
              </w:divBdr>
              <w:divsChild>
                <w:div w:id="67240654">
                  <w:marLeft w:val="0"/>
                  <w:marRight w:val="0"/>
                  <w:marTop w:val="0"/>
                  <w:marBottom w:val="0"/>
                  <w:divBdr>
                    <w:top w:val="none" w:sz="0" w:space="0" w:color="auto"/>
                    <w:left w:val="none" w:sz="0" w:space="0" w:color="auto"/>
                    <w:bottom w:val="none" w:sz="0" w:space="0" w:color="auto"/>
                    <w:right w:val="none" w:sz="0" w:space="0" w:color="auto"/>
                  </w:divBdr>
                </w:div>
              </w:divsChild>
            </w:div>
            <w:div w:id="760874438">
              <w:marLeft w:val="0"/>
              <w:marRight w:val="0"/>
              <w:marTop w:val="0"/>
              <w:marBottom w:val="0"/>
              <w:divBdr>
                <w:top w:val="none" w:sz="0" w:space="0" w:color="auto"/>
                <w:left w:val="none" w:sz="0" w:space="0" w:color="auto"/>
                <w:bottom w:val="none" w:sz="0" w:space="0" w:color="auto"/>
                <w:right w:val="none" w:sz="0" w:space="0" w:color="auto"/>
              </w:divBdr>
              <w:divsChild>
                <w:div w:id="481386554">
                  <w:marLeft w:val="0"/>
                  <w:marRight w:val="0"/>
                  <w:marTop w:val="0"/>
                  <w:marBottom w:val="0"/>
                  <w:divBdr>
                    <w:top w:val="none" w:sz="0" w:space="0" w:color="auto"/>
                    <w:left w:val="none" w:sz="0" w:space="0" w:color="auto"/>
                    <w:bottom w:val="none" w:sz="0" w:space="0" w:color="auto"/>
                    <w:right w:val="none" w:sz="0" w:space="0" w:color="auto"/>
                  </w:divBdr>
                </w:div>
              </w:divsChild>
            </w:div>
            <w:div w:id="762722083">
              <w:marLeft w:val="0"/>
              <w:marRight w:val="0"/>
              <w:marTop w:val="0"/>
              <w:marBottom w:val="0"/>
              <w:divBdr>
                <w:top w:val="none" w:sz="0" w:space="0" w:color="auto"/>
                <w:left w:val="none" w:sz="0" w:space="0" w:color="auto"/>
                <w:bottom w:val="none" w:sz="0" w:space="0" w:color="auto"/>
                <w:right w:val="none" w:sz="0" w:space="0" w:color="auto"/>
              </w:divBdr>
              <w:divsChild>
                <w:div w:id="202249662">
                  <w:marLeft w:val="0"/>
                  <w:marRight w:val="0"/>
                  <w:marTop w:val="0"/>
                  <w:marBottom w:val="0"/>
                  <w:divBdr>
                    <w:top w:val="none" w:sz="0" w:space="0" w:color="auto"/>
                    <w:left w:val="none" w:sz="0" w:space="0" w:color="auto"/>
                    <w:bottom w:val="none" w:sz="0" w:space="0" w:color="auto"/>
                    <w:right w:val="none" w:sz="0" w:space="0" w:color="auto"/>
                  </w:divBdr>
                </w:div>
              </w:divsChild>
            </w:div>
            <w:div w:id="763497253">
              <w:marLeft w:val="0"/>
              <w:marRight w:val="0"/>
              <w:marTop w:val="0"/>
              <w:marBottom w:val="0"/>
              <w:divBdr>
                <w:top w:val="none" w:sz="0" w:space="0" w:color="auto"/>
                <w:left w:val="none" w:sz="0" w:space="0" w:color="auto"/>
                <w:bottom w:val="none" w:sz="0" w:space="0" w:color="auto"/>
                <w:right w:val="none" w:sz="0" w:space="0" w:color="auto"/>
              </w:divBdr>
              <w:divsChild>
                <w:div w:id="722555858">
                  <w:marLeft w:val="0"/>
                  <w:marRight w:val="0"/>
                  <w:marTop w:val="0"/>
                  <w:marBottom w:val="0"/>
                  <w:divBdr>
                    <w:top w:val="none" w:sz="0" w:space="0" w:color="auto"/>
                    <w:left w:val="none" w:sz="0" w:space="0" w:color="auto"/>
                    <w:bottom w:val="none" w:sz="0" w:space="0" w:color="auto"/>
                    <w:right w:val="none" w:sz="0" w:space="0" w:color="auto"/>
                  </w:divBdr>
                </w:div>
              </w:divsChild>
            </w:div>
            <w:div w:id="763574625">
              <w:marLeft w:val="0"/>
              <w:marRight w:val="0"/>
              <w:marTop w:val="0"/>
              <w:marBottom w:val="0"/>
              <w:divBdr>
                <w:top w:val="none" w:sz="0" w:space="0" w:color="auto"/>
                <w:left w:val="none" w:sz="0" w:space="0" w:color="auto"/>
                <w:bottom w:val="none" w:sz="0" w:space="0" w:color="auto"/>
                <w:right w:val="none" w:sz="0" w:space="0" w:color="auto"/>
              </w:divBdr>
              <w:divsChild>
                <w:div w:id="341666207">
                  <w:marLeft w:val="0"/>
                  <w:marRight w:val="0"/>
                  <w:marTop w:val="0"/>
                  <w:marBottom w:val="0"/>
                  <w:divBdr>
                    <w:top w:val="none" w:sz="0" w:space="0" w:color="auto"/>
                    <w:left w:val="none" w:sz="0" w:space="0" w:color="auto"/>
                    <w:bottom w:val="none" w:sz="0" w:space="0" w:color="auto"/>
                    <w:right w:val="none" w:sz="0" w:space="0" w:color="auto"/>
                  </w:divBdr>
                </w:div>
              </w:divsChild>
            </w:div>
            <w:div w:id="765926453">
              <w:marLeft w:val="0"/>
              <w:marRight w:val="0"/>
              <w:marTop w:val="0"/>
              <w:marBottom w:val="0"/>
              <w:divBdr>
                <w:top w:val="none" w:sz="0" w:space="0" w:color="auto"/>
                <w:left w:val="none" w:sz="0" w:space="0" w:color="auto"/>
                <w:bottom w:val="none" w:sz="0" w:space="0" w:color="auto"/>
                <w:right w:val="none" w:sz="0" w:space="0" w:color="auto"/>
              </w:divBdr>
              <w:divsChild>
                <w:div w:id="2126001020">
                  <w:marLeft w:val="0"/>
                  <w:marRight w:val="0"/>
                  <w:marTop w:val="0"/>
                  <w:marBottom w:val="0"/>
                  <w:divBdr>
                    <w:top w:val="none" w:sz="0" w:space="0" w:color="auto"/>
                    <w:left w:val="none" w:sz="0" w:space="0" w:color="auto"/>
                    <w:bottom w:val="none" w:sz="0" w:space="0" w:color="auto"/>
                    <w:right w:val="none" w:sz="0" w:space="0" w:color="auto"/>
                  </w:divBdr>
                </w:div>
              </w:divsChild>
            </w:div>
            <w:div w:id="771053749">
              <w:marLeft w:val="0"/>
              <w:marRight w:val="0"/>
              <w:marTop w:val="0"/>
              <w:marBottom w:val="0"/>
              <w:divBdr>
                <w:top w:val="none" w:sz="0" w:space="0" w:color="auto"/>
                <w:left w:val="none" w:sz="0" w:space="0" w:color="auto"/>
                <w:bottom w:val="none" w:sz="0" w:space="0" w:color="auto"/>
                <w:right w:val="none" w:sz="0" w:space="0" w:color="auto"/>
              </w:divBdr>
              <w:divsChild>
                <w:div w:id="1564945722">
                  <w:marLeft w:val="0"/>
                  <w:marRight w:val="0"/>
                  <w:marTop w:val="0"/>
                  <w:marBottom w:val="0"/>
                  <w:divBdr>
                    <w:top w:val="none" w:sz="0" w:space="0" w:color="auto"/>
                    <w:left w:val="none" w:sz="0" w:space="0" w:color="auto"/>
                    <w:bottom w:val="none" w:sz="0" w:space="0" w:color="auto"/>
                    <w:right w:val="none" w:sz="0" w:space="0" w:color="auto"/>
                  </w:divBdr>
                </w:div>
              </w:divsChild>
            </w:div>
            <w:div w:id="771825706">
              <w:marLeft w:val="0"/>
              <w:marRight w:val="0"/>
              <w:marTop w:val="0"/>
              <w:marBottom w:val="0"/>
              <w:divBdr>
                <w:top w:val="none" w:sz="0" w:space="0" w:color="auto"/>
                <w:left w:val="none" w:sz="0" w:space="0" w:color="auto"/>
                <w:bottom w:val="none" w:sz="0" w:space="0" w:color="auto"/>
                <w:right w:val="none" w:sz="0" w:space="0" w:color="auto"/>
              </w:divBdr>
              <w:divsChild>
                <w:div w:id="1336954663">
                  <w:marLeft w:val="0"/>
                  <w:marRight w:val="0"/>
                  <w:marTop w:val="0"/>
                  <w:marBottom w:val="0"/>
                  <w:divBdr>
                    <w:top w:val="none" w:sz="0" w:space="0" w:color="auto"/>
                    <w:left w:val="none" w:sz="0" w:space="0" w:color="auto"/>
                    <w:bottom w:val="none" w:sz="0" w:space="0" w:color="auto"/>
                    <w:right w:val="none" w:sz="0" w:space="0" w:color="auto"/>
                  </w:divBdr>
                </w:div>
              </w:divsChild>
            </w:div>
            <w:div w:id="778842170">
              <w:marLeft w:val="0"/>
              <w:marRight w:val="0"/>
              <w:marTop w:val="0"/>
              <w:marBottom w:val="0"/>
              <w:divBdr>
                <w:top w:val="none" w:sz="0" w:space="0" w:color="auto"/>
                <w:left w:val="none" w:sz="0" w:space="0" w:color="auto"/>
                <w:bottom w:val="none" w:sz="0" w:space="0" w:color="auto"/>
                <w:right w:val="none" w:sz="0" w:space="0" w:color="auto"/>
              </w:divBdr>
              <w:divsChild>
                <w:div w:id="515584879">
                  <w:marLeft w:val="0"/>
                  <w:marRight w:val="0"/>
                  <w:marTop w:val="0"/>
                  <w:marBottom w:val="0"/>
                  <w:divBdr>
                    <w:top w:val="none" w:sz="0" w:space="0" w:color="auto"/>
                    <w:left w:val="none" w:sz="0" w:space="0" w:color="auto"/>
                    <w:bottom w:val="none" w:sz="0" w:space="0" w:color="auto"/>
                    <w:right w:val="none" w:sz="0" w:space="0" w:color="auto"/>
                  </w:divBdr>
                </w:div>
              </w:divsChild>
            </w:div>
            <w:div w:id="779836912">
              <w:marLeft w:val="0"/>
              <w:marRight w:val="0"/>
              <w:marTop w:val="300"/>
              <w:marBottom w:val="300"/>
              <w:divBdr>
                <w:top w:val="none" w:sz="0" w:space="0" w:color="auto"/>
                <w:left w:val="none" w:sz="0" w:space="0" w:color="auto"/>
                <w:bottom w:val="none" w:sz="0" w:space="0" w:color="auto"/>
                <w:right w:val="none" w:sz="0" w:space="0" w:color="auto"/>
              </w:divBdr>
            </w:div>
            <w:div w:id="779957861">
              <w:marLeft w:val="0"/>
              <w:marRight w:val="0"/>
              <w:marTop w:val="0"/>
              <w:marBottom w:val="0"/>
              <w:divBdr>
                <w:top w:val="none" w:sz="0" w:space="0" w:color="auto"/>
                <w:left w:val="none" w:sz="0" w:space="0" w:color="auto"/>
                <w:bottom w:val="none" w:sz="0" w:space="0" w:color="auto"/>
                <w:right w:val="none" w:sz="0" w:space="0" w:color="auto"/>
              </w:divBdr>
              <w:divsChild>
                <w:div w:id="681206492">
                  <w:marLeft w:val="0"/>
                  <w:marRight w:val="0"/>
                  <w:marTop w:val="0"/>
                  <w:marBottom w:val="0"/>
                  <w:divBdr>
                    <w:top w:val="none" w:sz="0" w:space="0" w:color="auto"/>
                    <w:left w:val="none" w:sz="0" w:space="0" w:color="auto"/>
                    <w:bottom w:val="none" w:sz="0" w:space="0" w:color="auto"/>
                    <w:right w:val="none" w:sz="0" w:space="0" w:color="auto"/>
                  </w:divBdr>
                </w:div>
              </w:divsChild>
            </w:div>
            <w:div w:id="784035684">
              <w:marLeft w:val="0"/>
              <w:marRight w:val="0"/>
              <w:marTop w:val="0"/>
              <w:marBottom w:val="0"/>
              <w:divBdr>
                <w:top w:val="none" w:sz="0" w:space="0" w:color="auto"/>
                <w:left w:val="none" w:sz="0" w:space="0" w:color="auto"/>
                <w:bottom w:val="none" w:sz="0" w:space="0" w:color="auto"/>
                <w:right w:val="none" w:sz="0" w:space="0" w:color="auto"/>
              </w:divBdr>
              <w:divsChild>
                <w:div w:id="265774131">
                  <w:marLeft w:val="0"/>
                  <w:marRight w:val="0"/>
                  <w:marTop w:val="0"/>
                  <w:marBottom w:val="0"/>
                  <w:divBdr>
                    <w:top w:val="none" w:sz="0" w:space="0" w:color="auto"/>
                    <w:left w:val="none" w:sz="0" w:space="0" w:color="auto"/>
                    <w:bottom w:val="none" w:sz="0" w:space="0" w:color="auto"/>
                    <w:right w:val="none" w:sz="0" w:space="0" w:color="auto"/>
                  </w:divBdr>
                </w:div>
              </w:divsChild>
            </w:div>
            <w:div w:id="784352054">
              <w:marLeft w:val="0"/>
              <w:marRight w:val="0"/>
              <w:marTop w:val="300"/>
              <w:marBottom w:val="300"/>
              <w:divBdr>
                <w:top w:val="none" w:sz="0" w:space="0" w:color="auto"/>
                <w:left w:val="none" w:sz="0" w:space="0" w:color="auto"/>
                <w:bottom w:val="none" w:sz="0" w:space="0" w:color="auto"/>
                <w:right w:val="none" w:sz="0" w:space="0" w:color="auto"/>
              </w:divBdr>
            </w:div>
            <w:div w:id="784545115">
              <w:marLeft w:val="0"/>
              <w:marRight w:val="0"/>
              <w:marTop w:val="0"/>
              <w:marBottom w:val="0"/>
              <w:divBdr>
                <w:top w:val="none" w:sz="0" w:space="0" w:color="auto"/>
                <w:left w:val="none" w:sz="0" w:space="0" w:color="auto"/>
                <w:bottom w:val="none" w:sz="0" w:space="0" w:color="auto"/>
                <w:right w:val="none" w:sz="0" w:space="0" w:color="auto"/>
              </w:divBdr>
              <w:divsChild>
                <w:div w:id="797844113">
                  <w:marLeft w:val="0"/>
                  <w:marRight w:val="0"/>
                  <w:marTop w:val="0"/>
                  <w:marBottom w:val="0"/>
                  <w:divBdr>
                    <w:top w:val="none" w:sz="0" w:space="0" w:color="auto"/>
                    <w:left w:val="none" w:sz="0" w:space="0" w:color="auto"/>
                    <w:bottom w:val="none" w:sz="0" w:space="0" w:color="auto"/>
                    <w:right w:val="none" w:sz="0" w:space="0" w:color="auto"/>
                  </w:divBdr>
                </w:div>
              </w:divsChild>
            </w:div>
            <w:div w:id="784808497">
              <w:marLeft w:val="0"/>
              <w:marRight w:val="0"/>
              <w:marTop w:val="0"/>
              <w:marBottom w:val="0"/>
              <w:divBdr>
                <w:top w:val="none" w:sz="0" w:space="0" w:color="auto"/>
                <w:left w:val="none" w:sz="0" w:space="0" w:color="auto"/>
                <w:bottom w:val="none" w:sz="0" w:space="0" w:color="auto"/>
                <w:right w:val="none" w:sz="0" w:space="0" w:color="auto"/>
              </w:divBdr>
              <w:divsChild>
                <w:div w:id="554855760">
                  <w:marLeft w:val="0"/>
                  <w:marRight w:val="0"/>
                  <w:marTop w:val="0"/>
                  <w:marBottom w:val="0"/>
                  <w:divBdr>
                    <w:top w:val="none" w:sz="0" w:space="0" w:color="auto"/>
                    <w:left w:val="none" w:sz="0" w:space="0" w:color="auto"/>
                    <w:bottom w:val="none" w:sz="0" w:space="0" w:color="auto"/>
                    <w:right w:val="none" w:sz="0" w:space="0" w:color="auto"/>
                  </w:divBdr>
                </w:div>
              </w:divsChild>
            </w:div>
            <w:div w:id="787435879">
              <w:marLeft w:val="0"/>
              <w:marRight w:val="0"/>
              <w:marTop w:val="0"/>
              <w:marBottom w:val="0"/>
              <w:divBdr>
                <w:top w:val="none" w:sz="0" w:space="0" w:color="auto"/>
                <w:left w:val="none" w:sz="0" w:space="0" w:color="auto"/>
                <w:bottom w:val="none" w:sz="0" w:space="0" w:color="auto"/>
                <w:right w:val="none" w:sz="0" w:space="0" w:color="auto"/>
              </w:divBdr>
              <w:divsChild>
                <w:div w:id="1063025167">
                  <w:marLeft w:val="0"/>
                  <w:marRight w:val="0"/>
                  <w:marTop w:val="0"/>
                  <w:marBottom w:val="0"/>
                  <w:divBdr>
                    <w:top w:val="none" w:sz="0" w:space="0" w:color="auto"/>
                    <w:left w:val="none" w:sz="0" w:space="0" w:color="auto"/>
                    <w:bottom w:val="none" w:sz="0" w:space="0" w:color="auto"/>
                    <w:right w:val="none" w:sz="0" w:space="0" w:color="auto"/>
                  </w:divBdr>
                </w:div>
              </w:divsChild>
            </w:div>
            <w:div w:id="787509125">
              <w:marLeft w:val="0"/>
              <w:marRight w:val="0"/>
              <w:marTop w:val="0"/>
              <w:marBottom w:val="0"/>
              <w:divBdr>
                <w:top w:val="none" w:sz="0" w:space="0" w:color="auto"/>
                <w:left w:val="none" w:sz="0" w:space="0" w:color="auto"/>
                <w:bottom w:val="none" w:sz="0" w:space="0" w:color="auto"/>
                <w:right w:val="none" w:sz="0" w:space="0" w:color="auto"/>
              </w:divBdr>
              <w:divsChild>
                <w:div w:id="165443333">
                  <w:marLeft w:val="0"/>
                  <w:marRight w:val="0"/>
                  <w:marTop w:val="0"/>
                  <w:marBottom w:val="0"/>
                  <w:divBdr>
                    <w:top w:val="none" w:sz="0" w:space="0" w:color="auto"/>
                    <w:left w:val="none" w:sz="0" w:space="0" w:color="auto"/>
                    <w:bottom w:val="none" w:sz="0" w:space="0" w:color="auto"/>
                    <w:right w:val="none" w:sz="0" w:space="0" w:color="auto"/>
                  </w:divBdr>
                </w:div>
              </w:divsChild>
            </w:div>
            <w:div w:id="787699075">
              <w:marLeft w:val="0"/>
              <w:marRight w:val="0"/>
              <w:marTop w:val="0"/>
              <w:marBottom w:val="0"/>
              <w:divBdr>
                <w:top w:val="none" w:sz="0" w:space="0" w:color="auto"/>
                <w:left w:val="none" w:sz="0" w:space="0" w:color="auto"/>
                <w:bottom w:val="none" w:sz="0" w:space="0" w:color="auto"/>
                <w:right w:val="none" w:sz="0" w:space="0" w:color="auto"/>
              </w:divBdr>
              <w:divsChild>
                <w:div w:id="381903530">
                  <w:marLeft w:val="0"/>
                  <w:marRight w:val="0"/>
                  <w:marTop w:val="0"/>
                  <w:marBottom w:val="0"/>
                  <w:divBdr>
                    <w:top w:val="none" w:sz="0" w:space="0" w:color="auto"/>
                    <w:left w:val="none" w:sz="0" w:space="0" w:color="auto"/>
                    <w:bottom w:val="none" w:sz="0" w:space="0" w:color="auto"/>
                    <w:right w:val="none" w:sz="0" w:space="0" w:color="auto"/>
                  </w:divBdr>
                </w:div>
              </w:divsChild>
            </w:div>
            <w:div w:id="790126062">
              <w:marLeft w:val="0"/>
              <w:marRight w:val="0"/>
              <w:marTop w:val="300"/>
              <w:marBottom w:val="300"/>
              <w:divBdr>
                <w:top w:val="none" w:sz="0" w:space="0" w:color="auto"/>
                <w:left w:val="none" w:sz="0" w:space="0" w:color="auto"/>
                <w:bottom w:val="none" w:sz="0" w:space="0" w:color="auto"/>
                <w:right w:val="none" w:sz="0" w:space="0" w:color="auto"/>
              </w:divBdr>
            </w:div>
            <w:div w:id="790587795">
              <w:marLeft w:val="0"/>
              <w:marRight w:val="0"/>
              <w:marTop w:val="0"/>
              <w:marBottom w:val="0"/>
              <w:divBdr>
                <w:top w:val="none" w:sz="0" w:space="0" w:color="auto"/>
                <w:left w:val="none" w:sz="0" w:space="0" w:color="auto"/>
                <w:bottom w:val="none" w:sz="0" w:space="0" w:color="auto"/>
                <w:right w:val="none" w:sz="0" w:space="0" w:color="auto"/>
              </w:divBdr>
              <w:divsChild>
                <w:div w:id="1272857813">
                  <w:marLeft w:val="0"/>
                  <w:marRight w:val="0"/>
                  <w:marTop w:val="0"/>
                  <w:marBottom w:val="0"/>
                  <w:divBdr>
                    <w:top w:val="none" w:sz="0" w:space="0" w:color="auto"/>
                    <w:left w:val="none" w:sz="0" w:space="0" w:color="auto"/>
                    <w:bottom w:val="none" w:sz="0" w:space="0" w:color="auto"/>
                    <w:right w:val="none" w:sz="0" w:space="0" w:color="auto"/>
                  </w:divBdr>
                </w:div>
              </w:divsChild>
            </w:div>
            <w:div w:id="791244853">
              <w:marLeft w:val="0"/>
              <w:marRight w:val="0"/>
              <w:marTop w:val="0"/>
              <w:marBottom w:val="0"/>
              <w:divBdr>
                <w:top w:val="none" w:sz="0" w:space="0" w:color="auto"/>
                <w:left w:val="none" w:sz="0" w:space="0" w:color="auto"/>
                <w:bottom w:val="none" w:sz="0" w:space="0" w:color="auto"/>
                <w:right w:val="none" w:sz="0" w:space="0" w:color="auto"/>
              </w:divBdr>
              <w:divsChild>
                <w:div w:id="1408917915">
                  <w:marLeft w:val="0"/>
                  <w:marRight w:val="0"/>
                  <w:marTop w:val="0"/>
                  <w:marBottom w:val="0"/>
                  <w:divBdr>
                    <w:top w:val="none" w:sz="0" w:space="0" w:color="auto"/>
                    <w:left w:val="none" w:sz="0" w:space="0" w:color="auto"/>
                    <w:bottom w:val="none" w:sz="0" w:space="0" w:color="auto"/>
                    <w:right w:val="none" w:sz="0" w:space="0" w:color="auto"/>
                  </w:divBdr>
                </w:div>
              </w:divsChild>
            </w:div>
            <w:div w:id="793060108">
              <w:marLeft w:val="0"/>
              <w:marRight w:val="0"/>
              <w:marTop w:val="0"/>
              <w:marBottom w:val="0"/>
              <w:divBdr>
                <w:top w:val="none" w:sz="0" w:space="0" w:color="auto"/>
                <w:left w:val="none" w:sz="0" w:space="0" w:color="auto"/>
                <w:bottom w:val="none" w:sz="0" w:space="0" w:color="auto"/>
                <w:right w:val="none" w:sz="0" w:space="0" w:color="auto"/>
              </w:divBdr>
              <w:divsChild>
                <w:div w:id="1992634623">
                  <w:marLeft w:val="0"/>
                  <w:marRight w:val="0"/>
                  <w:marTop w:val="0"/>
                  <w:marBottom w:val="0"/>
                  <w:divBdr>
                    <w:top w:val="none" w:sz="0" w:space="0" w:color="auto"/>
                    <w:left w:val="none" w:sz="0" w:space="0" w:color="auto"/>
                    <w:bottom w:val="none" w:sz="0" w:space="0" w:color="auto"/>
                    <w:right w:val="none" w:sz="0" w:space="0" w:color="auto"/>
                  </w:divBdr>
                </w:div>
              </w:divsChild>
            </w:div>
            <w:div w:id="794057569">
              <w:marLeft w:val="0"/>
              <w:marRight w:val="0"/>
              <w:marTop w:val="0"/>
              <w:marBottom w:val="0"/>
              <w:divBdr>
                <w:top w:val="none" w:sz="0" w:space="0" w:color="auto"/>
                <w:left w:val="none" w:sz="0" w:space="0" w:color="auto"/>
                <w:bottom w:val="none" w:sz="0" w:space="0" w:color="auto"/>
                <w:right w:val="none" w:sz="0" w:space="0" w:color="auto"/>
              </w:divBdr>
              <w:divsChild>
                <w:div w:id="1950117880">
                  <w:marLeft w:val="0"/>
                  <w:marRight w:val="0"/>
                  <w:marTop w:val="0"/>
                  <w:marBottom w:val="0"/>
                  <w:divBdr>
                    <w:top w:val="none" w:sz="0" w:space="0" w:color="auto"/>
                    <w:left w:val="none" w:sz="0" w:space="0" w:color="auto"/>
                    <w:bottom w:val="none" w:sz="0" w:space="0" w:color="auto"/>
                    <w:right w:val="none" w:sz="0" w:space="0" w:color="auto"/>
                  </w:divBdr>
                </w:div>
              </w:divsChild>
            </w:div>
            <w:div w:id="794984332">
              <w:marLeft w:val="0"/>
              <w:marRight w:val="0"/>
              <w:marTop w:val="0"/>
              <w:marBottom w:val="0"/>
              <w:divBdr>
                <w:top w:val="none" w:sz="0" w:space="0" w:color="auto"/>
                <w:left w:val="none" w:sz="0" w:space="0" w:color="auto"/>
                <w:bottom w:val="none" w:sz="0" w:space="0" w:color="auto"/>
                <w:right w:val="none" w:sz="0" w:space="0" w:color="auto"/>
              </w:divBdr>
              <w:divsChild>
                <w:div w:id="676008052">
                  <w:marLeft w:val="0"/>
                  <w:marRight w:val="0"/>
                  <w:marTop w:val="0"/>
                  <w:marBottom w:val="0"/>
                  <w:divBdr>
                    <w:top w:val="none" w:sz="0" w:space="0" w:color="auto"/>
                    <w:left w:val="none" w:sz="0" w:space="0" w:color="auto"/>
                    <w:bottom w:val="none" w:sz="0" w:space="0" w:color="auto"/>
                    <w:right w:val="none" w:sz="0" w:space="0" w:color="auto"/>
                  </w:divBdr>
                </w:div>
              </w:divsChild>
            </w:div>
            <w:div w:id="795412511">
              <w:marLeft w:val="0"/>
              <w:marRight w:val="0"/>
              <w:marTop w:val="0"/>
              <w:marBottom w:val="0"/>
              <w:divBdr>
                <w:top w:val="none" w:sz="0" w:space="0" w:color="auto"/>
                <w:left w:val="none" w:sz="0" w:space="0" w:color="auto"/>
                <w:bottom w:val="none" w:sz="0" w:space="0" w:color="auto"/>
                <w:right w:val="none" w:sz="0" w:space="0" w:color="auto"/>
              </w:divBdr>
              <w:divsChild>
                <w:div w:id="980382522">
                  <w:marLeft w:val="0"/>
                  <w:marRight w:val="0"/>
                  <w:marTop w:val="0"/>
                  <w:marBottom w:val="0"/>
                  <w:divBdr>
                    <w:top w:val="none" w:sz="0" w:space="0" w:color="auto"/>
                    <w:left w:val="none" w:sz="0" w:space="0" w:color="auto"/>
                    <w:bottom w:val="none" w:sz="0" w:space="0" w:color="auto"/>
                    <w:right w:val="none" w:sz="0" w:space="0" w:color="auto"/>
                  </w:divBdr>
                </w:div>
              </w:divsChild>
            </w:div>
            <w:div w:id="795834045">
              <w:marLeft w:val="0"/>
              <w:marRight w:val="0"/>
              <w:marTop w:val="0"/>
              <w:marBottom w:val="0"/>
              <w:divBdr>
                <w:top w:val="none" w:sz="0" w:space="0" w:color="auto"/>
                <w:left w:val="none" w:sz="0" w:space="0" w:color="auto"/>
                <w:bottom w:val="none" w:sz="0" w:space="0" w:color="auto"/>
                <w:right w:val="none" w:sz="0" w:space="0" w:color="auto"/>
              </w:divBdr>
              <w:divsChild>
                <w:div w:id="544220671">
                  <w:marLeft w:val="0"/>
                  <w:marRight w:val="0"/>
                  <w:marTop w:val="0"/>
                  <w:marBottom w:val="0"/>
                  <w:divBdr>
                    <w:top w:val="none" w:sz="0" w:space="0" w:color="auto"/>
                    <w:left w:val="none" w:sz="0" w:space="0" w:color="auto"/>
                    <w:bottom w:val="none" w:sz="0" w:space="0" w:color="auto"/>
                    <w:right w:val="none" w:sz="0" w:space="0" w:color="auto"/>
                  </w:divBdr>
                </w:div>
              </w:divsChild>
            </w:div>
            <w:div w:id="798302195">
              <w:marLeft w:val="0"/>
              <w:marRight w:val="0"/>
              <w:marTop w:val="300"/>
              <w:marBottom w:val="300"/>
              <w:divBdr>
                <w:top w:val="none" w:sz="0" w:space="0" w:color="auto"/>
                <w:left w:val="none" w:sz="0" w:space="0" w:color="auto"/>
                <w:bottom w:val="none" w:sz="0" w:space="0" w:color="auto"/>
                <w:right w:val="none" w:sz="0" w:space="0" w:color="auto"/>
              </w:divBdr>
            </w:div>
            <w:div w:id="798962929">
              <w:marLeft w:val="0"/>
              <w:marRight w:val="0"/>
              <w:marTop w:val="0"/>
              <w:marBottom w:val="0"/>
              <w:divBdr>
                <w:top w:val="none" w:sz="0" w:space="0" w:color="auto"/>
                <w:left w:val="none" w:sz="0" w:space="0" w:color="auto"/>
                <w:bottom w:val="none" w:sz="0" w:space="0" w:color="auto"/>
                <w:right w:val="none" w:sz="0" w:space="0" w:color="auto"/>
              </w:divBdr>
              <w:divsChild>
                <w:div w:id="1532840726">
                  <w:marLeft w:val="0"/>
                  <w:marRight w:val="0"/>
                  <w:marTop w:val="0"/>
                  <w:marBottom w:val="0"/>
                  <w:divBdr>
                    <w:top w:val="none" w:sz="0" w:space="0" w:color="auto"/>
                    <w:left w:val="none" w:sz="0" w:space="0" w:color="auto"/>
                    <w:bottom w:val="none" w:sz="0" w:space="0" w:color="auto"/>
                    <w:right w:val="none" w:sz="0" w:space="0" w:color="auto"/>
                  </w:divBdr>
                  <w:divsChild>
                    <w:div w:id="5110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535336">
              <w:marLeft w:val="0"/>
              <w:marRight w:val="0"/>
              <w:marTop w:val="300"/>
              <w:marBottom w:val="300"/>
              <w:divBdr>
                <w:top w:val="none" w:sz="0" w:space="0" w:color="auto"/>
                <w:left w:val="none" w:sz="0" w:space="0" w:color="auto"/>
                <w:bottom w:val="none" w:sz="0" w:space="0" w:color="auto"/>
                <w:right w:val="none" w:sz="0" w:space="0" w:color="auto"/>
              </w:divBdr>
            </w:div>
            <w:div w:id="800880807">
              <w:marLeft w:val="0"/>
              <w:marRight w:val="0"/>
              <w:marTop w:val="0"/>
              <w:marBottom w:val="0"/>
              <w:divBdr>
                <w:top w:val="none" w:sz="0" w:space="0" w:color="auto"/>
                <w:left w:val="none" w:sz="0" w:space="0" w:color="auto"/>
                <w:bottom w:val="none" w:sz="0" w:space="0" w:color="auto"/>
                <w:right w:val="none" w:sz="0" w:space="0" w:color="auto"/>
              </w:divBdr>
              <w:divsChild>
                <w:div w:id="77142900">
                  <w:marLeft w:val="0"/>
                  <w:marRight w:val="0"/>
                  <w:marTop w:val="0"/>
                  <w:marBottom w:val="0"/>
                  <w:divBdr>
                    <w:top w:val="none" w:sz="0" w:space="0" w:color="auto"/>
                    <w:left w:val="none" w:sz="0" w:space="0" w:color="auto"/>
                    <w:bottom w:val="none" w:sz="0" w:space="0" w:color="auto"/>
                    <w:right w:val="none" w:sz="0" w:space="0" w:color="auto"/>
                  </w:divBdr>
                </w:div>
              </w:divsChild>
            </w:div>
            <w:div w:id="801078993">
              <w:marLeft w:val="0"/>
              <w:marRight w:val="0"/>
              <w:marTop w:val="0"/>
              <w:marBottom w:val="0"/>
              <w:divBdr>
                <w:top w:val="none" w:sz="0" w:space="0" w:color="auto"/>
                <w:left w:val="none" w:sz="0" w:space="0" w:color="auto"/>
                <w:bottom w:val="none" w:sz="0" w:space="0" w:color="auto"/>
                <w:right w:val="none" w:sz="0" w:space="0" w:color="auto"/>
              </w:divBdr>
              <w:divsChild>
                <w:div w:id="1994675404">
                  <w:marLeft w:val="0"/>
                  <w:marRight w:val="0"/>
                  <w:marTop w:val="0"/>
                  <w:marBottom w:val="0"/>
                  <w:divBdr>
                    <w:top w:val="none" w:sz="0" w:space="0" w:color="auto"/>
                    <w:left w:val="none" w:sz="0" w:space="0" w:color="auto"/>
                    <w:bottom w:val="none" w:sz="0" w:space="0" w:color="auto"/>
                    <w:right w:val="none" w:sz="0" w:space="0" w:color="auto"/>
                  </w:divBdr>
                </w:div>
              </w:divsChild>
            </w:div>
            <w:div w:id="801655499">
              <w:marLeft w:val="0"/>
              <w:marRight w:val="0"/>
              <w:marTop w:val="0"/>
              <w:marBottom w:val="0"/>
              <w:divBdr>
                <w:top w:val="none" w:sz="0" w:space="0" w:color="auto"/>
                <w:left w:val="none" w:sz="0" w:space="0" w:color="auto"/>
                <w:bottom w:val="none" w:sz="0" w:space="0" w:color="auto"/>
                <w:right w:val="none" w:sz="0" w:space="0" w:color="auto"/>
              </w:divBdr>
              <w:divsChild>
                <w:div w:id="1409882702">
                  <w:marLeft w:val="0"/>
                  <w:marRight w:val="0"/>
                  <w:marTop w:val="0"/>
                  <w:marBottom w:val="0"/>
                  <w:divBdr>
                    <w:top w:val="none" w:sz="0" w:space="0" w:color="auto"/>
                    <w:left w:val="none" w:sz="0" w:space="0" w:color="auto"/>
                    <w:bottom w:val="none" w:sz="0" w:space="0" w:color="auto"/>
                    <w:right w:val="none" w:sz="0" w:space="0" w:color="auto"/>
                  </w:divBdr>
                </w:div>
              </w:divsChild>
            </w:div>
            <w:div w:id="801773466">
              <w:marLeft w:val="0"/>
              <w:marRight w:val="0"/>
              <w:marTop w:val="0"/>
              <w:marBottom w:val="0"/>
              <w:divBdr>
                <w:top w:val="none" w:sz="0" w:space="0" w:color="auto"/>
                <w:left w:val="none" w:sz="0" w:space="0" w:color="auto"/>
                <w:bottom w:val="none" w:sz="0" w:space="0" w:color="auto"/>
                <w:right w:val="none" w:sz="0" w:space="0" w:color="auto"/>
              </w:divBdr>
              <w:divsChild>
                <w:div w:id="976376095">
                  <w:marLeft w:val="0"/>
                  <w:marRight w:val="0"/>
                  <w:marTop w:val="0"/>
                  <w:marBottom w:val="0"/>
                  <w:divBdr>
                    <w:top w:val="none" w:sz="0" w:space="0" w:color="auto"/>
                    <w:left w:val="none" w:sz="0" w:space="0" w:color="auto"/>
                    <w:bottom w:val="none" w:sz="0" w:space="0" w:color="auto"/>
                    <w:right w:val="none" w:sz="0" w:space="0" w:color="auto"/>
                  </w:divBdr>
                </w:div>
              </w:divsChild>
            </w:div>
            <w:div w:id="803696565">
              <w:marLeft w:val="0"/>
              <w:marRight w:val="0"/>
              <w:marTop w:val="300"/>
              <w:marBottom w:val="300"/>
              <w:divBdr>
                <w:top w:val="none" w:sz="0" w:space="0" w:color="auto"/>
                <w:left w:val="none" w:sz="0" w:space="0" w:color="auto"/>
                <w:bottom w:val="none" w:sz="0" w:space="0" w:color="auto"/>
                <w:right w:val="none" w:sz="0" w:space="0" w:color="auto"/>
              </w:divBdr>
            </w:div>
            <w:div w:id="804081971">
              <w:marLeft w:val="0"/>
              <w:marRight w:val="0"/>
              <w:marTop w:val="0"/>
              <w:marBottom w:val="0"/>
              <w:divBdr>
                <w:top w:val="none" w:sz="0" w:space="0" w:color="auto"/>
                <w:left w:val="none" w:sz="0" w:space="0" w:color="auto"/>
                <w:bottom w:val="none" w:sz="0" w:space="0" w:color="auto"/>
                <w:right w:val="none" w:sz="0" w:space="0" w:color="auto"/>
              </w:divBdr>
              <w:divsChild>
                <w:div w:id="466164422">
                  <w:marLeft w:val="0"/>
                  <w:marRight w:val="0"/>
                  <w:marTop w:val="0"/>
                  <w:marBottom w:val="0"/>
                  <w:divBdr>
                    <w:top w:val="none" w:sz="0" w:space="0" w:color="auto"/>
                    <w:left w:val="none" w:sz="0" w:space="0" w:color="auto"/>
                    <w:bottom w:val="none" w:sz="0" w:space="0" w:color="auto"/>
                    <w:right w:val="none" w:sz="0" w:space="0" w:color="auto"/>
                  </w:divBdr>
                </w:div>
              </w:divsChild>
            </w:div>
            <w:div w:id="805507030">
              <w:marLeft w:val="0"/>
              <w:marRight w:val="0"/>
              <w:marTop w:val="0"/>
              <w:marBottom w:val="0"/>
              <w:divBdr>
                <w:top w:val="none" w:sz="0" w:space="0" w:color="auto"/>
                <w:left w:val="none" w:sz="0" w:space="0" w:color="auto"/>
                <w:bottom w:val="none" w:sz="0" w:space="0" w:color="auto"/>
                <w:right w:val="none" w:sz="0" w:space="0" w:color="auto"/>
              </w:divBdr>
              <w:divsChild>
                <w:div w:id="478229302">
                  <w:marLeft w:val="0"/>
                  <w:marRight w:val="0"/>
                  <w:marTop w:val="0"/>
                  <w:marBottom w:val="0"/>
                  <w:divBdr>
                    <w:top w:val="none" w:sz="0" w:space="0" w:color="auto"/>
                    <w:left w:val="none" w:sz="0" w:space="0" w:color="auto"/>
                    <w:bottom w:val="none" w:sz="0" w:space="0" w:color="auto"/>
                    <w:right w:val="none" w:sz="0" w:space="0" w:color="auto"/>
                  </w:divBdr>
                </w:div>
              </w:divsChild>
            </w:div>
            <w:div w:id="805701651">
              <w:marLeft w:val="0"/>
              <w:marRight w:val="0"/>
              <w:marTop w:val="0"/>
              <w:marBottom w:val="0"/>
              <w:divBdr>
                <w:top w:val="none" w:sz="0" w:space="0" w:color="auto"/>
                <w:left w:val="none" w:sz="0" w:space="0" w:color="auto"/>
                <w:bottom w:val="none" w:sz="0" w:space="0" w:color="auto"/>
                <w:right w:val="none" w:sz="0" w:space="0" w:color="auto"/>
              </w:divBdr>
              <w:divsChild>
                <w:div w:id="1770198479">
                  <w:marLeft w:val="0"/>
                  <w:marRight w:val="0"/>
                  <w:marTop w:val="0"/>
                  <w:marBottom w:val="0"/>
                  <w:divBdr>
                    <w:top w:val="none" w:sz="0" w:space="0" w:color="auto"/>
                    <w:left w:val="none" w:sz="0" w:space="0" w:color="auto"/>
                    <w:bottom w:val="none" w:sz="0" w:space="0" w:color="auto"/>
                    <w:right w:val="none" w:sz="0" w:space="0" w:color="auto"/>
                  </w:divBdr>
                </w:div>
              </w:divsChild>
            </w:div>
            <w:div w:id="805902384">
              <w:marLeft w:val="0"/>
              <w:marRight w:val="0"/>
              <w:marTop w:val="0"/>
              <w:marBottom w:val="0"/>
              <w:divBdr>
                <w:top w:val="none" w:sz="0" w:space="0" w:color="auto"/>
                <w:left w:val="none" w:sz="0" w:space="0" w:color="auto"/>
                <w:bottom w:val="none" w:sz="0" w:space="0" w:color="auto"/>
                <w:right w:val="none" w:sz="0" w:space="0" w:color="auto"/>
              </w:divBdr>
              <w:divsChild>
                <w:div w:id="1297493683">
                  <w:marLeft w:val="0"/>
                  <w:marRight w:val="0"/>
                  <w:marTop w:val="0"/>
                  <w:marBottom w:val="0"/>
                  <w:divBdr>
                    <w:top w:val="none" w:sz="0" w:space="0" w:color="auto"/>
                    <w:left w:val="none" w:sz="0" w:space="0" w:color="auto"/>
                    <w:bottom w:val="none" w:sz="0" w:space="0" w:color="auto"/>
                    <w:right w:val="none" w:sz="0" w:space="0" w:color="auto"/>
                  </w:divBdr>
                </w:div>
              </w:divsChild>
            </w:div>
            <w:div w:id="805977851">
              <w:marLeft w:val="0"/>
              <w:marRight w:val="0"/>
              <w:marTop w:val="300"/>
              <w:marBottom w:val="300"/>
              <w:divBdr>
                <w:top w:val="none" w:sz="0" w:space="0" w:color="auto"/>
                <w:left w:val="none" w:sz="0" w:space="0" w:color="auto"/>
                <w:bottom w:val="none" w:sz="0" w:space="0" w:color="auto"/>
                <w:right w:val="none" w:sz="0" w:space="0" w:color="auto"/>
              </w:divBdr>
            </w:div>
            <w:div w:id="811681227">
              <w:marLeft w:val="0"/>
              <w:marRight w:val="0"/>
              <w:marTop w:val="300"/>
              <w:marBottom w:val="300"/>
              <w:divBdr>
                <w:top w:val="none" w:sz="0" w:space="0" w:color="auto"/>
                <w:left w:val="none" w:sz="0" w:space="0" w:color="auto"/>
                <w:bottom w:val="none" w:sz="0" w:space="0" w:color="auto"/>
                <w:right w:val="none" w:sz="0" w:space="0" w:color="auto"/>
              </w:divBdr>
            </w:div>
            <w:div w:id="811825860">
              <w:marLeft w:val="0"/>
              <w:marRight w:val="0"/>
              <w:marTop w:val="0"/>
              <w:marBottom w:val="0"/>
              <w:divBdr>
                <w:top w:val="none" w:sz="0" w:space="0" w:color="auto"/>
                <w:left w:val="none" w:sz="0" w:space="0" w:color="auto"/>
                <w:bottom w:val="none" w:sz="0" w:space="0" w:color="auto"/>
                <w:right w:val="none" w:sz="0" w:space="0" w:color="auto"/>
              </w:divBdr>
              <w:divsChild>
                <w:div w:id="1853910282">
                  <w:marLeft w:val="0"/>
                  <w:marRight w:val="0"/>
                  <w:marTop w:val="0"/>
                  <w:marBottom w:val="0"/>
                  <w:divBdr>
                    <w:top w:val="none" w:sz="0" w:space="0" w:color="auto"/>
                    <w:left w:val="none" w:sz="0" w:space="0" w:color="auto"/>
                    <w:bottom w:val="none" w:sz="0" w:space="0" w:color="auto"/>
                    <w:right w:val="none" w:sz="0" w:space="0" w:color="auto"/>
                  </w:divBdr>
                </w:div>
              </w:divsChild>
            </w:div>
            <w:div w:id="814034002">
              <w:marLeft w:val="0"/>
              <w:marRight w:val="0"/>
              <w:marTop w:val="0"/>
              <w:marBottom w:val="0"/>
              <w:divBdr>
                <w:top w:val="none" w:sz="0" w:space="0" w:color="auto"/>
                <w:left w:val="none" w:sz="0" w:space="0" w:color="auto"/>
                <w:bottom w:val="none" w:sz="0" w:space="0" w:color="auto"/>
                <w:right w:val="none" w:sz="0" w:space="0" w:color="auto"/>
              </w:divBdr>
              <w:divsChild>
                <w:div w:id="1604608885">
                  <w:marLeft w:val="0"/>
                  <w:marRight w:val="0"/>
                  <w:marTop w:val="0"/>
                  <w:marBottom w:val="0"/>
                  <w:divBdr>
                    <w:top w:val="none" w:sz="0" w:space="0" w:color="auto"/>
                    <w:left w:val="none" w:sz="0" w:space="0" w:color="auto"/>
                    <w:bottom w:val="none" w:sz="0" w:space="0" w:color="auto"/>
                    <w:right w:val="none" w:sz="0" w:space="0" w:color="auto"/>
                  </w:divBdr>
                </w:div>
              </w:divsChild>
            </w:div>
            <w:div w:id="815029177">
              <w:marLeft w:val="0"/>
              <w:marRight w:val="0"/>
              <w:marTop w:val="0"/>
              <w:marBottom w:val="0"/>
              <w:divBdr>
                <w:top w:val="none" w:sz="0" w:space="0" w:color="auto"/>
                <w:left w:val="none" w:sz="0" w:space="0" w:color="auto"/>
                <w:bottom w:val="none" w:sz="0" w:space="0" w:color="auto"/>
                <w:right w:val="none" w:sz="0" w:space="0" w:color="auto"/>
              </w:divBdr>
              <w:divsChild>
                <w:div w:id="989016255">
                  <w:marLeft w:val="0"/>
                  <w:marRight w:val="0"/>
                  <w:marTop w:val="0"/>
                  <w:marBottom w:val="0"/>
                  <w:divBdr>
                    <w:top w:val="none" w:sz="0" w:space="0" w:color="auto"/>
                    <w:left w:val="none" w:sz="0" w:space="0" w:color="auto"/>
                    <w:bottom w:val="none" w:sz="0" w:space="0" w:color="auto"/>
                    <w:right w:val="none" w:sz="0" w:space="0" w:color="auto"/>
                  </w:divBdr>
                </w:div>
              </w:divsChild>
            </w:div>
            <w:div w:id="815993963">
              <w:marLeft w:val="0"/>
              <w:marRight w:val="0"/>
              <w:marTop w:val="300"/>
              <w:marBottom w:val="300"/>
              <w:divBdr>
                <w:top w:val="none" w:sz="0" w:space="0" w:color="auto"/>
                <w:left w:val="none" w:sz="0" w:space="0" w:color="auto"/>
                <w:bottom w:val="none" w:sz="0" w:space="0" w:color="auto"/>
                <w:right w:val="none" w:sz="0" w:space="0" w:color="auto"/>
              </w:divBdr>
            </w:div>
            <w:div w:id="816074993">
              <w:marLeft w:val="0"/>
              <w:marRight w:val="0"/>
              <w:marTop w:val="0"/>
              <w:marBottom w:val="0"/>
              <w:divBdr>
                <w:top w:val="none" w:sz="0" w:space="0" w:color="auto"/>
                <w:left w:val="none" w:sz="0" w:space="0" w:color="auto"/>
                <w:bottom w:val="none" w:sz="0" w:space="0" w:color="auto"/>
                <w:right w:val="none" w:sz="0" w:space="0" w:color="auto"/>
              </w:divBdr>
              <w:divsChild>
                <w:div w:id="528109518">
                  <w:marLeft w:val="0"/>
                  <w:marRight w:val="0"/>
                  <w:marTop w:val="0"/>
                  <w:marBottom w:val="0"/>
                  <w:divBdr>
                    <w:top w:val="none" w:sz="0" w:space="0" w:color="auto"/>
                    <w:left w:val="none" w:sz="0" w:space="0" w:color="auto"/>
                    <w:bottom w:val="none" w:sz="0" w:space="0" w:color="auto"/>
                    <w:right w:val="none" w:sz="0" w:space="0" w:color="auto"/>
                  </w:divBdr>
                </w:div>
              </w:divsChild>
            </w:div>
            <w:div w:id="816915430">
              <w:marLeft w:val="0"/>
              <w:marRight w:val="0"/>
              <w:marTop w:val="0"/>
              <w:marBottom w:val="0"/>
              <w:divBdr>
                <w:top w:val="none" w:sz="0" w:space="0" w:color="auto"/>
                <w:left w:val="none" w:sz="0" w:space="0" w:color="auto"/>
                <w:bottom w:val="none" w:sz="0" w:space="0" w:color="auto"/>
                <w:right w:val="none" w:sz="0" w:space="0" w:color="auto"/>
              </w:divBdr>
              <w:divsChild>
                <w:div w:id="524562760">
                  <w:marLeft w:val="0"/>
                  <w:marRight w:val="0"/>
                  <w:marTop w:val="0"/>
                  <w:marBottom w:val="0"/>
                  <w:divBdr>
                    <w:top w:val="none" w:sz="0" w:space="0" w:color="auto"/>
                    <w:left w:val="none" w:sz="0" w:space="0" w:color="auto"/>
                    <w:bottom w:val="none" w:sz="0" w:space="0" w:color="auto"/>
                    <w:right w:val="none" w:sz="0" w:space="0" w:color="auto"/>
                  </w:divBdr>
                </w:div>
              </w:divsChild>
            </w:div>
            <w:div w:id="816992816">
              <w:marLeft w:val="0"/>
              <w:marRight w:val="0"/>
              <w:marTop w:val="0"/>
              <w:marBottom w:val="0"/>
              <w:divBdr>
                <w:top w:val="none" w:sz="0" w:space="0" w:color="auto"/>
                <w:left w:val="none" w:sz="0" w:space="0" w:color="auto"/>
                <w:bottom w:val="none" w:sz="0" w:space="0" w:color="auto"/>
                <w:right w:val="none" w:sz="0" w:space="0" w:color="auto"/>
              </w:divBdr>
              <w:divsChild>
                <w:div w:id="1523057462">
                  <w:marLeft w:val="0"/>
                  <w:marRight w:val="0"/>
                  <w:marTop w:val="0"/>
                  <w:marBottom w:val="0"/>
                  <w:divBdr>
                    <w:top w:val="none" w:sz="0" w:space="0" w:color="auto"/>
                    <w:left w:val="none" w:sz="0" w:space="0" w:color="auto"/>
                    <w:bottom w:val="none" w:sz="0" w:space="0" w:color="auto"/>
                    <w:right w:val="none" w:sz="0" w:space="0" w:color="auto"/>
                  </w:divBdr>
                </w:div>
              </w:divsChild>
            </w:div>
            <w:div w:id="818496574">
              <w:marLeft w:val="0"/>
              <w:marRight w:val="0"/>
              <w:marTop w:val="0"/>
              <w:marBottom w:val="0"/>
              <w:divBdr>
                <w:top w:val="none" w:sz="0" w:space="0" w:color="auto"/>
                <w:left w:val="none" w:sz="0" w:space="0" w:color="auto"/>
                <w:bottom w:val="none" w:sz="0" w:space="0" w:color="auto"/>
                <w:right w:val="none" w:sz="0" w:space="0" w:color="auto"/>
              </w:divBdr>
              <w:divsChild>
                <w:div w:id="635570525">
                  <w:marLeft w:val="0"/>
                  <w:marRight w:val="0"/>
                  <w:marTop w:val="0"/>
                  <w:marBottom w:val="0"/>
                  <w:divBdr>
                    <w:top w:val="none" w:sz="0" w:space="0" w:color="auto"/>
                    <w:left w:val="none" w:sz="0" w:space="0" w:color="auto"/>
                    <w:bottom w:val="none" w:sz="0" w:space="0" w:color="auto"/>
                    <w:right w:val="none" w:sz="0" w:space="0" w:color="auto"/>
                  </w:divBdr>
                </w:div>
              </w:divsChild>
            </w:div>
            <w:div w:id="818497973">
              <w:marLeft w:val="0"/>
              <w:marRight w:val="0"/>
              <w:marTop w:val="0"/>
              <w:marBottom w:val="0"/>
              <w:divBdr>
                <w:top w:val="none" w:sz="0" w:space="0" w:color="auto"/>
                <w:left w:val="none" w:sz="0" w:space="0" w:color="auto"/>
                <w:bottom w:val="none" w:sz="0" w:space="0" w:color="auto"/>
                <w:right w:val="none" w:sz="0" w:space="0" w:color="auto"/>
              </w:divBdr>
              <w:divsChild>
                <w:div w:id="713625365">
                  <w:marLeft w:val="0"/>
                  <w:marRight w:val="0"/>
                  <w:marTop w:val="0"/>
                  <w:marBottom w:val="0"/>
                  <w:divBdr>
                    <w:top w:val="none" w:sz="0" w:space="0" w:color="auto"/>
                    <w:left w:val="none" w:sz="0" w:space="0" w:color="auto"/>
                    <w:bottom w:val="none" w:sz="0" w:space="0" w:color="auto"/>
                    <w:right w:val="none" w:sz="0" w:space="0" w:color="auto"/>
                  </w:divBdr>
                </w:div>
              </w:divsChild>
            </w:div>
            <w:div w:id="819268879">
              <w:marLeft w:val="0"/>
              <w:marRight w:val="0"/>
              <w:marTop w:val="0"/>
              <w:marBottom w:val="0"/>
              <w:divBdr>
                <w:top w:val="none" w:sz="0" w:space="0" w:color="auto"/>
                <w:left w:val="none" w:sz="0" w:space="0" w:color="auto"/>
                <w:bottom w:val="none" w:sz="0" w:space="0" w:color="auto"/>
                <w:right w:val="none" w:sz="0" w:space="0" w:color="auto"/>
              </w:divBdr>
              <w:divsChild>
                <w:div w:id="1250116924">
                  <w:marLeft w:val="0"/>
                  <w:marRight w:val="0"/>
                  <w:marTop w:val="0"/>
                  <w:marBottom w:val="0"/>
                  <w:divBdr>
                    <w:top w:val="none" w:sz="0" w:space="0" w:color="auto"/>
                    <w:left w:val="none" w:sz="0" w:space="0" w:color="auto"/>
                    <w:bottom w:val="none" w:sz="0" w:space="0" w:color="auto"/>
                    <w:right w:val="none" w:sz="0" w:space="0" w:color="auto"/>
                  </w:divBdr>
                </w:div>
              </w:divsChild>
            </w:div>
            <w:div w:id="820804980">
              <w:marLeft w:val="0"/>
              <w:marRight w:val="0"/>
              <w:marTop w:val="0"/>
              <w:marBottom w:val="0"/>
              <w:divBdr>
                <w:top w:val="none" w:sz="0" w:space="0" w:color="auto"/>
                <w:left w:val="none" w:sz="0" w:space="0" w:color="auto"/>
                <w:bottom w:val="none" w:sz="0" w:space="0" w:color="auto"/>
                <w:right w:val="none" w:sz="0" w:space="0" w:color="auto"/>
              </w:divBdr>
              <w:divsChild>
                <w:div w:id="313685945">
                  <w:marLeft w:val="0"/>
                  <w:marRight w:val="0"/>
                  <w:marTop w:val="0"/>
                  <w:marBottom w:val="0"/>
                  <w:divBdr>
                    <w:top w:val="none" w:sz="0" w:space="0" w:color="auto"/>
                    <w:left w:val="none" w:sz="0" w:space="0" w:color="auto"/>
                    <w:bottom w:val="none" w:sz="0" w:space="0" w:color="auto"/>
                    <w:right w:val="none" w:sz="0" w:space="0" w:color="auto"/>
                  </w:divBdr>
                </w:div>
              </w:divsChild>
            </w:div>
            <w:div w:id="821386272">
              <w:marLeft w:val="0"/>
              <w:marRight w:val="0"/>
              <w:marTop w:val="0"/>
              <w:marBottom w:val="0"/>
              <w:divBdr>
                <w:top w:val="none" w:sz="0" w:space="0" w:color="auto"/>
                <w:left w:val="none" w:sz="0" w:space="0" w:color="auto"/>
                <w:bottom w:val="none" w:sz="0" w:space="0" w:color="auto"/>
                <w:right w:val="none" w:sz="0" w:space="0" w:color="auto"/>
              </w:divBdr>
              <w:divsChild>
                <w:div w:id="80488435">
                  <w:marLeft w:val="0"/>
                  <w:marRight w:val="0"/>
                  <w:marTop w:val="0"/>
                  <w:marBottom w:val="0"/>
                  <w:divBdr>
                    <w:top w:val="none" w:sz="0" w:space="0" w:color="auto"/>
                    <w:left w:val="none" w:sz="0" w:space="0" w:color="auto"/>
                    <w:bottom w:val="none" w:sz="0" w:space="0" w:color="auto"/>
                    <w:right w:val="none" w:sz="0" w:space="0" w:color="auto"/>
                  </w:divBdr>
                </w:div>
              </w:divsChild>
            </w:div>
            <w:div w:id="822744405">
              <w:marLeft w:val="0"/>
              <w:marRight w:val="0"/>
              <w:marTop w:val="0"/>
              <w:marBottom w:val="0"/>
              <w:divBdr>
                <w:top w:val="none" w:sz="0" w:space="0" w:color="auto"/>
                <w:left w:val="none" w:sz="0" w:space="0" w:color="auto"/>
                <w:bottom w:val="none" w:sz="0" w:space="0" w:color="auto"/>
                <w:right w:val="none" w:sz="0" w:space="0" w:color="auto"/>
              </w:divBdr>
              <w:divsChild>
                <w:div w:id="1947271306">
                  <w:marLeft w:val="0"/>
                  <w:marRight w:val="0"/>
                  <w:marTop w:val="0"/>
                  <w:marBottom w:val="0"/>
                  <w:divBdr>
                    <w:top w:val="none" w:sz="0" w:space="0" w:color="auto"/>
                    <w:left w:val="none" w:sz="0" w:space="0" w:color="auto"/>
                    <w:bottom w:val="none" w:sz="0" w:space="0" w:color="auto"/>
                    <w:right w:val="none" w:sz="0" w:space="0" w:color="auto"/>
                  </w:divBdr>
                </w:div>
              </w:divsChild>
            </w:div>
            <w:div w:id="823013098">
              <w:marLeft w:val="0"/>
              <w:marRight w:val="0"/>
              <w:marTop w:val="300"/>
              <w:marBottom w:val="300"/>
              <w:divBdr>
                <w:top w:val="none" w:sz="0" w:space="0" w:color="auto"/>
                <w:left w:val="none" w:sz="0" w:space="0" w:color="auto"/>
                <w:bottom w:val="none" w:sz="0" w:space="0" w:color="auto"/>
                <w:right w:val="none" w:sz="0" w:space="0" w:color="auto"/>
              </w:divBdr>
            </w:div>
            <w:div w:id="824787054">
              <w:marLeft w:val="0"/>
              <w:marRight w:val="0"/>
              <w:marTop w:val="0"/>
              <w:marBottom w:val="0"/>
              <w:divBdr>
                <w:top w:val="none" w:sz="0" w:space="0" w:color="auto"/>
                <w:left w:val="none" w:sz="0" w:space="0" w:color="auto"/>
                <w:bottom w:val="none" w:sz="0" w:space="0" w:color="auto"/>
                <w:right w:val="none" w:sz="0" w:space="0" w:color="auto"/>
              </w:divBdr>
              <w:divsChild>
                <w:div w:id="324552477">
                  <w:marLeft w:val="0"/>
                  <w:marRight w:val="0"/>
                  <w:marTop w:val="0"/>
                  <w:marBottom w:val="0"/>
                  <w:divBdr>
                    <w:top w:val="none" w:sz="0" w:space="0" w:color="auto"/>
                    <w:left w:val="none" w:sz="0" w:space="0" w:color="auto"/>
                    <w:bottom w:val="none" w:sz="0" w:space="0" w:color="auto"/>
                    <w:right w:val="none" w:sz="0" w:space="0" w:color="auto"/>
                  </w:divBdr>
                </w:div>
              </w:divsChild>
            </w:div>
            <w:div w:id="825048940">
              <w:marLeft w:val="0"/>
              <w:marRight w:val="0"/>
              <w:marTop w:val="0"/>
              <w:marBottom w:val="0"/>
              <w:divBdr>
                <w:top w:val="none" w:sz="0" w:space="0" w:color="auto"/>
                <w:left w:val="none" w:sz="0" w:space="0" w:color="auto"/>
                <w:bottom w:val="none" w:sz="0" w:space="0" w:color="auto"/>
                <w:right w:val="none" w:sz="0" w:space="0" w:color="auto"/>
              </w:divBdr>
              <w:divsChild>
                <w:div w:id="112872121">
                  <w:marLeft w:val="0"/>
                  <w:marRight w:val="0"/>
                  <w:marTop w:val="0"/>
                  <w:marBottom w:val="0"/>
                  <w:divBdr>
                    <w:top w:val="none" w:sz="0" w:space="0" w:color="auto"/>
                    <w:left w:val="none" w:sz="0" w:space="0" w:color="auto"/>
                    <w:bottom w:val="none" w:sz="0" w:space="0" w:color="auto"/>
                    <w:right w:val="none" w:sz="0" w:space="0" w:color="auto"/>
                  </w:divBdr>
                </w:div>
              </w:divsChild>
            </w:div>
            <w:div w:id="830482268">
              <w:marLeft w:val="0"/>
              <w:marRight w:val="0"/>
              <w:marTop w:val="0"/>
              <w:marBottom w:val="0"/>
              <w:divBdr>
                <w:top w:val="none" w:sz="0" w:space="0" w:color="auto"/>
                <w:left w:val="none" w:sz="0" w:space="0" w:color="auto"/>
                <w:bottom w:val="none" w:sz="0" w:space="0" w:color="auto"/>
                <w:right w:val="none" w:sz="0" w:space="0" w:color="auto"/>
              </w:divBdr>
              <w:divsChild>
                <w:div w:id="734740032">
                  <w:marLeft w:val="0"/>
                  <w:marRight w:val="0"/>
                  <w:marTop w:val="0"/>
                  <w:marBottom w:val="0"/>
                  <w:divBdr>
                    <w:top w:val="none" w:sz="0" w:space="0" w:color="auto"/>
                    <w:left w:val="none" w:sz="0" w:space="0" w:color="auto"/>
                    <w:bottom w:val="none" w:sz="0" w:space="0" w:color="auto"/>
                    <w:right w:val="none" w:sz="0" w:space="0" w:color="auto"/>
                  </w:divBdr>
                </w:div>
              </w:divsChild>
            </w:div>
            <w:div w:id="830558570">
              <w:marLeft w:val="0"/>
              <w:marRight w:val="0"/>
              <w:marTop w:val="0"/>
              <w:marBottom w:val="0"/>
              <w:divBdr>
                <w:top w:val="none" w:sz="0" w:space="0" w:color="auto"/>
                <w:left w:val="none" w:sz="0" w:space="0" w:color="auto"/>
                <w:bottom w:val="none" w:sz="0" w:space="0" w:color="auto"/>
                <w:right w:val="none" w:sz="0" w:space="0" w:color="auto"/>
              </w:divBdr>
              <w:divsChild>
                <w:div w:id="553739005">
                  <w:marLeft w:val="0"/>
                  <w:marRight w:val="0"/>
                  <w:marTop w:val="0"/>
                  <w:marBottom w:val="0"/>
                  <w:divBdr>
                    <w:top w:val="none" w:sz="0" w:space="0" w:color="auto"/>
                    <w:left w:val="none" w:sz="0" w:space="0" w:color="auto"/>
                    <w:bottom w:val="none" w:sz="0" w:space="0" w:color="auto"/>
                    <w:right w:val="none" w:sz="0" w:space="0" w:color="auto"/>
                  </w:divBdr>
                </w:div>
              </w:divsChild>
            </w:div>
            <w:div w:id="830951106">
              <w:marLeft w:val="0"/>
              <w:marRight w:val="0"/>
              <w:marTop w:val="0"/>
              <w:marBottom w:val="0"/>
              <w:divBdr>
                <w:top w:val="none" w:sz="0" w:space="0" w:color="auto"/>
                <w:left w:val="none" w:sz="0" w:space="0" w:color="auto"/>
                <w:bottom w:val="none" w:sz="0" w:space="0" w:color="auto"/>
                <w:right w:val="none" w:sz="0" w:space="0" w:color="auto"/>
              </w:divBdr>
              <w:divsChild>
                <w:div w:id="1162359075">
                  <w:marLeft w:val="0"/>
                  <w:marRight w:val="0"/>
                  <w:marTop w:val="0"/>
                  <w:marBottom w:val="0"/>
                  <w:divBdr>
                    <w:top w:val="none" w:sz="0" w:space="0" w:color="auto"/>
                    <w:left w:val="none" w:sz="0" w:space="0" w:color="auto"/>
                    <w:bottom w:val="none" w:sz="0" w:space="0" w:color="auto"/>
                    <w:right w:val="none" w:sz="0" w:space="0" w:color="auto"/>
                  </w:divBdr>
                </w:div>
              </w:divsChild>
            </w:div>
            <w:div w:id="831026986">
              <w:marLeft w:val="0"/>
              <w:marRight w:val="0"/>
              <w:marTop w:val="0"/>
              <w:marBottom w:val="0"/>
              <w:divBdr>
                <w:top w:val="none" w:sz="0" w:space="0" w:color="auto"/>
                <w:left w:val="none" w:sz="0" w:space="0" w:color="auto"/>
                <w:bottom w:val="none" w:sz="0" w:space="0" w:color="auto"/>
                <w:right w:val="none" w:sz="0" w:space="0" w:color="auto"/>
              </w:divBdr>
              <w:divsChild>
                <w:div w:id="5641022">
                  <w:marLeft w:val="0"/>
                  <w:marRight w:val="0"/>
                  <w:marTop w:val="0"/>
                  <w:marBottom w:val="0"/>
                  <w:divBdr>
                    <w:top w:val="none" w:sz="0" w:space="0" w:color="auto"/>
                    <w:left w:val="none" w:sz="0" w:space="0" w:color="auto"/>
                    <w:bottom w:val="none" w:sz="0" w:space="0" w:color="auto"/>
                    <w:right w:val="none" w:sz="0" w:space="0" w:color="auto"/>
                  </w:divBdr>
                </w:div>
              </w:divsChild>
            </w:div>
            <w:div w:id="832838864">
              <w:marLeft w:val="0"/>
              <w:marRight w:val="0"/>
              <w:marTop w:val="0"/>
              <w:marBottom w:val="0"/>
              <w:divBdr>
                <w:top w:val="none" w:sz="0" w:space="0" w:color="auto"/>
                <w:left w:val="none" w:sz="0" w:space="0" w:color="auto"/>
                <w:bottom w:val="none" w:sz="0" w:space="0" w:color="auto"/>
                <w:right w:val="none" w:sz="0" w:space="0" w:color="auto"/>
              </w:divBdr>
              <w:divsChild>
                <w:div w:id="1815487155">
                  <w:marLeft w:val="0"/>
                  <w:marRight w:val="0"/>
                  <w:marTop w:val="0"/>
                  <w:marBottom w:val="0"/>
                  <w:divBdr>
                    <w:top w:val="none" w:sz="0" w:space="0" w:color="auto"/>
                    <w:left w:val="none" w:sz="0" w:space="0" w:color="auto"/>
                    <w:bottom w:val="none" w:sz="0" w:space="0" w:color="auto"/>
                    <w:right w:val="none" w:sz="0" w:space="0" w:color="auto"/>
                  </w:divBdr>
                </w:div>
              </w:divsChild>
            </w:div>
            <w:div w:id="834347454">
              <w:marLeft w:val="0"/>
              <w:marRight w:val="0"/>
              <w:marTop w:val="0"/>
              <w:marBottom w:val="0"/>
              <w:divBdr>
                <w:top w:val="none" w:sz="0" w:space="0" w:color="auto"/>
                <w:left w:val="none" w:sz="0" w:space="0" w:color="auto"/>
                <w:bottom w:val="none" w:sz="0" w:space="0" w:color="auto"/>
                <w:right w:val="none" w:sz="0" w:space="0" w:color="auto"/>
              </w:divBdr>
              <w:divsChild>
                <w:div w:id="1464277502">
                  <w:marLeft w:val="0"/>
                  <w:marRight w:val="0"/>
                  <w:marTop w:val="0"/>
                  <w:marBottom w:val="0"/>
                  <w:divBdr>
                    <w:top w:val="none" w:sz="0" w:space="0" w:color="auto"/>
                    <w:left w:val="none" w:sz="0" w:space="0" w:color="auto"/>
                    <w:bottom w:val="none" w:sz="0" w:space="0" w:color="auto"/>
                    <w:right w:val="none" w:sz="0" w:space="0" w:color="auto"/>
                  </w:divBdr>
                </w:div>
              </w:divsChild>
            </w:div>
            <w:div w:id="834567380">
              <w:marLeft w:val="0"/>
              <w:marRight w:val="0"/>
              <w:marTop w:val="0"/>
              <w:marBottom w:val="0"/>
              <w:divBdr>
                <w:top w:val="none" w:sz="0" w:space="0" w:color="auto"/>
                <w:left w:val="none" w:sz="0" w:space="0" w:color="auto"/>
                <w:bottom w:val="none" w:sz="0" w:space="0" w:color="auto"/>
                <w:right w:val="none" w:sz="0" w:space="0" w:color="auto"/>
              </w:divBdr>
              <w:divsChild>
                <w:div w:id="613555403">
                  <w:marLeft w:val="0"/>
                  <w:marRight w:val="0"/>
                  <w:marTop w:val="0"/>
                  <w:marBottom w:val="0"/>
                  <w:divBdr>
                    <w:top w:val="none" w:sz="0" w:space="0" w:color="auto"/>
                    <w:left w:val="none" w:sz="0" w:space="0" w:color="auto"/>
                    <w:bottom w:val="none" w:sz="0" w:space="0" w:color="auto"/>
                    <w:right w:val="none" w:sz="0" w:space="0" w:color="auto"/>
                  </w:divBdr>
                </w:div>
              </w:divsChild>
            </w:div>
            <w:div w:id="834803461">
              <w:marLeft w:val="0"/>
              <w:marRight w:val="0"/>
              <w:marTop w:val="300"/>
              <w:marBottom w:val="300"/>
              <w:divBdr>
                <w:top w:val="none" w:sz="0" w:space="0" w:color="auto"/>
                <w:left w:val="none" w:sz="0" w:space="0" w:color="auto"/>
                <w:bottom w:val="none" w:sz="0" w:space="0" w:color="auto"/>
                <w:right w:val="none" w:sz="0" w:space="0" w:color="auto"/>
              </w:divBdr>
            </w:div>
            <w:div w:id="835388044">
              <w:marLeft w:val="0"/>
              <w:marRight w:val="0"/>
              <w:marTop w:val="0"/>
              <w:marBottom w:val="0"/>
              <w:divBdr>
                <w:top w:val="none" w:sz="0" w:space="0" w:color="auto"/>
                <w:left w:val="none" w:sz="0" w:space="0" w:color="auto"/>
                <w:bottom w:val="none" w:sz="0" w:space="0" w:color="auto"/>
                <w:right w:val="none" w:sz="0" w:space="0" w:color="auto"/>
              </w:divBdr>
              <w:divsChild>
                <w:div w:id="315455688">
                  <w:marLeft w:val="0"/>
                  <w:marRight w:val="0"/>
                  <w:marTop w:val="0"/>
                  <w:marBottom w:val="0"/>
                  <w:divBdr>
                    <w:top w:val="none" w:sz="0" w:space="0" w:color="auto"/>
                    <w:left w:val="none" w:sz="0" w:space="0" w:color="auto"/>
                    <w:bottom w:val="none" w:sz="0" w:space="0" w:color="auto"/>
                    <w:right w:val="none" w:sz="0" w:space="0" w:color="auto"/>
                  </w:divBdr>
                </w:div>
              </w:divsChild>
            </w:div>
            <w:div w:id="836462376">
              <w:marLeft w:val="0"/>
              <w:marRight w:val="0"/>
              <w:marTop w:val="0"/>
              <w:marBottom w:val="0"/>
              <w:divBdr>
                <w:top w:val="none" w:sz="0" w:space="0" w:color="auto"/>
                <w:left w:val="none" w:sz="0" w:space="0" w:color="auto"/>
                <w:bottom w:val="none" w:sz="0" w:space="0" w:color="auto"/>
                <w:right w:val="none" w:sz="0" w:space="0" w:color="auto"/>
              </w:divBdr>
              <w:divsChild>
                <w:div w:id="1583291268">
                  <w:marLeft w:val="0"/>
                  <w:marRight w:val="0"/>
                  <w:marTop w:val="0"/>
                  <w:marBottom w:val="0"/>
                  <w:divBdr>
                    <w:top w:val="none" w:sz="0" w:space="0" w:color="auto"/>
                    <w:left w:val="none" w:sz="0" w:space="0" w:color="auto"/>
                    <w:bottom w:val="none" w:sz="0" w:space="0" w:color="auto"/>
                    <w:right w:val="none" w:sz="0" w:space="0" w:color="auto"/>
                  </w:divBdr>
                </w:div>
              </w:divsChild>
            </w:div>
            <w:div w:id="838039600">
              <w:marLeft w:val="0"/>
              <w:marRight w:val="0"/>
              <w:marTop w:val="0"/>
              <w:marBottom w:val="0"/>
              <w:divBdr>
                <w:top w:val="none" w:sz="0" w:space="0" w:color="auto"/>
                <w:left w:val="none" w:sz="0" w:space="0" w:color="auto"/>
                <w:bottom w:val="none" w:sz="0" w:space="0" w:color="auto"/>
                <w:right w:val="none" w:sz="0" w:space="0" w:color="auto"/>
              </w:divBdr>
              <w:divsChild>
                <w:div w:id="1717777763">
                  <w:marLeft w:val="0"/>
                  <w:marRight w:val="0"/>
                  <w:marTop w:val="0"/>
                  <w:marBottom w:val="0"/>
                  <w:divBdr>
                    <w:top w:val="none" w:sz="0" w:space="0" w:color="auto"/>
                    <w:left w:val="none" w:sz="0" w:space="0" w:color="auto"/>
                    <w:bottom w:val="none" w:sz="0" w:space="0" w:color="auto"/>
                    <w:right w:val="none" w:sz="0" w:space="0" w:color="auto"/>
                  </w:divBdr>
                </w:div>
              </w:divsChild>
            </w:div>
            <w:div w:id="839078594">
              <w:marLeft w:val="0"/>
              <w:marRight w:val="0"/>
              <w:marTop w:val="0"/>
              <w:marBottom w:val="0"/>
              <w:divBdr>
                <w:top w:val="none" w:sz="0" w:space="0" w:color="auto"/>
                <w:left w:val="none" w:sz="0" w:space="0" w:color="auto"/>
                <w:bottom w:val="none" w:sz="0" w:space="0" w:color="auto"/>
                <w:right w:val="none" w:sz="0" w:space="0" w:color="auto"/>
              </w:divBdr>
              <w:divsChild>
                <w:div w:id="812719975">
                  <w:marLeft w:val="0"/>
                  <w:marRight w:val="0"/>
                  <w:marTop w:val="0"/>
                  <w:marBottom w:val="0"/>
                  <w:divBdr>
                    <w:top w:val="none" w:sz="0" w:space="0" w:color="auto"/>
                    <w:left w:val="none" w:sz="0" w:space="0" w:color="auto"/>
                    <w:bottom w:val="none" w:sz="0" w:space="0" w:color="auto"/>
                    <w:right w:val="none" w:sz="0" w:space="0" w:color="auto"/>
                  </w:divBdr>
                </w:div>
              </w:divsChild>
            </w:div>
            <w:div w:id="840655518">
              <w:marLeft w:val="0"/>
              <w:marRight w:val="0"/>
              <w:marTop w:val="300"/>
              <w:marBottom w:val="300"/>
              <w:divBdr>
                <w:top w:val="none" w:sz="0" w:space="0" w:color="auto"/>
                <w:left w:val="none" w:sz="0" w:space="0" w:color="auto"/>
                <w:bottom w:val="none" w:sz="0" w:space="0" w:color="auto"/>
                <w:right w:val="none" w:sz="0" w:space="0" w:color="auto"/>
              </w:divBdr>
            </w:div>
            <w:div w:id="841508247">
              <w:marLeft w:val="0"/>
              <w:marRight w:val="0"/>
              <w:marTop w:val="0"/>
              <w:marBottom w:val="0"/>
              <w:divBdr>
                <w:top w:val="none" w:sz="0" w:space="0" w:color="auto"/>
                <w:left w:val="none" w:sz="0" w:space="0" w:color="auto"/>
                <w:bottom w:val="none" w:sz="0" w:space="0" w:color="auto"/>
                <w:right w:val="none" w:sz="0" w:space="0" w:color="auto"/>
              </w:divBdr>
              <w:divsChild>
                <w:div w:id="1017465095">
                  <w:marLeft w:val="0"/>
                  <w:marRight w:val="0"/>
                  <w:marTop w:val="0"/>
                  <w:marBottom w:val="0"/>
                  <w:divBdr>
                    <w:top w:val="none" w:sz="0" w:space="0" w:color="auto"/>
                    <w:left w:val="none" w:sz="0" w:space="0" w:color="auto"/>
                    <w:bottom w:val="none" w:sz="0" w:space="0" w:color="auto"/>
                    <w:right w:val="none" w:sz="0" w:space="0" w:color="auto"/>
                  </w:divBdr>
                </w:div>
              </w:divsChild>
            </w:div>
            <w:div w:id="842234873">
              <w:marLeft w:val="0"/>
              <w:marRight w:val="0"/>
              <w:marTop w:val="300"/>
              <w:marBottom w:val="300"/>
              <w:divBdr>
                <w:top w:val="none" w:sz="0" w:space="0" w:color="auto"/>
                <w:left w:val="none" w:sz="0" w:space="0" w:color="auto"/>
                <w:bottom w:val="none" w:sz="0" w:space="0" w:color="auto"/>
                <w:right w:val="none" w:sz="0" w:space="0" w:color="auto"/>
              </w:divBdr>
            </w:div>
            <w:div w:id="843014418">
              <w:marLeft w:val="0"/>
              <w:marRight w:val="0"/>
              <w:marTop w:val="0"/>
              <w:marBottom w:val="0"/>
              <w:divBdr>
                <w:top w:val="none" w:sz="0" w:space="0" w:color="auto"/>
                <w:left w:val="none" w:sz="0" w:space="0" w:color="auto"/>
                <w:bottom w:val="none" w:sz="0" w:space="0" w:color="auto"/>
                <w:right w:val="none" w:sz="0" w:space="0" w:color="auto"/>
              </w:divBdr>
              <w:divsChild>
                <w:div w:id="1024556923">
                  <w:marLeft w:val="0"/>
                  <w:marRight w:val="0"/>
                  <w:marTop w:val="0"/>
                  <w:marBottom w:val="0"/>
                  <w:divBdr>
                    <w:top w:val="none" w:sz="0" w:space="0" w:color="auto"/>
                    <w:left w:val="none" w:sz="0" w:space="0" w:color="auto"/>
                    <w:bottom w:val="none" w:sz="0" w:space="0" w:color="auto"/>
                    <w:right w:val="none" w:sz="0" w:space="0" w:color="auto"/>
                  </w:divBdr>
                </w:div>
              </w:divsChild>
            </w:div>
            <w:div w:id="843469239">
              <w:marLeft w:val="0"/>
              <w:marRight w:val="0"/>
              <w:marTop w:val="0"/>
              <w:marBottom w:val="0"/>
              <w:divBdr>
                <w:top w:val="none" w:sz="0" w:space="0" w:color="auto"/>
                <w:left w:val="none" w:sz="0" w:space="0" w:color="auto"/>
                <w:bottom w:val="none" w:sz="0" w:space="0" w:color="auto"/>
                <w:right w:val="none" w:sz="0" w:space="0" w:color="auto"/>
              </w:divBdr>
              <w:divsChild>
                <w:div w:id="2036416251">
                  <w:marLeft w:val="0"/>
                  <w:marRight w:val="0"/>
                  <w:marTop w:val="0"/>
                  <w:marBottom w:val="0"/>
                  <w:divBdr>
                    <w:top w:val="none" w:sz="0" w:space="0" w:color="auto"/>
                    <w:left w:val="none" w:sz="0" w:space="0" w:color="auto"/>
                    <w:bottom w:val="none" w:sz="0" w:space="0" w:color="auto"/>
                    <w:right w:val="none" w:sz="0" w:space="0" w:color="auto"/>
                  </w:divBdr>
                </w:div>
              </w:divsChild>
            </w:div>
            <w:div w:id="844053110">
              <w:marLeft w:val="0"/>
              <w:marRight w:val="0"/>
              <w:marTop w:val="0"/>
              <w:marBottom w:val="0"/>
              <w:divBdr>
                <w:top w:val="none" w:sz="0" w:space="0" w:color="auto"/>
                <w:left w:val="none" w:sz="0" w:space="0" w:color="auto"/>
                <w:bottom w:val="none" w:sz="0" w:space="0" w:color="auto"/>
                <w:right w:val="none" w:sz="0" w:space="0" w:color="auto"/>
              </w:divBdr>
              <w:divsChild>
                <w:div w:id="1746144655">
                  <w:marLeft w:val="0"/>
                  <w:marRight w:val="0"/>
                  <w:marTop w:val="0"/>
                  <w:marBottom w:val="0"/>
                  <w:divBdr>
                    <w:top w:val="none" w:sz="0" w:space="0" w:color="auto"/>
                    <w:left w:val="none" w:sz="0" w:space="0" w:color="auto"/>
                    <w:bottom w:val="none" w:sz="0" w:space="0" w:color="auto"/>
                    <w:right w:val="none" w:sz="0" w:space="0" w:color="auto"/>
                  </w:divBdr>
                </w:div>
              </w:divsChild>
            </w:div>
            <w:div w:id="850140969">
              <w:marLeft w:val="0"/>
              <w:marRight w:val="0"/>
              <w:marTop w:val="0"/>
              <w:marBottom w:val="0"/>
              <w:divBdr>
                <w:top w:val="none" w:sz="0" w:space="0" w:color="auto"/>
                <w:left w:val="none" w:sz="0" w:space="0" w:color="auto"/>
                <w:bottom w:val="none" w:sz="0" w:space="0" w:color="auto"/>
                <w:right w:val="none" w:sz="0" w:space="0" w:color="auto"/>
              </w:divBdr>
              <w:divsChild>
                <w:div w:id="539099364">
                  <w:marLeft w:val="0"/>
                  <w:marRight w:val="0"/>
                  <w:marTop w:val="0"/>
                  <w:marBottom w:val="0"/>
                  <w:divBdr>
                    <w:top w:val="none" w:sz="0" w:space="0" w:color="auto"/>
                    <w:left w:val="none" w:sz="0" w:space="0" w:color="auto"/>
                    <w:bottom w:val="none" w:sz="0" w:space="0" w:color="auto"/>
                    <w:right w:val="none" w:sz="0" w:space="0" w:color="auto"/>
                  </w:divBdr>
                </w:div>
              </w:divsChild>
            </w:div>
            <w:div w:id="850686780">
              <w:marLeft w:val="0"/>
              <w:marRight w:val="0"/>
              <w:marTop w:val="0"/>
              <w:marBottom w:val="0"/>
              <w:divBdr>
                <w:top w:val="none" w:sz="0" w:space="0" w:color="auto"/>
                <w:left w:val="none" w:sz="0" w:space="0" w:color="auto"/>
                <w:bottom w:val="none" w:sz="0" w:space="0" w:color="auto"/>
                <w:right w:val="none" w:sz="0" w:space="0" w:color="auto"/>
              </w:divBdr>
              <w:divsChild>
                <w:div w:id="2048992153">
                  <w:marLeft w:val="0"/>
                  <w:marRight w:val="0"/>
                  <w:marTop w:val="0"/>
                  <w:marBottom w:val="0"/>
                  <w:divBdr>
                    <w:top w:val="none" w:sz="0" w:space="0" w:color="auto"/>
                    <w:left w:val="none" w:sz="0" w:space="0" w:color="auto"/>
                    <w:bottom w:val="none" w:sz="0" w:space="0" w:color="auto"/>
                    <w:right w:val="none" w:sz="0" w:space="0" w:color="auto"/>
                  </w:divBdr>
                </w:div>
              </w:divsChild>
            </w:div>
            <w:div w:id="850996214">
              <w:marLeft w:val="0"/>
              <w:marRight w:val="0"/>
              <w:marTop w:val="0"/>
              <w:marBottom w:val="0"/>
              <w:divBdr>
                <w:top w:val="none" w:sz="0" w:space="0" w:color="auto"/>
                <w:left w:val="none" w:sz="0" w:space="0" w:color="auto"/>
                <w:bottom w:val="none" w:sz="0" w:space="0" w:color="auto"/>
                <w:right w:val="none" w:sz="0" w:space="0" w:color="auto"/>
              </w:divBdr>
              <w:divsChild>
                <w:div w:id="339309961">
                  <w:marLeft w:val="0"/>
                  <w:marRight w:val="0"/>
                  <w:marTop w:val="0"/>
                  <w:marBottom w:val="0"/>
                  <w:divBdr>
                    <w:top w:val="none" w:sz="0" w:space="0" w:color="auto"/>
                    <w:left w:val="none" w:sz="0" w:space="0" w:color="auto"/>
                    <w:bottom w:val="none" w:sz="0" w:space="0" w:color="auto"/>
                    <w:right w:val="none" w:sz="0" w:space="0" w:color="auto"/>
                  </w:divBdr>
                </w:div>
              </w:divsChild>
            </w:div>
            <w:div w:id="853107345">
              <w:marLeft w:val="0"/>
              <w:marRight w:val="0"/>
              <w:marTop w:val="0"/>
              <w:marBottom w:val="0"/>
              <w:divBdr>
                <w:top w:val="none" w:sz="0" w:space="0" w:color="auto"/>
                <w:left w:val="none" w:sz="0" w:space="0" w:color="auto"/>
                <w:bottom w:val="none" w:sz="0" w:space="0" w:color="auto"/>
                <w:right w:val="none" w:sz="0" w:space="0" w:color="auto"/>
              </w:divBdr>
              <w:divsChild>
                <w:div w:id="421220262">
                  <w:marLeft w:val="0"/>
                  <w:marRight w:val="0"/>
                  <w:marTop w:val="0"/>
                  <w:marBottom w:val="0"/>
                  <w:divBdr>
                    <w:top w:val="none" w:sz="0" w:space="0" w:color="auto"/>
                    <w:left w:val="none" w:sz="0" w:space="0" w:color="auto"/>
                    <w:bottom w:val="none" w:sz="0" w:space="0" w:color="auto"/>
                    <w:right w:val="none" w:sz="0" w:space="0" w:color="auto"/>
                  </w:divBdr>
                </w:div>
              </w:divsChild>
            </w:div>
            <w:div w:id="853613396">
              <w:marLeft w:val="0"/>
              <w:marRight w:val="0"/>
              <w:marTop w:val="0"/>
              <w:marBottom w:val="0"/>
              <w:divBdr>
                <w:top w:val="none" w:sz="0" w:space="0" w:color="auto"/>
                <w:left w:val="none" w:sz="0" w:space="0" w:color="auto"/>
                <w:bottom w:val="none" w:sz="0" w:space="0" w:color="auto"/>
                <w:right w:val="none" w:sz="0" w:space="0" w:color="auto"/>
              </w:divBdr>
              <w:divsChild>
                <w:div w:id="419956237">
                  <w:marLeft w:val="0"/>
                  <w:marRight w:val="0"/>
                  <w:marTop w:val="0"/>
                  <w:marBottom w:val="0"/>
                  <w:divBdr>
                    <w:top w:val="none" w:sz="0" w:space="0" w:color="auto"/>
                    <w:left w:val="none" w:sz="0" w:space="0" w:color="auto"/>
                    <w:bottom w:val="none" w:sz="0" w:space="0" w:color="auto"/>
                    <w:right w:val="none" w:sz="0" w:space="0" w:color="auto"/>
                  </w:divBdr>
                </w:div>
              </w:divsChild>
            </w:div>
            <w:div w:id="853769715">
              <w:marLeft w:val="0"/>
              <w:marRight w:val="0"/>
              <w:marTop w:val="0"/>
              <w:marBottom w:val="0"/>
              <w:divBdr>
                <w:top w:val="none" w:sz="0" w:space="0" w:color="auto"/>
                <w:left w:val="none" w:sz="0" w:space="0" w:color="auto"/>
                <w:bottom w:val="none" w:sz="0" w:space="0" w:color="auto"/>
                <w:right w:val="none" w:sz="0" w:space="0" w:color="auto"/>
              </w:divBdr>
              <w:divsChild>
                <w:div w:id="1594239390">
                  <w:marLeft w:val="0"/>
                  <w:marRight w:val="0"/>
                  <w:marTop w:val="0"/>
                  <w:marBottom w:val="0"/>
                  <w:divBdr>
                    <w:top w:val="none" w:sz="0" w:space="0" w:color="auto"/>
                    <w:left w:val="none" w:sz="0" w:space="0" w:color="auto"/>
                    <w:bottom w:val="none" w:sz="0" w:space="0" w:color="auto"/>
                    <w:right w:val="none" w:sz="0" w:space="0" w:color="auto"/>
                  </w:divBdr>
                </w:div>
              </w:divsChild>
            </w:div>
            <w:div w:id="855655080">
              <w:marLeft w:val="0"/>
              <w:marRight w:val="0"/>
              <w:marTop w:val="0"/>
              <w:marBottom w:val="0"/>
              <w:divBdr>
                <w:top w:val="none" w:sz="0" w:space="0" w:color="auto"/>
                <w:left w:val="none" w:sz="0" w:space="0" w:color="auto"/>
                <w:bottom w:val="none" w:sz="0" w:space="0" w:color="auto"/>
                <w:right w:val="none" w:sz="0" w:space="0" w:color="auto"/>
              </w:divBdr>
              <w:divsChild>
                <w:div w:id="2129280609">
                  <w:marLeft w:val="0"/>
                  <w:marRight w:val="0"/>
                  <w:marTop w:val="0"/>
                  <w:marBottom w:val="0"/>
                  <w:divBdr>
                    <w:top w:val="none" w:sz="0" w:space="0" w:color="auto"/>
                    <w:left w:val="none" w:sz="0" w:space="0" w:color="auto"/>
                    <w:bottom w:val="none" w:sz="0" w:space="0" w:color="auto"/>
                    <w:right w:val="none" w:sz="0" w:space="0" w:color="auto"/>
                  </w:divBdr>
                </w:div>
              </w:divsChild>
            </w:div>
            <w:div w:id="857046334">
              <w:marLeft w:val="0"/>
              <w:marRight w:val="0"/>
              <w:marTop w:val="0"/>
              <w:marBottom w:val="0"/>
              <w:divBdr>
                <w:top w:val="none" w:sz="0" w:space="0" w:color="auto"/>
                <w:left w:val="none" w:sz="0" w:space="0" w:color="auto"/>
                <w:bottom w:val="none" w:sz="0" w:space="0" w:color="auto"/>
                <w:right w:val="none" w:sz="0" w:space="0" w:color="auto"/>
              </w:divBdr>
              <w:divsChild>
                <w:div w:id="1226261310">
                  <w:marLeft w:val="0"/>
                  <w:marRight w:val="0"/>
                  <w:marTop w:val="0"/>
                  <w:marBottom w:val="0"/>
                  <w:divBdr>
                    <w:top w:val="none" w:sz="0" w:space="0" w:color="auto"/>
                    <w:left w:val="none" w:sz="0" w:space="0" w:color="auto"/>
                    <w:bottom w:val="none" w:sz="0" w:space="0" w:color="auto"/>
                    <w:right w:val="none" w:sz="0" w:space="0" w:color="auto"/>
                  </w:divBdr>
                </w:div>
              </w:divsChild>
            </w:div>
            <w:div w:id="860777447">
              <w:marLeft w:val="0"/>
              <w:marRight w:val="0"/>
              <w:marTop w:val="0"/>
              <w:marBottom w:val="0"/>
              <w:divBdr>
                <w:top w:val="none" w:sz="0" w:space="0" w:color="auto"/>
                <w:left w:val="none" w:sz="0" w:space="0" w:color="auto"/>
                <w:bottom w:val="none" w:sz="0" w:space="0" w:color="auto"/>
                <w:right w:val="none" w:sz="0" w:space="0" w:color="auto"/>
              </w:divBdr>
              <w:divsChild>
                <w:div w:id="344871389">
                  <w:marLeft w:val="0"/>
                  <w:marRight w:val="0"/>
                  <w:marTop w:val="0"/>
                  <w:marBottom w:val="0"/>
                  <w:divBdr>
                    <w:top w:val="none" w:sz="0" w:space="0" w:color="auto"/>
                    <w:left w:val="none" w:sz="0" w:space="0" w:color="auto"/>
                    <w:bottom w:val="none" w:sz="0" w:space="0" w:color="auto"/>
                    <w:right w:val="none" w:sz="0" w:space="0" w:color="auto"/>
                  </w:divBdr>
                </w:div>
              </w:divsChild>
            </w:div>
            <w:div w:id="861167993">
              <w:marLeft w:val="0"/>
              <w:marRight w:val="0"/>
              <w:marTop w:val="0"/>
              <w:marBottom w:val="0"/>
              <w:divBdr>
                <w:top w:val="none" w:sz="0" w:space="0" w:color="auto"/>
                <w:left w:val="none" w:sz="0" w:space="0" w:color="auto"/>
                <w:bottom w:val="none" w:sz="0" w:space="0" w:color="auto"/>
                <w:right w:val="none" w:sz="0" w:space="0" w:color="auto"/>
              </w:divBdr>
              <w:divsChild>
                <w:div w:id="422073231">
                  <w:marLeft w:val="0"/>
                  <w:marRight w:val="0"/>
                  <w:marTop w:val="0"/>
                  <w:marBottom w:val="0"/>
                  <w:divBdr>
                    <w:top w:val="none" w:sz="0" w:space="0" w:color="auto"/>
                    <w:left w:val="none" w:sz="0" w:space="0" w:color="auto"/>
                    <w:bottom w:val="none" w:sz="0" w:space="0" w:color="auto"/>
                    <w:right w:val="none" w:sz="0" w:space="0" w:color="auto"/>
                  </w:divBdr>
                </w:div>
              </w:divsChild>
            </w:div>
            <w:div w:id="861282150">
              <w:marLeft w:val="0"/>
              <w:marRight w:val="0"/>
              <w:marTop w:val="300"/>
              <w:marBottom w:val="300"/>
              <w:divBdr>
                <w:top w:val="none" w:sz="0" w:space="0" w:color="auto"/>
                <w:left w:val="none" w:sz="0" w:space="0" w:color="auto"/>
                <w:bottom w:val="none" w:sz="0" w:space="0" w:color="auto"/>
                <w:right w:val="none" w:sz="0" w:space="0" w:color="auto"/>
              </w:divBdr>
            </w:div>
            <w:div w:id="861477925">
              <w:marLeft w:val="0"/>
              <w:marRight w:val="0"/>
              <w:marTop w:val="0"/>
              <w:marBottom w:val="0"/>
              <w:divBdr>
                <w:top w:val="none" w:sz="0" w:space="0" w:color="auto"/>
                <w:left w:val="none" w:sz="0" w:space="0" w:color="auto"/>
                <w:bottom w:val="none" w:sz="0" w:space="0" w:color="auto"/>
                <w:right w:val="none" w:sz="0" w:space="0" w:color="auto"/>
              </w:divBdr>
              <w:divsChild>
                <w:div w:id="660622292">
                  <w:marLeft w:val="0"/>
                  <w:marRight w:val="0"/>
                  <w:marTop w:val="0"/>
                  <w:marBottom w:val="0"/>
                  <w:divBdr>
                    <w:top w:val="none" w:sz="0" w:space="0" w:color="auto"/>
                    <w:left w:val="none" w:sz="0" w:space="0" w:color="auto"/>
                    <w:bottom w:val="none" w:sz="0" w:space="0" w:color="auto"/>
                    <w:right w:val="none" w:sz="0" w:space="0" w:color="auto"/>
                  </w:divBdr>
                </w:div>
              </w:divsChild>
            </w:div>
            <w:div w:id="861743648">
              <w:marLeft w:val="0"/>
              <w:marRight w:val="0"/>
              <w:marTop w:val="0"/>
              <w:marBottom w:val="0"/>
              <w:divBdr>
                <w:top w:val="none" w:sz="0" w:space="0" w:color="auto"/>
                <w:left w:val="none" w:sz="0" w:space="0" w:color="auto"/>
                <w:bottom w:val="none" w:sz="0" w:space="0" w:color="auto"/>
                <w:right w:val="none" w:sz="0" w:space="0" w:color="auto"/>
              </w:divBdr>
              <w:divsChild>
                <w:div w:id="1423987496">
                  <w:marLeft w:val="0"/>
                  <w:marRight w:val="0"/>
                  <w:marTop w:val="0"/>
                  <w:marBottom w:val="0"/>
                  <w:divBdr>
                    <w:top w:val="none" w:sz="0" w:space="0" w:color="auto"/>
                    <w:left w:val="none" w:sz="0" w:space="0" w:color="auto"/>
                    <w:bottom w:val="none" w:sz="0" w:space="0" w:color="auto"/>
                    <w:right w:val="none" w:sz="0" w:space="0" w:color="auto"/>
                  </w:divBdr>
                </w:div>
              </w:divsChild>
            </w:div>
            <w:div w:id="863788997">
              <w:marLeft w:val="0"/>
              <w:marRight w:val="0"/>
              <w:marTop w:val="0"/>
              <w:marBottom w:val="0"/>
              <w:divBdr>
                <w:top w:val="none" w:sz="0" w:space="0" w:color="auto"/>
                <w:left w:val="none" w:sz="0" w:space="0" w:color="auto"/>
                <w:bottom w:val="none" w:sz="0" w:space="0" w:color="auto"/>
                <w:right w:val="none" w:sz="0" w:space="0" w:color="auto"/>
              </w:divBdr>
              <w:divsChild>
                <w:div w:id="804396692">
                  <w:marLeft w:val="0"/>
                  <w:marRight w:val="0"/>
                  <w:marTop w:val="0"/>
                  <w:marBottom w:val="0"/>
                  <w:divBdr>
                    <w:top w:val="none" w:sz="0" w:space="0" w:color="auto"/>
                    <w:left w:val="none" w:sz="0" w:space="0" w:color="auto"/>
                    <w:bottom w:val="none" w:sz="0" w:space="0" w:color="auto"/>
                    <w:right w:val="none" w:sz="0" w:space="0" w:color="auto"/>
                  </w:divBdr>
                </w:div>
              </w:divsChild>
            </w:div>
            <w:div w:id="865018664">
              <w:marLeft w:val="0"/>
              <w:marRight w:val="0"/>
              <w:marTop w:val="0"/>
              <w:marBottom w:val="0"/>
              <w:divBdr>
                <w:top w:val="none" w:sz="0" w:space="0" w:color="auto"/>
                <w:left w:val="none" w:sz="0" w:space="0" w:color="auto"/>
                <w:bottom w:val="none" w:sz="0" w:space="0" w:color="auto"/>
                <w:right w:val="none" w:sz="0" w:space="0" w:color="auto"/>
              </w:divBdr>
              <w:divsChild>
                <w:div w:id="151996015">
                  <w:marLeft w:val="0"/>
                  <w:marRight w:val="0"/>
                  <w:marTop w:val="0"/>
                  <w:marBottom w:val="0"/>
                  <w:divBdr>
                    <w:top w:val="none" w:sz="0" w:space="0" w:color="auto"/>
                    <w:left w:val="none" w:sz="0" w:space="0" w:color="auto"/>
                    <w:bottom w:val="none" w:sz="0" w:space="0" w:color="auto"/>
                    <w:right w:val="none" w:sz="0" w:space="0" w:color="auto"/>
                  </w:divBdr>
                </w:div>
              </w:divsChild>
            </w:div>
            <w:div w:id="865211023">
              <w:marLeft w:val="0"/>
              <w:marRight w:val="0"/>
              <w:marTop w:val="0"/>
              <w:marBottom w:val="0"/>
              <w:divBdr>
                <w:top w:val="none" w:sz="0" w:space="0" w:color="auto"/>
                <w:left w:val="none" w:sz="0" w:space="0" w:color="auto"/>
                <w:bottom w:val="none" w:sz="0" w:space="0" w:color="auto"/>
                <w:right w:val="none" w:sz="0" w:space="0" w:color="auto"/>
              </w:divBdr>
              <w:divsChild>
                <w:div w:id="560604084">
                  <w:marLeft w:val="0"/>
                  <w:marRight w:val="0"/>
                  <w:marTop w:val="0"/>
                  <w:marBottom w:val="0"/>
                  <w:divBdr>
                    <w:top w:val="none" w:sz="0" w:space="0" w:color="auto"/>
                    <w:left w:val="none" w:sz="0" w:space="0" w:color="auto"/>
                    <w:bottom w:val="none" w:sz="0" w:space="0" w:color="auto"/>
                    <w:right w:val="none" w:sz="0" w:space="0" w:color="auto"/>
                  </w:divBdr>
                </w:div>
              </w:divsChild>
            </w:div>
            <w:div w:id="866676812">
              <w:marLeft w:val="0"/>
              <w:marRight w:val="0"/>
              <w:marTop w:val="0"/>
              <w:marBottom w:val="0"/>
              <w:divBdr>
                <w:top w:val="none" w:sz="0" w:space="0" w:color="auto"/>
                <w:left w:val="none" w:sz="0" w:space="0" w:color="auto"/>
                <w:bottom w:val="none" w:sz="0" w:space="0" w:color="auto"/>
                <w:right w:val="none" w:sz="0" w:space="0" w:color="auto"/>
              </w:divBdr>
              <w:divsChild>
                <w:div w:id="1798403018">
                  <w:marLeft w:val="0"/>
                  <w:marRight w:val="0"/>
                  <w:marTop w:val="0"/>
                  <w:marBottom w:val="0"/>
                  <w:divBdr>
                    <w:top w:val="none" w:sz="0" w:space="0" w:color="auto"/>
                    <w:left w:val="none" w:sz="0" w:space="0" w:color="auto"/>
                    <w:bottom w:val="none" w:sz="0" w:space="0" w:color="auto"/>
                    <w:right w:val="none" w:sz="0" w:space="0" w:color="auto"/>
                  </w:divBdr>
                </w:div>
              </w:divsChild>
            </w:div>
            <w:div w:id="867186055">
              <w:marLeft w:val="0"/>
              <w:marRight w:val="0"/>
              <w:marTop w:val="0"/>
              <w:marBottom w:val="0"/>
              <w:divBdr>
                <w:top w:val="none" w:sz="0" w:space="0" w:color="auto"/>
                <w:left w:val="none" w:sz="0" w:space="0" w:color="auto"/>
                <w:bottom w:val="none" w:sz="0" w:space="0" w:color="auto"/>
                <w:right w:val="none" w:sz="0" w:space="0" w:color="auto"/>
              </w:divBdr>
              <w:divsChild>
                <w:div w:id="399597229">
                  <w:marLeft w:val="0"/>
                  <w:marRight w:val="0"/>
                  <w:marTop w:val="0"/>
                  <w:marBottom w:val="0"/>
                  <w:divBdr>
                    <w:top w:val="none" w:sz="0" w:space="0" w:color="auto"/>
                    <w:left w:val="none" w:sz="0" w:space="0" w:color="auto"/>
                    <w:bottom w:val="none" w:sz="0" w:space="0" w:color="auto"/>
                    <w:right w:val="none" w:sz="0" w:space="0" w:color="auto"/>
                  </w:divBdr>
                </w:div>
              </w:divsChild>
            </w:div>
            <w:div w:id="867913090">
              <w:marLeft w:val="0"/>
              <w:marRight w:val="0"/>
              <w:marTop w:val="0"/>
              <w:marBottom w:val="0"/>
              <w:divBdr>
                <w:top w:val="none" w:sz="0" w:space="0" w:color="auto"/>
                <w:left w:val="none" w:sz="0" w:space="0" w:color="auto"/>
                <w:bottom w:val="none" w:sz="0" w:space="0" w:color="auto"/>
                <w:right w:val="none" w:sz="0" w:space="0" w:color="auto"/>
              </w:divBdr>
              <w:divsChild>
                <w:div w:id="944536349">
                  <w:marLeft w:val="0"/>
                  <w:marRight w:val="0"/>
                  <w:marTop w:val="0"/>
                  <w:marBottom w:val="0"/>
                  <w:divBdr>
                    <w:top w:val="none" w:sz="0" w:space="0" w:color="auto"/>
                    <w:left w:val="none" w:sz="0" w:space="0" w:color="auto"/>
                    <w:bottom w:val="none" w:sz="0" w:space="0" w:color="auto"/>
                    <w:right w:val="none" w:sz="0" w:space="0" w:color="auto"/>
                  </w:divBdr>
                </w:div>
              </w:divsChild>
            </w:div>
            <w:div w:id="868297585">
              <w:marLeft w:val="0"/>
              <w:marRight w:val="0"/>
              <w:marTop w:val="0"/>
              <w:marBottom w:val="0"/>
              <w:divBdr>
                <w:top w:val="none" w:sz="0" w:space="0" w:color="auto"/>
                <w:left w:val="none" w:sz="0" w:space="0" w:color="auto"/>
                <w:bottom w:val="none" w:sz="0" w:space="0" w:color="auto"/>
                <w:right w:val="none" w:sz="0" w:space="0" w:color="auto"/>
              </w:divBdr>
              <w:divsChild>
                <w:div w:id="1431392783">
                  <w:marLeft w:val="0"/>
                  <w:marRight w:val="0"/>
                  <w:marTop w:val="0"/>
                  <w:marBottom w:val="0"/>
                  <w:divBdr>
                    <w:top w:val="none" w:sz="0" w:space="0" w:color="auto"/>
                    <w:left w:val="none" w:sz="0" w:space="0" w:color="auto"/>
                    <w:bottom w:val="none" w:sz="0" w:space="0" w:color="auto"/>
                    <w:right w:val="none" w:sz="0" w:space="0" w:color="auto"/>
                  </w:divBdr>
                </w:div>
              </w:divsChild>
            </w:div>
            <w:div w:id="869342199">
              <w:marLeft w:val="0"/>
              <w:marRight w:val="0"/>
              <w:marTop w:val="0"/>
              <w:marBottom w:val="0"/>
              <w:divBdr>
                <w:top w:val="none" w:sz="0" w:space="0" w:color="auto"/>
                <w:left w:val="none" w:sz="0" w:space="0" w:color="auto"/>
                <w:bottom w:val="none" w:sz="0" w:space="0" w:color="auto"/>
                <w:right w:val="none" w:sz="0" w:space="0" w:color="auto"/>
              </w:divBdr>
              <w:divsChild>
                <w:div w:id="1747993416">
                  <w:marLeft w:val="0"/>
                  <w:marRight w:val="0"/>
                  <w:marTop w:val="0"/>
                  <w:marBottom w:val="0"/>
                  <w:divBdr>
                    <w:top w:val="none" w:sz="0" w:space="0" w:color="auto"/>
                    <w:left w:val="none" w:sz="0" w:space="0" w:color="auto"/>
                    <w:bottom w:val="none" w:sz="0" w:space="0" w:color="auto"/>
                    <w:right w:val="none" w:sz="0" w:space="0" w:color="auto"/>
                  </w:divBdr>
                </w:div>
              </w:divsChild>
            </w:div>
            <w:div w:id="870335460">
              <w:marLeft w:val="0"/>
              <w:marRight w:val="0"/>
              <w:marTop w:val="0"/>
              <w:marBottom w:val="0"/>
              <w:divBdr>
                <w:top w:val="none" w:sz="0" w:space="0" w:color="auto"/>
                <w:left w:val="none" w:sz="0" w:space="0" w:color="auto"/>
                <w:bottom w:val="none" w:sz="0" w:space="0" w:color="auto"/>
                <w:right w:val="none" w:sz="0" w:space="0" w:color="auto"/>
              </w:divBdr>
              <w:divsChild>
                <w:div w:id="1001738384">
                  <w:marLeft w:val="0"/>
                  <w:marRight w:val="0"/>
                  <w:marTop w:val="0"/>
                  <w:marBottom w:val="0"/>
                  <w:divBdr>
                    <w:top w:val="none" w:sz="0" w:space="0" w:color="auto"/>
                    <w:left w:val="none" w:sz="0" w:space="0" w:color="auto"/>
                    <w:bottom w:val="none" w:sz="0" w:space="0" w:color="auto"/>
                    <w:right w:val="none" w:sz="0" w:space="0" w:color="auto"/>
                  </w:divBdr>
                </w:div>
              </w:divsChild>
            </w:div>
            <w:div w:id="871116966">
              <w:marLeft w:val="0"/>
              <w:marRight w:val="0"/>
              <w:marTop w:val="0"/>
              <w:marBottom w:val="0"/>
              <w:divBdr>
                <w:top w:val="none" w:sz="0" w:space="0" w:color="auto"/>
                <w:left w:val="none" w:sz="0" w:space="0" w:color="auto"/>
                <w:bottom w:val="none" w:sz="0" w:space="0" w:color="auto"/>
                <w:right w:val="none" w:sz="0" w:space="0" w:color="auto"/>
              </w:divBdr>
              <w:divsChild>
                <w:div w:id="1449739090">
                  <w:marLeft w:val="0"/>
                  <w:marRight w:val="0"/>
                  <w:marTop w:val="0"/>
                  <w:marBottom w:val="0"/>
                  <w:divBdr>
                    <w:top w:val="none" w:sz="0" w:space="0" w:color="auto"/>
                    <w:left w:val="none" w:sz="0" w:space="0" w:color="auto"/>
                    <w:bottom w:val="none" w:sz="0" w:space="0" w:color="auto"/>
                    <w:right w:val="none" w:sz="0" w:space="0" w:color="auto"/>
                  </w:divBdr>
                </w:div>
              </w:divsChild>
            </w:div>
            <w:div w:id="871260130">
              <w:marLeft w:val="0"/>
              <w:marRight w:val="0"/>
              <w:marTop w:val="0"/>
              <w:marBottom w:val="0"/>
              <w:divBdr>
                <w:top w:val="none" w:sz="0" w:space="0" w:color="auto"/>
                <w:left w:val="none" w:sz="0" w:space="0" w:color="auto"/>
                <w:bottom w:val="none" w:sz="0" w:space="0" w:color="auto"/>
                <w:right w:val="none" w:sz="0" w:space="0" w:color="auto"/>
              </w:divBdr>
              <w:divsChild>
                <w:div w:id="1347559861">
                  <w:marLeft w:val="0"/>
                  <w:marRight w:val="0"/>
                  <w:marTop w:val="0"/>
                  <w:marBottom w:val="0"/>
                  <w:divBdr>
                    <w:top w:val="none" w:sz="0" w:space="0" w:color="auto"/>
                    <w:left w:val="none" w:sz="0" w:space="0" w:color="auto"/>
                    <w:bottom w:val="none" w:sz="0" w:space="0" w:color="auto"/>
                    <w:right w:val="none" w:sz="0" w:space="0" w:color="auto"/>
                  </w:divBdr>
                </w:div>
              </w:divsChild>
            </w:div>
            <w:div w:id="871307263">
              <w:marLeft w:val="0"/>
              <w:marRight w:val="0"/>
              <w:marTop w:val="300"/>
              <w:marBottom w:val="300"/>
              <w:divBdr>
                <w:top w:val="none" w:sz="0" w:space="0" w:color="auto"/>
                <w:left w:val="none" w:sz="0" w:space="0" w:color="auto"/>
                <w:bottom w:val="none" w:sz="0" w:space="0" w:color="auto"/>
                <w:right w:val="none" w:sz="0" w:space="0" w:color="auto"/>
              </w:divBdr>
            </w:div>
            <w:div w:id="871891293">
              <w:marLeft w:val="0"/>
              <w:marRight w:val="0"/>
              <w:marTop w:val="0"/>
              <w:marBottom w:val="0"/>
              <w:divBdr>
                <w:top w:val="none" w:sz="0" w:space="0" w:color="auto"/>
                <w:left w:val="none" w:sz="0" w:space="0" w:color="auto"/>
                <w:bottom w:val="none" w:sz="0" w:space="0" w:color="auto"/>
                <w:right w:val="none" w:sz="0" w:space="0" w:color="auto"/>
              </w:divBdr>
              <w:divsChild>
                <w:div w:id="27491508">
                  <w:marLeft w:val="0"/>
                  <w:marRight w:val="0"/>
                  <w:marTop w:val="0"/>
                  <w:marBottom w:val="0"/>
                  <w:divBdr>
                    <w:top w:val="none" w:sz="0" w:space="0" w:color="auto"/>
                    <w:left w:val="none" w:sz="0" w:space="0" w:color="auto"/>
                    <w:bottom w:val="none" w:sz="0" w:space="0" w:color="auto"/>
                    <w:right w:val="none" w:sz="0" w:space="0" w:color="auto"/>
                  </w:divBdr>
                </w:div>
              </w:divsChild>
            </w:div>
            <w:div w:id="873418267">
              <w:marLeft w:val="0"/>
              <w:marRight w:val="0"/>
              <w:marTop w:val="0"/>
              <w:marBottom w:val="0"/>
              <w:divBdr>
                <w:top w:val="none" w:sz="0" w:space="0" w:color="auto"/>
                <w:left w:val="none" w:sz="0" w:space="0" w:color="auto"/>
                <w:bottom w:val="none" w:sz="0" w:space="0" w:color="auto"/>
                <w:right w:val="none" w:sz="0" w:space="0" w:color="auto"/>
              </w:divBdr>
              <w:divsChild>
                <w:div w:id="629550281">
                  <w:marLeft w:val="0"/>
                  <w:marRight w:val="0"/>
                  <w:marTop w:val="0"/>
                  <w:marBottom w:val="0"/>
                  <w:divBdr>
                    <w:top w:val="none" w:sz="0" w:space="0" w:color="auto"/>
                    <w:left w:val="none" w:sz="0" w:space="0" w:color="auto"/>
                    <w:bottom w:val="none" w:sz="0" w:space="0" w:color="auto"/>
                    <w:right w:val="none" w:sz="0" w:space="0" w:color="auto"/>
                  </w:divBdr>
                </w:div>
              </w:divsChild>
            </w:div>
            <w:div w:id="873617085">
              <w:marLeft w:val="0"/>
              <w:marRight w:val="0"/>
              <w:marTop w:val="0"/>
              <w:marBottom w:val="0"/>
              <w:divBdr>
                <w:top w:val="none" w:sz="0" w:space="0" w:color="auto"/>
                <w:left w:val="none" w:sz="0" w:space="0" w:color="auto"/>
                <w:bottom w:val="none" w:sz="0" w:space="0" w:color="auto"/>
                <w:right w:val="none" w:sz="0" w:space="0" w:color="auto"/>
              </w:divBdr>
              <w:divsChild>
                <w:div w:id="1862277573">
                  <w:marLeft w:val="0"/>
                  <w:marRight w:val="0"/>
                  <w:marTop w:val="0"/>
                  <w:marBottom w:val="0"/>
                  <w:divBdr>
                    <w:top w:val="none" w:sz="0" w:space="0" w:color="auto"/>
                    <w:left w:val="none" w:sz="0" w:space="0" w:color="auto"/>
                    <w:bottom w:val="none" w:sz="0" w:space="0" w:color="auto"/>
                    <w:right w:val="none" w:sz="0" w:space="0" w:color="auto"/>
                  </w:divBdr>
                </w:div>
              </w:divsChild>
            </w:div>
            <w:div w:id="873734717">
              <w:marLeft w:val="0"/>
              <w:marRight w:val="0"/>
              <w:marTop w:val="0"/>
              <w:marBottom w:val="0"/>
              <w:divBdr>
                <w:top w:val="none" w:sz="0" w:space="0" w:color="auto"/>
                <w:left w:val="none" w:sz="0" w:space="0" w:color="auto"/>
                <w:bottom w:val="none" w:sz="0" w:space="0" w:color="auto"/>
                <w:right w:val="none" w:sz="0" w:space="0" w:color="auto"/>
              </w:divBdr>
              <w:divsChild>
                <w:div w:id="49424074">
                  <w:marLeft w:val="0"/>
                  <w:marRight w:val="0"/>
                  <w:marTop w:val="0"/>
                  <w:marBottom w:val="0"/>
                  <w:divBdr>
                    <w:top w:val="none" w:sz="0" w:space="0" w:color="auto"/>
                    <w:left w:val="none" w:sz="0" w:space="0" w:color="auto"/>
                    <w:bottom w:val="none" w:sz="0" w:space="0" w:color="auto"/>
                    <w:right w:val="none" w:sz="0" w:space="0" w:color="auto"/>
                  </w:divBdr>
                </w:div>
              </w:divsChild>
            </w:div>
            <w:div w:id="874080841">
              <w:marLeft w:val="0"/>
              <w:marRight w:val="0"/>
              <w:marTop w:val="0"/>
              <w:marBottom w:val="0"/>
              <w:divBdr>
                <w:top w:val="none" w:sz="0" w:space="0" w:color="auto"/>
                <w:left w:val="none" w:sz="0" w:space="0" w:color="auto"/>
                <w:bottom w:val="none" w:sz="0" w:space="0" w:color="auto"/>
                <w:right w:val="none" w:sz="0" w:space="0" w:color="auto"/>
              </w:divBdr>
              <w:divsChild>
                <w:div w:id="256014853">
                  <w:marLeft w:val="0"/>
                  <w:marRight w:val="0"/>
                  <w:marTop w:val="0"/>
                  <w:marBottom w:val="0"/>
                  <w:divBdr>
                    <w:top w:val="none" w:sz="0" w:space="0" w:color="auto"/>
                    <w:left w:val="none" w:sz="0" w:space="0" w:color="auto"/>
                    <w:bottom w:val="none" w:sz="0" w:space="0" w:color="auto"/>
                    <w:right w:val="none" w:sz="0" w:space="0" w:color="auto"/>
                  </w:divBdr>
                </w:div>
              </w:divsChild>
            </w:div>
            <w:div w:id="874737859">
              <w:marLeft w:val="0"/>
              <w:marRight w:val="0"/>
              <w:marTop w:val="300"/>
              <w:marBottom w:val="300"/>
              <w:divBdr>
                <w:top w:val="none" w:sz="0" w:space="0" w:color="auto"/>
                <w:left w:val="none" w:sz="0" w:space="0" w:color="auto"/>
                <w:bottom w:val="none" w:sz="0" w:space="0" w:color="auto"/>
                <w:right w:val="none" w:sz="0" w:space="0" w:color="auto"/>
              </w:divBdr>
            </w:div>
            <w:div w:id="875967750">
              <w:marLeft w:val="0"/>
              <w:marRight w:val="0"/>
              <w:marTop w:val="0"/>
              <w:marBottom w:val="0"/>
              <w:divBdr>
                <w:top w:val="none" w:sz="0" w:space="0" w:color="auto"/>
                <w:left w:val="none" w:sz="0" w:space="0" w:color="auto"/>
                <w:bottom w:val="none" w:sz="0" w:space="0" w:color="auto"/>
                <w:right w:val="none" w:sz="0" w:space="0" w:color="auto"/>
              </w:divBdr>
              <w:divsChild>
                <w:div w:id="1842044756">
                  <w:marLeft w:val="0"/>
                  <w:marRight w:val="0"/>
                  <w:marTop w:val="0"/>
                  <w:marBottom w:val="0"/>
                  <w:divBdr>
                    <w:top w:val="none" w:sz="0" w:space="0" w:color="auto"/>
                    <w:left w:val="none" w:sz="0" w:space="0" w:color="auto"/>
                    <w:bottom w:val="none" w:sz="0" w:space="0" w:color="auto"/>
                    <w:right w:val="none" w:sz="0" w:space="0" w:color="auto"/>
                  </w:divBdr>
                </w:div>
              </w:divsChild>
            </w:div>
            <w:div w:id="875972263">
              <w:marLeft w:val="0"/>
              <w:marRight w:val="0"/>
              <w:marTop w:val="0"/>
              <w:marBottom w:val="0"/>
              <w:divBdr>
                <w:top w:val="none" w:sz="0" w:space="0" w:color="auto"/>
                <w:left w:val="none" w:sz="0" w:space="0" w:color="auto"/>
                <w:bottom w:val="none" w:sz="0" w:space="0" w:color="auto"/>
                <w:right w:val="none" w:sz="0" w:space="0" w:color="auto"/>
              </w:divBdr>
              <w:divsChild>
                <w:div w:id="1232235352">
                  <w:marLeft w:val="0"/>
                  <w:marRight w:val="0"/>
                  <w:marTop w:val="0"/>
                  <w:marBottom w:val="0"/>
                  <w:divBdr>
                    <w:top w:val="none" w:sz="0" w:space="0" w:color="auto"/>
                    <w:left w:val="none" w:sz="0" w:space="0" w:color="auto"/>
                    <w:bottom w:val="none" w:sz="0" w:space="0" w:color="auto"/>
                    <w:right w:val="none" w:sz="0" w:space="0" w:color="auto"/>
                  </w:divBdr>
                </w:div>
              </w:divsChild>
            </w:div>
            <w:div w:id="876426757">
              <w:marLeft w:val="0"/>
              <w:marRight w:val="0"/>
              <w:marTop w:val="0"/>
              <w:marBottom w:val="0"/>
              <w:divBdr>
                <w:top w:val="none" w:sz="0" w:space="0" w:color="auto"/>
                <w:left w:val="none" w:sz="0" w:space="0" w:color="auto"/>
                <w:bottom w:val="none" w:sz="0" w:space="0" w:color="auto"/>
                <w:right w:val="none" w:sz="0" w:space="0" w:color="auto"/>
              </w:divBdr>
              <w:divsChild>
                <w:div w:id="888154893">
                  <w:marLeft w:val="0"/>
                  <w:marRight w:val="0"/>
                  <w:marTop w:val="0"/>
                  <w:marBottom w:val="0"/>
                  <w:divBdr>
                    <w:top w:val="none" w:sz="0" w:space="0" w:color="auto"/>
                    <w:left w:val="none" w:sz="0" w:space="0" w:color="auto"/>
                    <w:bottom w:val="none" w:sz="0" w:space="0" w:color="auto"/>
                    <w:right w:val="none" w:sz="0" w:space="0" w:color="auto"/>
                  </w:divBdr>
                </w:div>
              </w:divsChild>
            </w:div>
            <w:div w:id="876895192">
              <w:marLeft w:val="0"/>
              <w:marRight w:val="0"/>
              <w:marTop w:val="0"/>
              <w:marBottom w:val="0"/>
              <w:divBdr>
                <w:top w:val="none" w:sz="0" w:space="0" w:color="auto"/>
                <w:left w:val="none" w:sz="0" w:space="0" w:color="auto"/>
                <w:bottom w:val="none" w:sz="0" w:space="0" w:color="auto"/>
                <w:right w:val="none" w:sz="0" w:space="0" w:color="auto"/>
              </w:divBdr>
              <w:divsChild>
                <w:div w:id="195119944">
                  <w:marLeft w:val="0"/>
                  <w:marRight w:val="0"/>
                  <w:marTop w:val="0"/>
                  <w:marBottom w:val="0"/>
                  <w:divBdr>
                    <w:top w:val="none" w:sz="0" w:space="0" w:color="auto"/>
                    <w:left w:val="none" w:sz="0" w:space="0" w:color="auto"/>
                    <w:bottom w:val="none" w:sz="0" w:space="0" w:color="auto"/>
                    <w:right w:val="none" w:sz="0" w:space="0" w:color="auto"/>
                  </w:divBdr>
                </w:div>
              </w:divsChild>
            </w:div>
            <w:div w:id="878515523">
              <w:marLeft w:val="0"/>
              <w:marRight w:val="0"/>
              <w:marTop w:val="0"/>
              <w:marBottom w:val="0"/>
              <w:divBdr>
                <w:top w:val="none" w:sz="0" w:space="0" w:color="auto"/>
                <w:left w:val="none" w:sz="0" w:space="0" w:color="auto"/>
                <w:bottom w:val="none" w:sz="0" w:space="0" w:color="auto"/>
                <w:right w:val="none" w:sz="0" w:space="0" w:color="auto"/>
              </w:divBdr>
              <w:divsChild>
                <w:div w:id="2102599133">
                  <w:marLeft w:val="0"/>
                  <w:marRight w:val="0"/>
                  <w:marTop w:val="0"/>
                  <w:marBottom w:val="0"/>
                  <w:divBdr>
                    <w:top w:val="none" w:sz="0" w:space="0" w:color="auto"/>
                    <w:left w:val="none" w:sz="0" w:space="0" w:color="auto"/>
                    <w:bottom w:val="none" w:sz="0" w:space="0" w:color="auto"/>
                    <w:right w:val="none" w:sz="0" w:space="0" w:color="auto"/>
                  </w:divBdr>
                </w:div>
              </w:divsChild>
            </w:div>
            <w:div w:id="878933341">
              <w:marLeft w:val="0"/>
              <w:marRight w:val="0"/>
              <w:marTop w:val="0"/>
              <w:marBottom w:val="0"/>
              <w:divBdr>
                <w:top w:val="none" w:sz="0" w:space="0" w:color="auto"/>
                <w:left w:val="none" w:sz="0" w:space="0" w:color="auto"/>
                <w:bottom w:val="none" w:sz="0" w:space="0" w:color="auto"/>
                <w:right w:val="none" w:sz="0" w:space="0" w:color="auto"/>
              </w:divBdr>
              <w:divsChild>
                <w:div w:id="79720280">
                  <w:marLeft w:val="0"/>
                  <w:marRight w:val="0"/>
                  <w:marTop w:val="0"/>
                  <w:marBottom w:val="0"/>
                  <w:divBdr>
                    <w:top w:val="none" w:sz="0" w:space="0" w:color="auto"/>
                    <w:left w:val="none" w:sz="0" w:space="0" w:color="auto"/>
                    <w:bottom w:val="none" w:sz="0" w:space="0" w:color="auto"/>
                    <w:right w:val="none" w:sz="0" w:space="0" w:color="auto"/>
                  </w:divBdr>
                </w:div>
              </w:divsChild>
            </w:div>
            <w:div w:id="879631242">
              <w:marLeft w:val="0"/>
              <w:marRight w:val="0"/>
              <w:marTop w:val="300"/>
              <w:marBottom w:val="300"/>
              <w:divBdr>
                <w:top w:val="none" w:sz="0" w:space="0" w:color="auto"/>
                <w:left w:val="none" w:sz="0" w:space="0" w:color="auto"/>
                <w:bottom w:val="none" w:sz="0" w:space="0" w:color="auto"/>
                <w:right w:val="none" w:sz="0" w:space="0" w:color="auto"/>
              </w:divBdr>
            </w:div>
            <w:div w:id="879896281">
              <w:marLeft w:val="0"/>
              <w:marRight w:val="0"/>
              <w:marTop w:val="0"/>
              <w:marBottom w:val="0"/>
              <w:divBdr>
                <w:top w:val="none" w:sz="0" w:space="0" w:color="auto"/>
                <w:left w:val="none" w:sz="0" w:space="0" w:color="auto"/>
                <w:bottom w:val="none" w:sz="0" w:space="0" w:color="auto"/>
                <w:right w:val="none" w:sz="0" w:space="0" w:color="auto"/>
              </w:divBdr>
              <w:divsChild>
                <w:div w:id="199898701">
                  <w:marLeft w:val="0"/>
                  <w:marRight w:val="0"/>
                  <w:marTop w:val="0"/>
                  <w:marBottom w:val="0"/>
                  <w:divBdr>
                    <w:top w:val="none" w:sz="0" w:space="0" w:color="auto"/>
                    <w:left w:val="none" w:sz="0" w:space="0" w:color="auto"/>
                    <w:bottom w:val="none" w:sz="0" w:space="0" w:color="auto"/>
                    <w:right w:val="none" w:sz="0" w:space="0" w:color="auto"/>
                  </w:divBdr>
                </w:div>
              </w:divsChild>
            </w:div>
            <w:div w:id="880365048">
              <w:marLeft w:val="0"/>
              <w:marRight w:val="0"/>
              <w:marTop w:val="0"/>
              <w:marBottom w:val="0"/>
              <w:divBdr>
                <w:top w:val="none" w:sz="0" w:space="0" w:color="auto"/>
                <w:left w:val="none" w:sz="0" w:space="0" w:color="auto"/>
                <w:bottom w:val="none" w:sz="0" w:space="0" w:color="auto"/>
                <w:right w:val="none" w:sz="0" w:space="0" w:color="auto"/>
              </w:divBdr>
              <w:divsChild>
                <w:div w:id="442919998">
                  <w:marLeft w:val="0"/>
                  <w:marRight w:val="0"/>
                  <w:marTop w:val="0"/>
                  <w:marBottom w:val="0"/>
                  <w:divBdr>
                    <w:top w:val="none" w:sz="0" w:space="0" w:color="auto"/>
                    <w:left w:val="none" w:sz="0" w:space="0" w:color="auto"/>
                    <w:bottom w:val="none" w:sz="0" w:space="0" w:color="auto"/>
                    <w:right w:val="none" w:sz="0" w:space="0" w:color="auto"/>
                  </w:divBdr>
                </w:div>
              </w:divsChild>
            </w:div>
            <w:div w:id="881477943">
              <w:marLeft w:val="0"/>
              <w:marRight w:val="0"/>
              <w:marTop w:val="0"/>
              <w:marBottom w:val="0"/>
              <w:divBdr>
                <w:top w:val="none" w:sz="0" w:space="0" w:color="auto"/>
                <w:left w:val="none" w:sz="0" w:space="0" w:color="auto"/>
                <w:bottom w:val="none" w:sz="0" w:space="0" w:color="auto"/>
                <w:right w:val="none" w:sz="0" w:space="0" w:color="auto"/>
              </w:divBdr>
              <w:divsChild>
                <w:div w:id="1705204467">
                  <w:marLeft w:val="0"/>
                  <w:marRight w:val="0"/>
                  <w:marTop w:val="0"/>
                  <w:marBottom w:val="0"/>
                  <w:divBdr>
                    <w:top w:val="none" w:sz="0" w:space="0" w:color="auto"/>
                    <w:left w:val="none" w:sz="0" w:space="0" w:color="auto"/>
                    <w:bottom w:val="none" w:sz="0" w:space="0" w:color="auto"/>
                    <w:right w:val="none" w:sz="0" w:space="0" w:color="auto"/>
                  </w:divBdr>
                </w:div>
              </w:divsChild>
            </w:div>
            <w:div w:id="886448919">
              <w:marLeft w:val="0"/>
              <w:marRight w:val="0"/>
              <w:marTop w:val="0"/>
              <w:marBottom w:val="0"/>
              <w:divBdr>
                <w:top w:val="none" w:sz="0" w:space="0" w:color="auto"/>
                <w:left w:val="none" w:sz="0" w:space="0" w:color="auto"/>
                <w:bottom w:val="none" w:sz="0" w:space="0" w:color="auto"/>
                <w:right w:val="none" w:sz="0" w:space="0" w:color="auto"/>
              </w:divBdr>
              <w:divsChild>
                <w:div w:id="1127972480">
                  <w:marLeft w:val="0"/>
                  <w:marRight w:val="0"/>
                  <w:marTop w:val="0"/>
                  <w:marBottom w:val="0"/>
                  <w:divBdr>
                    <w:top w:val="none" w:sz="0" w:space="0" w:color="auto"/>
                    <w:left w:val="none" w:sz="0" w:space="0" w:color="auto"/>
                    <w:bottom w:val="none" w:sz="0" w:space="0" w:color="auto"/>
                    <w:right w:val="none" w:sz="0" w:space="0" w:color="auto"/>
                  </w:divBdr>
                </w:div>
              </w:divsChild>
            </w:div>
            <w:div w:id="886720495">
              <w:marLeft w:val="0"/>
              <w:marRight w:val="0"/>
              <w:marTop w:val="0"/>
              <w:marBottom w:val="0"/>
              <w:divBdr>
                <w:top w:val="none" w:sz="0" w:space="0" w:color="auto"/>
                <w:left w:val="none" w:sz="0" w:space="0" w:color="auto"/>
                <w:bottom w:val="none" w:sz="0" w:space="0" w:color="auto"/>
                <w:right w:val="none" w:sz="0" w:space="0" w:color="auto"/>
              </w:divBdr>
              <w:divsChild>
                <w:div w:id="1781483843">
                  <w:marLeft w:val="0"/>
                  <w:marRight w:val="0"/>
                  <w:marTop w:val="0"/>
                  <w:marBottom w:val="0"/>
                  <w:divBdr>
                    <w:top w:val="none" w:sz="0" w:space="0" w:color="auto"/>
                    <w:left w:val="none" w:sz="0" w:space="0" w:color="auto"/>
                    <w:bottom w:val="none" w:sz="0" w:space="0" w:color="auto"/>
                    <w:right w:val="none" w:sz="0" w:space="0" w:color="auto"/>
                  </w:divBdr>
                </w:div>
              </w:divsChild>
            </w:div>
            <w:div w:id="888223074">
              <w:marLeft w:val="0"/>
              <w:marRight w:val="0"/>
              <w:marTop w:val="0"/>
              <w:marBottom w:val="0"/>
              <w:divBdr>
                <w:top w:val="none" w:sz="0" w:space="0" w:color="auto"/>
                <w:left w:val="none" w:sz="0" w:space="0" w:color="auto"/>
                <w:bottom w:val="none" w:sz="0" w:space="0" w:color="auto"/>
                <w:right w:val="none" w:sz="0" w:space="0" w:color="auto"/>
              </w:divBdr>
              <w:divsChild>
                <w:div w:id="116998417">
                  <w:marLeft w:val="0"/>
                  <w:marRight w:val="0"/>
                  <w:marTop w:val="0"/>
                  <w:marBottom w:val="0"/>
                  <w:divBdr>
                    <w:top w:val="none" w:sz="0" w:space="0" w:color="auto"/>
                    <w:left w:val="none" w:sz="0" w:space="0" w:color="auto"/>
                    <w:bottom w:val="none" w:sz="0" w:space="0" w:color="auto"/>
                    <w:right w:val="none" w:sz="0" w:space="0" w:color="auto"/>
                  </w:divBdr>
                </w:div>
              </w:divsChild>
            </w:div>
            <w:div w:id="888734742">
              <w:marLeft w:val="0"/>
              <w:marRight w:val="0"/>
              <w:marTop w:val="0"/>
              <w:marBottom w:val="0"/>
              <w:divBdr>
                <w:top w:val="none" w:sz="0" w:space="0" w:color="auto"/>
                <w:left w:val="none" w:sz="0" w:space="0" w:color="auto"/>
                <w:bottom w:val="none" w:sz="0" w:space="0" w:color="auto"/>
                <w:right w:val="none" w:sz="0" w:space="0" w:color="auto"/>
              </w:divBdr>
              <w:divsChild>
                <w:div w:id="1967733035">
                  <w:marLeft w:val="0"/>
                  <w:marRight w:val="0"/>
                  <w:marTop w:val="0"/>
                  <w:marBottom w:val="0"/>
                  <w:divBdr>
                    <w:top w:val="none" w:sz="0" w:space="0" w:color="auto"/>
                    <w:left w:val="none" w:sz="0" w:space="0" w:color="auto"/>
                    <w:bottom w:val="none" w:sz="0" w:space="0" w:color="auto"/>
                    <w:right w:val="none" w:sz="0" w:space="0" w:color="auto"/>
                  </w:divBdr>
                </w:div>
              </w:divsChild>
            </w:div>
            <w:div w:id="889919486">
              <w:marLeft w:val="0"/>
              <w:marRight w:val="0"/>
              <w:marTop w:val="0"/>
              <w:marBottom w:val="0"/>
              <w:divBdr>
                <w:top w:val="none" w:sz="0" w:space="0" w:color="auto"/>
                <w:left w:val="none" w:sz="0" w:space="0" w:color="auto"/>
                <w:bottom w:val="none" w:sz="0" w:space="0" w:color="auto"/>
                <w:right w:val="none" w:sz="0" w:space="0" w:color="auto"/>
              </w:divBdr>
              <w:divsChild>
                <w:div w:id="111630063">
                  <w:marLeft w:val="0"/>
                  <w:marRight w:val="0"/>
                  <w:marTop w:val="0"/>
                  <w:marBottom w:val="0"/>
                  <w:divBdr>
                    <w:top w:val="none" w:sz="0" w:space="0" w:color="auto"/>
                    <w:left w:val="none" w:sz="0" w:space="0" w:color="auto"/>
                    <w:bottom w:val="none" w:sz="0" w:space="0" w:color="auto"/>
                    <w:right w:val="none" w:sz="0" w:space="0" w:color="auto"/>
                  </w:divBdr>
                </w:div>
              </w:divsChild>
            </w:div>
            <w:div w:id="890966665">
              <w:marLeft w:val="0"/>
              <w:marRight w:val="0"/>
              <w:marTop w:val="0"/>
              <w:marBottom w:val="0"/>
              <w:divBdr>
                <w:top w:val="none" w:sz="0" w:space="0" w:color="auto"/>
                <w:left w:val="none" w:sz="0" w:space="0" w:color="auto"/>
                <w:bottom w:val="none" w:sz="0" w:space="0" w:color="auto"/>
                <w:right w:val="none" w:sz="0" w:space="0" w:color="auto"/>
              </w:divBdr>
              <w:divsChild>
                <w:div w:id="1863938387">
                  <w:marLeft w:val="0"/>
                  <w:marRight w:val="0"/>
                  <w:marTop w:val="0"/>
                  <w:marBottom w:val="0"/>
                  <w:divBdr>
                    <w:top w:val="none" w:sz="0" w:space="0" w:color="auto"/>
                    <w:left w:val="none" w:sz="0" w:space="0" w:color="auto"/>
                    <w:bottom w:val="none" w:sz="0" w:space="0" w:color="auto"/>
                    <w:right w:val="none" w:sz="0" w:space="0" w:color="auto"/>
                  </w:divBdr>
                </w:div>
              </w:divsChild>
            </w:div>
            <w:div w:id="892034960">
              <w:marLeft w:val="0"/>
              <w:marRight w:val="0"/>
              <w:marTop w:val="0"/>
              <w:marBottom w:val="0"/>
              <w:divBdr>
                <w:top w:val="none" w:sz="0" w:space="0" w:color="auto"/>
                <w:left w:val="none" w:sz="0" w:space="0" w:color="auto"/>
                <w:bottom w:val="none" w:sz="0" w:space="0" w:color="auto"/>
                <w:right w:val="none" w:sz="0" w:space="0" w:color="auto"/>
              </w:divBdr>
              <w:divsChild>
                <w:div w:id="357243227">
                  <w:marLeft w:val="0"/>
                  <w:marRight w:val="0"/>
                  <w:marTop w:val="0"/>
                  <w:marBottom w:val="0"/>
                  <w:divBdr>
                    <w:top w:val="none" w:sz="0" w:space="0" w:color="auto"/>
                    <w:left w:val="none" w:sz="0" w:space="0" w:color="auto"/>
                    <w:bottom w:val="none" w:sz="0" w:space="0" w:color="auto"/>
                    <w:right w:val="none" w:sz="0" w:space="0" w:color="auto"/>
                  </w:divBdr>
                </w:div>
              </w:divsChild>
            </w:div>
            <w:div w:id="894513117">
              <w:marLeft w:val="0"/>
              <w:marRight w:val="0"/>
              <w:marTop w:val="0"/>
              <w:marBottom w:val="0"/>
              <w:divBdr>
                <w:top w:val="none" w:sz="0" w:space="0" w:color="auto"/>
                <w:left w:val="none" w:sz="0" w:space="0" w:color="auto"/>
                <w:bottom w:val="none" w:sz="0" w:space="0" w:color="auto"/>
                <w:right w:val="none" w:sz="0" w:space="0" w:color="auto"/>
              </w:divBdr>
              <w:divsChild>
                <w:div w:id="1268854919">
                  <w:marLeft w:val="0"/>
                  <w:marRight w:val="0"/>
                  <w:marTop w:val="0"/>
                  <w:marBottom w:val="0"/>
                  <w:divBdr>
                    <w:top w:val="none" w:sz="0" w:space="0" w:color="auto"/>
                    <w:left w:val="none" w:sz="0" w:space="0" w:color="auto"/>
                    <w:bottom w:val="none" w:sz="0" w:space="0" w:color="auto"/>
                    <w:right w:val="none" w:sz="0" w:space="0" w:color="auto"/>
                  </w:divBdr>
                </w:div>
              </w:divsChild>
            </w:div>
            <w:div w:id="894584178">
              <w:marLeft w:val="0"/>
              <w:marRight w:val="0"/>
              <w:marTop w:val="300"/>
              <w:marBottom w:val="300"/>
              <w:divBdr>
                <w:top w:val="none" w:sz="0" w:space="0" w:color="auto"/>
                <w:left w:val="none" w:sz="0" w:space="0" w:color="auto"/>
                <w:bottom w:val="none" w:sz="0" w:space="0" w:color="auto"/>
                <w:right w:val="none" w:sz="0" w:space="0" w:color="auto"/>
              </w:divBdr>
            </w:div>
            <w:div w:id="894660520">
              <w:marLeft w:val="0"/>
              <w:marRight w:val="0"/>
              <w:marTop w:val="0"/>
              <w:marBottom w:val="0"/>
              <w:divBdr>
                <w:top w:val="none" w:sz="0" w:space="0" w:color="auto"/>
                <w:left w:val="none" w:sz="0" w:space="0" w:color="auto"/>
                <w:bottom w:val="none" w:sz="0" w:space="0" w:color="auto"/>
                <w:right w:val="none" w:sz="0" w:space="0" w:color="auto"/>
              </w:divBdr>
              <w:divsChild>
                <w:div w:id="855272624">
                  <w:marLeft w:val="0"/>
                  <w:marRight w:val="0"/>
                  <w:marTop w:val="0"/>
                  <w:marBottom w:val="0"/>
                  <w:divBdr>
                    <w:top w:val="none" w:sz="0" w:space="0" w:color="auto"/>
                    <w:left w:val="none" w:sz="0" w:space="0" w:color="auto"/>
                    <w:bottom w:val="none" w:sz="0" w:space="0" w:color="auto"/>
                    <w:right w:val="none" w:sz="0" w:space="0" w:color="auto"/>
                  </w:divBdr>
                </w:div>
              </w:divsChild>
            </w:div>
            <w:div w:id="894703345">
              <w:marLeft w:val="0"/>
              <w:marRight w:val="0"/>
              <w:marTop w:val="300"/>
              <w:marBottom w:val="300"/>
              <w:divBdr>
                <w:top w:val="none" w:sz="0" w:space="0" w:color="auto"/>
                <w:left w:val="none" w:sz="0" w:space="0" w:color="auto"/>
                <w:bottom w:val="none" w:sz="0" w:space="0" w:color="auto"/>
                <w:right w:val="none" w:sz="0" w:space="0" w:color="auto"/>
              </w:divBdr>
            </w:div>
            <w:div w:id="896280009">
              <w:marLeft w:val="0"/>
              <w:marRight w:val="0"/>
              <w:marTop w:val="0"/>
              <w:marBottom w:val="0"/>
              <w:divBdr>
                <w:top w:val="none" w:sz="0" w:space="0" w:color="auto"/>
                <w:left w:val="none" w:sz="0" w:space="0" w:color="auto"/>
                <w:bottom w:val="none" w:sz="0" w:space="0" w:color="auto"/>
                <w:right w:val="none" w:sz="0" w:space="0" w:color="auto"/>
              </w:divBdr>
              <w:divsChild>
                <w:div w:id="395706406">
                  <w:marLeft w:val="0"/>
                  <w:marRight w:val="0"/>
                  <w:marTop w:val="0"/>
                  <w:marBottom w:val="0"/>
                  <w:divBdr>
                    <w:top w:val="none" w:sz="0" w:space="0" w:color="auto"/>
                    <w:left w:val="none" w:sz="0" w:space="0" w:color="auto"/>
                    <w:bottom w:val="none" w:sz="0" w:space="0" w:color="auto"/>
                    <w:right w:val="none" w:sz="0" w:space="0" w:color="auto"/>
                  </w:divBdr>
                </w:div>
              </w:divsChild>
            </w:div>
            <w:div w:id="897083390">
              <w:marLeft w:val="0"/>
              <w:marRight w:val="0"/>
              <w:marTop w:val="300"/>
              <w:marBottom w:val="300"/>
              <w:divBdr>
                <w:top w:val="none" w:sz="0" w:space="0" w:color="auto"/>
                <w:left w:val="none" w:sz="0" w:space="0" w:color="auto"/>
                <w:bottom w:val="none" w:sz="0" w:space="0" w:color="auto"/>
                <w:right w:val="none" w:sz="0" w:space="0" w:color="auto"/>
              </w:divBdr>
            </w:div>
            <w:div w:id="898370371">
              <w:marLeft w:val="0"/>
              <w:marRight w:val="0"/>
              <w:marTop w:val="0"/>
              <w:marBottom w:val="0"/>
              <w:divBdr>
                <w:top w:val="none" w:sz="0" w:space="0" w:color="auto"/>
                <w:left w:val="none" w:sz="0" w:space="0" w:color="auto"/>
                <w:bottom w:val="none" w:sz="0" w:space="0" w:color="auto"/>
                <w:right w:val="none" w:sz="0" w:space="0" w:color="auto"/>
              </w:divBdr>
              <w:divsChild>
                <w:div w:id="1407604917">
                  <w:marLeft w:val="0"/>
                  <w:marRight w:val="0"/>
                  <w:marTop w:val="0"/>
                  <w:marBottom w:val="0"/>
                  <w:divBdr>
                    <w:top w:val="none" w:sz="0" w:space="0" w:color="auto"/>
                    <w:left w:val="none" w:sz="0" w:space="0" w:color="auto"/>
                    <w:bottom w:val="none" w:sz="0" w:space="0" w:color="auto"/>
                    <w:right w:val="none" w:sz="0" w:space="0" w:color="auto"/>
                  </w:divBdr>
                </w:div>
              </w:divsChild>
            </w:div>
            <w:div w:id="898981944">
              <w:marLeft w:val="0"/>
              <w:marRight w:val="0"/>
              <w:marTop w:val="0"/>
              <w:marBottom w:val="0"/>
              <w:divBdr>
                <w:top w:val="none" w:sz="0" w:space="0" w:color="auto"/>
                <w:left w:val="none" w:sz="0" w:space="0" w:color="auto"/>
                <w:bottom w:val="none" w:sz="0" w:space="0" w:color="auto"/>
                <w:right w:val="none" w:sz="0" w:space="0" w:color="auto"/>
              </w:divBdr>
              <w:divsChild>
                <w:div w:id="1751610544">
                  <w:marLeft w:val="0"/>
                  <w:marRight w:val="0"/>
                  <w:marTop w:val="0"/>
                  <w:marBottom w:val="0"/>
                  <w:divBdr>
                    <w:top w:val="none" w:sz="0" w:space="0" w:color="auto"/>
                    <w:left w:val="none" w:sz="0" w:space="0" w:color="auto"/>
                    <w:bottom w:val="none" w:sz="0" w:space="0" w:color="auto"/>
                    <w:right w:val="none" w:sz="0" w:space="0" w:color="auto"/>
                  </w:divBdr>
                </w:div>
              </w:divsChild>
            </w:div>
            <w:div w:id="899024286">
              <w:marLeft w:val="0"/>
              <w:marRight w:val="0"/>
              <w:marTop w:val="0"/>
              <w:marBottom w:val="0"/>
              <w:divBdr>
                <w:top w:val="none" w:sz="0" w:space="0" w:color="auto"/>
                <w:left w:val="none" w:sz="0" w:space="0" w:color="auto"/>
                <w:bottom w:val="none" w:sz="0" w:space="0" w:color="auto"/>
                <w:right w:val="none" w:sz="0" w:space="0" w:color="auto"/>
              </w:divBdr>
              <w:divsChild>
                <w:div w:id="222719772">
                  <w:marLeft w:val="0"/>
                  <w:marRight w:val="0"/>
                  <w:marTop w:val="0"/>
                  <w:marBottom w:val="0"/>
                  <w:divBdr>
                    <w:top w:val="none" w:sz="0" w:space="0" w:color="auto"/>
                    <w:left w:val="none" w:sz="0" w:space="0" w:color="auto"/>
                    <w:bottom w:val="none" w:sz="0" w:space="0" w:color="auto"/>
                    <w:right w:val="none" w:sz="0" w:space="0" w:color="auto"/>
                  </w:divBdr>
                </w:div>
              </w:divsChild>
            </w:div>
            <w:div w:id="901716487">
              <w:marLeft w:val="0"/>
              <w:marRight w:val="0"/>
              <w:marTop w:val="0"/>
              <w:marBottom w:val="0"/>
              <w:divBdr>
                <w:top w:val="none" w:sz="0" w:space="0" w:color="auto"/>
                <w:left w:val="none" w:sz="0" w:space="0" w:color="auto"/>
                <w:bottom w:val="none" w:sz="0" w:space="0" w:color="auto"/>
                <w:right w:val="none" w:sz="0" w:space="0" w:color="auto"/>
              </w:divBdr>
              <w:divsChild>
                <w:div w:id="81756057">
                  <w:marLeft w:val="0"/>
                  <w:marRight w:val="0"/>
                  <w:marTop w:val="0"/>
                  <w:marBottom w:val="0"/>
                  <w:divBdr>
                    <w:top w:val="none" w:sz="0" w:space="0" w:color="auto"/>
                    <w:left w:val="none" w:sz="0" w:space="0" w:color="auto"/>
                    <w:bottom w:val="none" w:sz="0" w:space="0" w:color="auto"/>
                    <w:right w:val="none" w:sz="0" w:space="0" w:color="auto"/>
                  </w:divBdr>
                </w:div>
              </w:divsChild>
            </w:div>
            <w:div w:id="903102984">
              <w:marLeft w:val="0"/>
              <w:marRight w:val="0"/>
              <w:marTop w:val="0"/>
              <w:marBottom w:val="0"/>
              <w:divBdr>
                <w:top w:val="none" w:sz="0" w:space="0" w:color="auto"/>
                <w:left w:val="none" w:sz="0" w:space="0" w:color="auto"/>
                <w:bottom w:val="none" w:sz="0" w:space="0" w:color="auto"/>
                <w:right w:val="none" w:sz="0" w:space="0" w:color="auto"/>
              </w:divBdr>
              <w:divsChild>
                <w:div w:id="1271625354">
                  <w:marLeft w:val="0"/>
                  <w:marRight w:val="0"/>
                  <w:marTop w:val="0"/>
                  <w:marBottom w:val="0"/>
                  <w:divBdr>
                    <w:top w:val="none" w:sz="0" w:space="0" w:color="auto"/>
                    <w:left w:val="none" w:sz="0" w:space="0" w:color="auto"/>
                    <w:bottom w:val="none" w:sz="0" w:space="0" w:color="auto"/>
                    <w:right w:val="none" w:sz="0" w:space="0" w:color="auto"/>
                  </w:divBdr>
                </w:div>
              </w:divsChild>
            </w:div>
            <w:div w:id="903686867">
              <w:marLeft w:val="0"/>
              <w:marRight w:val="0"/>
              <w:marTop w:val="0"/>
              <w:marBottom w:val="0"/>
              <w:divBdr>
                <w:top w:val="none" w:sz="0" w:space="0" w:color="auto"/>
                <w:left w:val="none" w:sz="0" w:space="0" w:color="auto"/>
                <w:bottom w:val="none" w:sz="0" w:space="0" w:color="auto"/>
                <w:right w:val="none" w:sz="0" w:space="0" w:color="auto"/>
              </w:divBdr>
              <w:divsChild>
                <w:div w:id="934704114">
                  <w:marLeft w:val="0"/>
                  <w:marRight w:val="0"/>
                  <w:marTop w:val="0"/>
                  <w:marBottom w:val="0"/>
                  <w:divBdr>
                    <w:top w:val="none" w:sz="0" w:space="0" w:color="auto"/>
                    <w:left w:val="none" w:sz="0" w:space="0" w:color="auto"/>
                    <w:bottom w:val="none" w:sz="0" w:space="0" w:color="auto"/>
                    <w:right w:val="none" w:sz="0" w:space="0" w:color="auto"/>
                  </w:divBdr>
                </w:div>
              </w:divsChild>
            </w:div>
            <w:div w:id="905528614">
              <w:marLeft w:val="0"/>
              <w:marRight w:val="0"/>
              <w:marTop w:val="300"/>
              <w:marBottom w:val="300"/>
              <w:divBdr>
                <w:top w:val="none" w:sz="0" w:space="0" w:color="auto"/>
                <w:left w:val="none" w:sz="0" w:space="0" w:color="auto"/>
                <w:bottom w:val="none" w:sz="0" w:space="0" w:color="auto"/>
                <w:right w:val="none" w:sz="0" w:space="0" w:color="auto"/>
              </w:divBdr>
            </w:div>
            <w:div w:id="905841639">
              <w:marLeft w:val="0"/>
              <w:marRight w:val="0"/>
              <w:marTop w:val="0"/>
              <w:marBottom w:val="0"/>
              <w:divBdr>
                <w:top w:val="none" w:sz="0" w:space="0" w:color="auto"/>
                <w:left w:val="none" w:sz="0" w:space="0" w:color="auto"/>
                <w:bottom w:val="none" w:sz="0" w:space="0" w:color="auto"/>
                <w:right w:val="none" w:sz="0" w:space="0" w:color="auto"/>
              </w:divBdr>
              <w:divsChild>
                <w:div w:id="1828862004">
                  <w:marLeft w:val="0"/>
                  <w:marRight w:val="0"/>
                  <w:marTop w:val="0"/>
                  <w:marBottom w:val="0"/>
                  <w:divBdr>
                    <w:top w:val="none" w:sz="0" w:space="0" w:color="auto"/>
                    <w:left w:val="none" w:sz="0" w:space="0" w:color="auto"/>
                    <w:bottom w:val="none" w:sz="0" w:space="0" w:color="auto"/>
                    <w:right w:val="none" w:sz="0" w:space="0" w:color="auto"/>
                  </w:divBdr>
                </w:div>
              </w:divsChild>
            </w:div>
            <w:div w:id="907153407">
              <w:marLeft w:val="0"/>
              <w:marRight w:val="0"/>
              <w:marTop w:val="0"/>
              <w:marBottom w:val="0"/>
              <w:divBdr>
                <w:top w:val="none" w:sz="0" w:space="0" w:color="auto"/>
                <w:left w:val="none" w:sz="0" w:space="0" w:color="auto"/>
                <w:bottom w:val="none" w:sz="0" w:space="0" w:color="auto"/>
                <w:right w:val="none" w:sz="0" w:space="0" w:color="auto"/>
              </w:divBdr>
              <w:divsChild>
                <w:div w:id="1805611257">
                  <w:marLeft w:val="0"/>
                  <w:marRight w:val="0"/>
                  <w:marTop w:val="0"/>
                  <w:marBottom w:val="0"/>
                  <w:divBdr>
                    <w:top w:val="none" w:sz="0" w:space="0" w:color="auto"/>
                    <w:left w:val="none" w:sz="0" w:space="0" w:color="auto"/>
                    <w:bottom w:val="none" w:sz="0" w:space="0" w:color="auto"/>
                    <w:right w:val="none" w:sz="0" w:space="0" w:color="auto"/>
                  </w:divBdr>
                </w:div>
              </w:divsChild>
            </w:div>
            <w:div w:id="907155279">
              <w:marLeft w:val="0"/>
              <w:marRight w:val="0"/>
              <w:marTop w:val="0"/>
              <w:marBottom w:val="0"/>
              <w:divBdr>
                <w:top w:val="none" w:sz="0" w:space="0" w:color="auto"/>
                <w:left w:val="none" w:sz="0" w:space="0" w:color="auto"/>
                <w:bottom w:val="none" w:sz="0" w:space="0" w:color="auto"/>
                <w:right w:val="none" w:sz="0" w:space="0" w:color="auto"/>
              </w:divBdr>
              <w:divsChild>
                <w:div w:id="819149866">
                  <w:marLeft w:val="0"/>
                  <w:marRight w:val="0"/>
                  <w:marTop w:val="0"/>
                  <w:marBottom w:val="0"/>
                  <w:divBdr>
                    <w:top w:val="none" w:sz="0" w:space="0" w:color="auto"/>
                    <w:left w:val="none" w:sz="0" w:space="0" w:color="auto"/>
                    <w:bottom w:val="none" w:sz="0" w:space="0" w:color="auto"/>
                    <w:right w:val="none" w:sz="0" w:space="0" w:color="auto"/>
                  </w:divBdr>
                </w:div>
              </w:divsChild>
            </w:div>
            <w:div w:id="907957496">
              <w:marLeft w:val="0"/>
              <w:marRight w:val="0"/>
              <w:marTop w:val="0"/>
              <w:marBottom w:val="0"/>
              <w:divBdr>
                <w:top w:val="none" w:sz="0" w:space="0" w:color="auto"/>
                <w:left w:val="none" w:sz="0" w:space="0" w:color="auto"/>
                <w:bottom w:val="none" w:sz="0" w:space="0" w:color="auto"/>
                <w:right w:val="none" w:sz="0" w:space="0" w:color="auto"/>
              </w:divBdr>
              <w:divsChild>
                <w:div w:id="1622110791">
                  <w:marLeft w:val="0"/>
                  <w:marRight w:val="0"/>
                  <w:marTop w:val="0"/>
                  <w:marBottom w:val="0"/>
                  <w:divBdr>
                    <w:top w:val="none" w:sz="0" w:space="0" w:color="auto"/>
                    <w:left w:val="none" w:sz="0" w:space="0" w:color="auto"/>
                    <w:bottom w:val="none" w:sz="0" w:space="0" w:color="auto"/>
                    <w:right w:val="none" w:sz="0" w:space="0" w:color="auto"/>
                  </w:divBdr>
                </w:div>
              </w:divsChild>
            </w:div>
            <w:div w:id="910697479">
              <w:marLeft w:val="0"/>
              <w:marRight w:val="0"/>
              <w:marTop w:val="0"/>
              <w:marBottom w:val="0"/>
              <w:divBdr>
                <w:top w:val="none" w:sz="0" w:space="0" w:color="auto"/>
                <w:left w:val="none" w:sz="0" w:space="0" w:color="auto"/>
                <w:bottom w:val="none" w:sz="0" w:space="0" w:color="auto"/>
                <w:right w:val="none" w:sz="0" w:space="0" w:color="auto"/>
              </w:divBdr>
              <w:divsChild>
                <w:div w:id="188184742">
                  <w:marLeft w:val="0"/>
                  <w:marRight w:val="0"/>
                  <w:marTop w:val="0"/>
                  <w:marBottom w:val="0"/>
                  <w:divBdr>
                    <w:top w:val="none" w:sz="0" w:space="0" w:color="auto"/>
                    <w:left w:val="none" w:sz="0" w:space="0" w:color="auto"/>
                    <w:bottom w:val="none" w:sz="0" w:space="0" w:color="auto"/>
                    <w:right w:val="none" w:sz="0" w:space="0" w:color="auto"/>
                  </w:divBdr>
                </w:div>
              </w:divsChild>
            </w:div>
            <w:div w:id="911549518">
              <w:marLeft w:val="0"/>
              <w:marRight w:val="0"/>
              <w:marTop w:val="300"/>
              <w:marBottom w:val="300"/>
              <w:divBdr>
                <w:top w:val="none" w:sz="0" w:space="0" w:color="auto"/>
                <w:left w:val="none" w:sz="0" w:space="0" w:color="auto"/>
                <w:bottom w:val="none" w:sz="0" w:space="0" w:color="auto"/>
                <w:right w:val="none" w:sz="0" w:space="0" w:color="auto"/>
              </w:divBdr>
            </w:div>
            <w:div w:id="913125743">
              <w:marLeft w:val="0"/>
              <w:marRight w:val="0"/>
              <w:marTop w:val="0"/>
              <w:marBottom w:val="0"/>
              <w:divBdr>
                <w:top w:val="none" w:sz="0" w:space="0" w:color="auto"/>
                <w:left w:val="none" w:sz="0" w:space="0" w:color="auto"/>
                <w:bottom w:val="none" w:sz="0" w:space="0" w:color="auto"/>
                <w:right w:val="none" w:sz="0" w:space="0" w:color="auto"/>
              </w:divBdr>
              <w:divsChild>
                <w:div w:id="1333920409">
                  <w:marLeft w:val="0"/>
                  <w:marRight w:val="0"/>
                  <w:marTop w:val="0"/>
                  <w:marBottom w:val="0"/>
                  <w:divBdr>
                    <w:top w:val="none" w:sz="0" w:space="0" w:color="auto"/>
                    <w:left w:val="none" w:sz="0" w:space="0" w:color="auto"/>
                    <w:bottom w:val="none" w:sz="0" w:space="0" w:color="auto"/>
                    <w:right w:val="none" w:sz="0" w:space="0" w:color="auto"/>
                  </w:divBdr>
                </w:div>
              </w:divsChild>
            </w:div>
            <w:div w:id="913776564">
              <w:marLeft w:val="0"/>
              <w:marRight w:val="0"/>
              <w:marTop w:val="0"/>
              <w:marBottom w:val="0"/>
              <w:divBdr>
                <w:top w:val="none" w:sz="0" w:space="0" w:color="auto"/>
                <w:left w:val="none" w:sz="0" w:space="0" w:color="auto"/>
                <w:bottom w:val="none" w:sz="0" w:space="0" w:color="auto"/>
                <w:right w:val="none" w:sz="0" w:space="0" w:color="auto"/>
              </w:divBdr>
              <w:divsChild>
                <w:div w:id="1443502046">
                  <w:marLeft w:val="0"/>
                  <w:marRight w:val="0"/>
                  <w:marTop w:val="0"/>
                  <w:marBottom w:val="0"/>
                  <w:divBdr>
                    <w:top w:val="none" w:sz="0" w:space="0" w:color="auto"/>
                    <w:left w:val="none" w:sz="0" w:space="0" w:color="auto"/>
                    <w:bottom w:val="none" w:sz="0" w:space="0" w:color="auto"/>
                    <w:right w:val="none" w:sz="0" w:space="0" w:color="auto"/>
                  </w:divBdr>
                </w:div>
              </w:divsChild>
            </w:div>
            <w:div w:id="915675660">
              <w:marLeft w:val="0"/>
              <w:marRight w:val="0"/>
              <w:marTop w:val="0"/>
              <w:marBottom w:val="0"/>
              <w:divBdr>
                <w:top w:val="none" w:sz="0" w:space="0" w:color="auto"/>
                <w:left w:val="none" w:sz="0" w:space="0" w:color="auto"/>
                <w:bottom w:val="none" w:sz="0" w:space="0" w:color="auto"/>
                <w:right w:val="none" w:sz="0" w:space="0" w:color="auto"/>
              </w:divBdr>
              <w:divsChild>
                <w:div w:id="234126266">
                  <w:marLeft w:val="0"/>
                  <w:marRight w:val="0"/>
                  <w:marTop w:val="0"/>
                  <w:marBottom w:val="0"/>
                  <w:divBdr>
                    <w:top w:val="none" w:sz="0" w:space="0" w:color="auto"/>
                    <w:left w:val="none" w:sz="0" w:space="0" w:color="auto"/>
                    <w:bottom w:val="none" w:sz="0" w:space="0" w:color="auto"/>
                    <w:right w:val="none" w:sz="0" w:space="0" w:color="auto"/>
                  </w:divBdr>
                </w:div>
              </w:divsChild>
            </w:div>
            <w:div w:id="915749208">
              <w:marLeft w:val="0"/>
              <w:marRight w:val="0"/>
              <w:marTop w:val="0"/>
              <w:marBottom w:val="0"/>
              <w:divBdr>
                <w:top w:val="none" w:sz="0" w:space="0" w:color="auto"/>
                <w:left w:val="none" w:sz="0" w:space="0" w:color="auto"/>
                <w:bottom w:val="none" w:sz="0" w:space="0" w:color="auto"/>
                <w:right w:val="none" w:sz="0" w:space="0" w:color="auto"/>
              </w:divBdr>
              <w:divsChild>
                <w:div w:id="527184661">
                  <w:marLeft w:val="0"/>
                  <w:marRight w:val="0"/>
                  <w:marTop w:val="0"/>
                  <w:marBottom w:val="0"/>
                  <w:divBdr>
                    <w:top w:val="none" w:sz="0" w:space="0" w:color="auto"/>
                    <w:left w:val="none" w:sz="0" w:space="0" w:color="auto"/>
                    <w:bottom w:val="none" w:sz="0" w:space="0" w:color="auto"/>
                    <w:right w:val="none" w:sz="0" w:space="0" w:color="auto"/>
                  </w:divBdr>
                </w:div>
              </w:divsChild>
            </w:div>
            <w:div w:id="916480483">
              <w:marLeft w:val="0"/>
              <w:marRight w:val="0"/>
              <w:marTop w:val="0"/>
              <w:marBottom w:val="0"/>
              <w:divBdr>
                <w:top w:val="none" w:sz="0" w:space="0" w:color="auto"/>
                <w:left w:val="none" w:sz="0" w:space="0" w:color="auto"/>
                <w:bottom w:val="none" w:sz="0" w:space="0" w:color="auto"/>
                <w:right w:val="none" w:sz="0" w:space="0" w:color="auto"/>
              </w:divBdr>
              <w:divsChild>
                <w:div w:id="1407610342">
                  <w:marLeft w:val="0"/>
                  <w:marRight w:val="0"/>
                  <w:marTop w:val="0"/>
                  <w:marBottom w:val="0"/>
                  <w:divBdr>
                    <w:top w:val="none" w:sz="0" w:space="0" w:color="auto"/>
                    <w:left w:val="none" w:sz="0" w:space="0" w:color="auto"/>
                    <w:bottom w:val="none" w:sz="0" w:space="0" w:color="auto"/>
                    <w:right w:val="none" w:sz="0" w:space="0" w:color="auto"/>
                  </w:divBdr>
                </w:div>
              </w:divsChild>
            </w:div>
            <w:div w:id="917636195">
              <w:marLeft w:val="0"/>
              <w:marRight w:val="0"/>
              <w:marTop w:val="0"/>
              <w:marBottom w:val="0"/>
              <w:divBdr>
                <w:top w:val="none" w:sz="0" w:space="0" w:color="auto"/>
                <w:left w:val="none" w:sz="0" w:space="0" w:color="auto"/>
                <w:bottom w:val="none" w:sz="0" w:space="0" w:color="auto"/>
                <w:right w:val="none" w:sz="0" w:space="0" w:color="auto"/>
              </w:divBdr>
              <w:divsChild>
                <w:div w:id="596986830">
                  <w:marLeft w:val="0"/>
                  <w:marRight w:val="0"/>
                  <w:marTop w:val="0"/>
                  <w:marBottom w:val="0"/>
                  <w:divBdr>
                    <w:top w:val="none" w:sz="0" w:space="0" w:color="auto"/>
                    <w:left w:val="none" w:sz="0" w:space="0" w:color="auto"/>
                    <w:bottom w:val="none" w:sz="0" w:space="0" w:color="auto"/>
                    <w:right w:val="none" w:sz="0" w:space="0" w:color="auto"/>
                  </w:divBdr>
                </w:div>
              </w:divsChild>
            </w:div>
            <w:div w:id="918291650">
              <w:marLeft w:val="0"/>
              <w:marRight w:val="0"/>
              <w:marTop w:val="0"/>
              <w:marBottom w:val="0"/>
              <w:divBdr>
                <w:top w:val="none" w:sz="0" w:space="0" w:color="auto"/>
                <w:left w:val="none" w:sz="0" w:space="0" w:color="auto"/>
                <w:bottom w:val="none" w:sz="0" w:space="0" w:color="auto"/>
                <w:right w:val="none" w:sz="0" w:space="0" w:color="auto"/>
              </w:divBdr>
              <w:divsChild>
                <w:div w:id="1312172203">
                  <w:marLeft w:val="0"/>
                  <w:marRight w:val="0"/>
                  <w:marTop w:val="0"/>
                  <w:marBottom w:val="0"/>
                  <w:divBdr>
                    <w:top w:val="none" w:sz="0" w:space="0" w:color="auto"/>
                    <w:left w:val="none" w:sz="0" w:space="0" w:color="auto"/>
                    <w:bottom w:val="none" w:sz="0" w:space="0" w:color="auto"/>
                    <w:right w:val="none" w:sz="0" w:space="0" w:color="auto"/>
                  </w:divBdr>
                </w:div>
              </w:divsChild>
            </w:div>
            <w:div w:id="919676658">
              <w:marLeft w:val="0"/>
              <w:marRight w:val="0"/>
              <w:marTop w:val="0"/>
              <w:marBottom w:val="0"/>
              <w:divBdr>
                <w:top w:val="none" w:sz="0" w:space="0" w:color="auto"/>
                <w:left w:val="none" w:sz="0" w:space="0" w:color="auto"/>
                <w:bottom w:val="none" w:sz="0" w:space="0" w:color="auto"/>
                <w:right w:val="none" w:sz="0" w:space="0" w:color="auto"/>
              </w:divBdr>
              <w:divsChild>
                <w:div w:id="1501264335">
                  <w:marLeft w:val="0"/>
                  <w:marRight w:val="0"/>
                  <w:marTop w:val="0"/>
                  <w:marBottom w:val="0"/>
                  <w:divBdr>
                    <w:top w:val="none" w:sz="0" w:space="0" w:color="auto"/>
                    <w:left w:val="none" w:sz="0" w:space="0" w:color="auto"/>
                    <w:bottom w:val="none" w:sz="0" w:space="0" w:color="auto"/>
                    <w:right w:val="none" w:sz="0" w:space="0" w:color="auto"/>
                  </w:divBdr>
                </w:div>
              </w:divsChild>
            </w:div>
            <w:div w:id="921792885">
              <w:marLeft w:val="0"/>
              <w:marRight w:val="0"/>
              <w:marTop w:val="0"/>
              <w:marBottom w:val="0"/>
              <w:divBdr>
                <w:top w:val="none" w:sz="0" w:space="0" w:color="auto"/>
                <w:left w:val="none" w:sz="0" w:space="0" w:color="auto"/>
                <w:bottom w:val="none" w:sz="0" w:space="0" w:color="auto"/>
                <w:right w:val="none" w:sz="0" w:space="0" w:color="auto"/>
              </w:divBdr>
              <w:divsChild>
                <w:div w:id="102655188">
                  <w:marLeft w:val="0"/>
                  <w:marRight w:val="0"/>
                  <w:marTop w:val="0"/>
                  <w:marBottom w:val="0"/>
                  <w:divBdr>
                    <w:top w:val="none" w:sz="0" w:space="0" w:color="auto"/>
                    <w:left w:val="none" w:sz="0" w:space="0" w:color="auto"/>
                    <w:bottom w:val="none" w:sz="0" w:space="0" w:color="auto"/>
                    <w:right w:val="none" w:sz="0" w:space="0" w:color="auto"/>
                  </w:divBdr>
                </w:div>
              </w:divsChild>
            </w:div>
            <w:div w:id="922300851">
              <w:marLeft w:val="0"/>
              <w:marRight w:val="0"/>
              <w:marTop w:val="0"/>
              <w:marBottom w:val="0"/>
              <w:divBdr>
                <w:top w:val="none" w:sz="0" w:space="0" w:color="auto"/>
                <w:left w:val="none" w:sz="0" w:space="0" w:color="auto"/>
                <w:bottom w:val="none" w:sz="0" w:space="0" w:color="auto"/>
                <w:right w:val="none" w:sz="0" w:space="0" w:color="auto"/>
              </w:divBdr>
              <w:divsChild>
                <w:div w:id="1150513892">
                  <w:marLeft w:val="0"/>
                  <w:marRight w:val="0"/>
                  <w:marTop w:val="0"/>
                  <w:marBottom w:val="0"/>
                  <w:divBdr>
                    <w:top w:val="none" w:sz="0" w:space="0" w:color="auto"/>
                    <w:left w:val="none" w:sz="0" w:space="0" w:color="auto"/>
                    <w:bottom w:val="none" w:sz="0" w:space="0" w:color="auto"/>
                    <w:right w:val="none" w:sz="0" w:space="0" w:color="auto"/>
                  </w:divBdr>
                </w:div>
              </w:divsChild>
            </w:div>
            <w:div w:id="923221988">
              <w:marLeft w:val="0"/>
              <w:marRight w:val="0"/>
              <w:marTop w:val="0"/>
              <w:marBottom w:val="0"/>
              <w:divBdr>
                <w:top w:val="none" w:sz="0" w:space="0" w:color="auto"/>
                <w:left w:val="none" w:sz="0" w:space="0" w:color="auto"/>
                <w:bottom w:val="none" w:sz="0" w:space="0" w:color="auto"/>
                <w:right w:val="none" w:sz="0" w:space="0" w:color="auto"/>
              </w:divBdr>
              <w:divsChild>
                <w:div w:id="691954399">
                  <w:marLeft w:val="0"/>
                  <w:marRight w:val="0"/>
                  <w:marTop w:val="0"/>
                  <w:marBottom w:val="0"/>
                  <w:divBdr>
                    <w:top w:val="none" w:sz="0" w:space="0" w:color="auto"/>
                    <w:left w:val="none" w:sz="0" w:space="0" w:color="auto"/>
                    <w:bottom w:val="none" w:sz="0" w:space="0" w:color="auto"/>
                    <w:right w:val="none" w:sz="0" w:space="0" w:color="auto"/>
                  </w:divBdr>
                </w:div>
              </w:divsChild>
            </w:div>
            <w:div w:id="923538639">
              <w:marLeft w:val="0"/>
              <w:marRight w:val="0"/>
              <w:marTop w:val="0"/>
              <w:marBottom w:val="0"/>
              <w:divBdr>
                <w:top w:val="none" w:sz="0" w:space="0" w:color="auto"/>
                <w:left w:val="none" w:sz="0" w:space="0" w:color="auto"/>
                <w:bottom w:val="none" w:sz="0" w:space="0" w:color="auto"/>
                <w:right w:val="none" w:sz="0" w:space="0" w:color="auto"/>
              </w:divBdr>
              <w:divsChild>
                <w:div w:id="195778080">
                  <w:marLeft w:val="0"/>
                  <w:marRight w:val="0"/>
                  <w:marTop w:val="0"/>
                  <w:marBottom w:val="0"/>
                  <w:divBdr>
                    <w:top w:val="none" w:sz="0" w:space="0" w:color="auto"/>
                    <w:left w:val="none" w:sz="0" w:space="0" w:color="auto"/>
                    <w:bottom w:val="none" w:sz="0" w:space="0" w:color="auto"/>
                    <w:right w:val="none" w:sz="0" w:space="0" w:color="auto"/>
                  </w:divBdr>
                </w:div>
              </w:divsChild>
            </w:div>
            <w:div w:id="925847815">
              <w:marLeft w:val="0"/>
              <w:marRight w:val="0"/>
              <w:marTop w:val="0"/>
              <w:marBottom w:val="0"/>
              <w:divBdr>
                <w:top w:val="none" w:sz="0" w:space="0" w:color="auto"/>
                <w:left w:val="none" w:sz="0" w:space="0" w:color="auto"/>
                <w:bottom w:val="none" w:sz="0" w:space="0" w:color="auto"/>
                <w:right w:val="none" w:sz="0" w:space="0" w:color="auto"/>
              </w:divBdr>
              <w:divsChild>
                <w:div w:id="2020034289">
                  <w:marLeft w:val="0"/>
                  <w:marRight w:val="0"/>
                  <w:marTop w:val="0"/>
                  <w:marBottom w:val="0"/>
                  <w:divBdr>
                    <w:top w:val="none" w:sz="0" w:space="0" w:color="auto"/>
                    <w:left w:val="none" w:sz="0" w:space="0" w:color="auto"/>
                    <w:bottom w:val="none" w:sz="0" w:space="0" w:color="auto"/>
                    <w:right w:val="none" w:sz="0" w:space="0" w:color="auto"/>
                  </w:divBdr>
                </w:div>
              </w:divsChild>
            </w:div>
            <w:div w:id="927008152">
              <w:marLeft w:val="0"/>
              <w:marRight w:val="0"/>
              <w:marTop w:val="0"/>
              <w:marBottom w:val="0"/>
              <w:divBdr>
                <w:top w:val="none" w:sz="0" w:space="0" w:color="auto"/>
                <w:left w:val="none" w:sz="0" w:space="0" w:color="auto"/>
                <w:bottom w:val="none" w:sz="0" w:space="0" w:color="auto"/>
                <w:right w:val="none" w:sz="0" w:space="0" w:color="auto"/>
              </w:divBdr>
              <w:divsChild>
                <w:div w:id="176772524">
                  <w:marLeft w:val="0"/>
                  <w:marRight w:val="0"/>
                  <w:marTop w:val="0"/>
                  <w:marBottom w:val="0"/>
                  <w:divBdr>
                    <w:top w:val="none" w:sz="0" w:space="0" w:color="auto"/>
                    <w:left w:val="none" w:sz="0" w:space="0" w:color="auto"/>
                    <w:bottom w:val="none" w:sz="0" w:space="0" w:color="auto"/>
                    <w:right w:val="none" w:sz="0" w:space="0" w:color="auto"/>
                  </w:divBdr>
                </w:div>
              </w:divsChild>
            </w:div>
            <w:div w:id="927807357">
              <w:marLeft w:val="0"/>
              <w:marRight w:val="0"/>
              <w:marTop w:val="0"/>
              <w:marBottom w:val="0"/>
              <w:divBdr>
                <w:top w:val="none" w:sz="0" w:space="0" w:color="auto"/>
                <w:left w:val="none" w:sz="0" w:space="0" w:color="auto"/>
                <w:bottom w:val="none" w:sz="0" w:space="0" w:color="auto"/>
                <w:right w:val="none" w:sz="0" w:space="0" w:color="auto"/>
              </w:divBdr>
              <w:divsChild>
                <w:div w:id="404764410">
                  <w:marLeft w:val="0"/>
                  <w:marRight w:val="0"/>
                  <w:marTop w:val="0"/>
                  <w:marBottom w:val="0"/>
                  <w:divBdr>
                    <w:top w:val="none" w:sz="0" w:space="0" w:color="auto"/>
                    <w:left w:val="none" w:sz="0" w:space="0" w:color="auto"/>
                    <w:bottom w:val="none" w:sz="0" w:space="0" w:color="auto"/>
                    <w:right w:val="none" w:sz="0" w:space="0" w:color="auto"/>
                  </w:divBdr>
                </w:div>
              </w:divsChild>
            </w:div>
            <w:div w:id="929965850">
              <w:marLeft w:val="0"/>
              <w:marRight w:val="0"/>
              <w:marTop w:val="0"/>
              <w:marBottom w:val="0"/>
              <w:divBdr>
                <w:top w:val="none" w:sz="0" w:space="0" w:color="auto"/>
                <w:left w:val="none" w:sz="0" w:space="0" w:color="auto"/>
                <w:bottom w:val="none" w:sz="0" w:space="0" w:color="auto"/>
                <w:right w:val="none" w:sz="0" w:space="0" w:color="auto"/>
              </w:divBdr>
              <w:divsChild>
                <w:div w:id="1065302999">
                  <w:marLeft w:val="0"/>
                  <w:marRight w:val="0"/>
                  <w:marTop w:val="0"/>
                  <w:marBottom w:val="0"/>
                  <w:divBdr>
                    <w:top w:val="none" w:sz="0" w:space="0" w:color="auto"/>
                    <w:left w:val="none" w:sz="0" w:space="0" w:color="auto"/>
                    <w:bottom w:val="none" w:sz="0" w:space="0" w:color="auto"/>
                    <w:right w:val="none" w:sz="0" w:space="0" w:color="auto"/>
                  </w:divBdr>
                </w:div>
              </w:divsChild>
            </w:div>
            <w:div w:id="930309497">
              <w:marLeft w:val="0"/>
              <w:marRight w:val="0"/>
              <w:marTop w:val="0"/>
              <w:marBottom w:val="0"/>
              <w:divBdr>
                <w:top w:val="none" w:sz="0" w:space="0" w:color="auto"/>
                <w:left w:val="none" w:sz="0" w:space="0" w:color="auto"/>
                <w:bottom w:val="none" w:sz="0" w:space="0" w:color="auto"/>
                <w:right w:val="none" w:sz="0" w:space="0" w:color="auto"/>
              </w:divBdr>
              <w:divsChild>
                <w:div w:id="1265722186">
                  <w:marLeft w:val="0"/>
                  <w:marRight w:val="0"/>
                  <w:marTop w:val="0"/>
                  <w:marBottom w:val="0"/>
                  <w:divBdr>
                    <w:top w:val="none" w:sz="0" w:space="0" w:color="auto"/>
                    <w:left w:val="none" w:sz="0" w:space="0" w:color="auto"/>
                    <w:bottom w:val="none" w:sz="0" w:space="0" w:color="auto"/>
                    <w:right w:val="none" w:sz="0" w:space="0" w:color="auto"/>
                  </w:divBdr>
                </w:div>
              </w:divsChild>
            </w:div>
            <w:div w:id="932006697">
              <w:marLeft w:val="0"/>
              <w:marRight w:val="0"/>
              <w:marTop w:val="300"/>
              <w:marBottom w:val="300"/>
              <w:divBdr>
                <w:top w:val="none" w:sz="0" w:space="0" w:color="auto"/>
                <w:left w:val="none" w:sz="0" w:space="0" w:color="auto"/>
                <w:bottom w:val="none" w:sz="0" w:space="0" w:color="auto"/>
                <w:right w:val="none" w:sz="0" w:space="0" w:color="auto"/>
              </w:divBdr>
            </w:div>
            <w:div w:id="932324555">
              <w:marLeft w:val="0"/>
              <w:marRight w:val="0"/>
              <w:marTop w:val="0"/>
              <w:marBottom w:val="0"/>
              <w:divBdr>
                <w:top w:val="none" w:sz="0" w:space="0" w:color="auto"/>
                <w:left w:val="none" w:sz="0" w:space="0" w:color="auto"/>
                <w:bottom w:val="none" w:sz="0" w:space="0" w:color="auto"/>
                <w:right w:val="none" w:sz="0" w:space="0" w:color="auto"/>
              </w:divBdr>
              <w:divsChild>
                <w:div w:id="1289167409">
                  <w:marLeft w:val="0"/>
                  <w:marRight w:val="0"/>
                  <w:marTop w:val="0"/>
                  <w:marBottom w:val="0"/>
                  <w:divBdr>
                    <w:top w:val="none" w:sz="0" w:space="0" w:color="auto"/>
                    <w:left w:val="none" w:sz="0" w:space="0" w:color="auto"/>
                    <w:bottom w:val="none" w:sz="0" w:space="0" w:color="auto"/>
                    <w:right w:val="none" w:sz="0" w:space="0" w:color="auto"/>
                  </w:divBdr>
                </w:div>
              </w:divsChild>
            </w:div>
            <w:div w:id="932738717">
              <w:marLeft w:val="0"/>
              <w:marRight w:val="0"/>
              <w:marTop w:val="0"/>
              <w:marBottom w:val="0"/>
              <w:divBdr>
                <w:top w:val="none" w:sz="0" w:space="0" w:color="auto"/>
                <w:left w:val="none" w:sz="0" w:space="0" w:color="auto"/>
                <w:bottom w:val="none" w:sz="0" w:space="0" w:color="auto"/>
                <w:right w:val="none" w:sz="0" w:space="0" w:color="auto"/>
              </w:divBdr>
              <w:divsChild>
                <w:div w:id="1181628258">
                  <w:marLeft w:val="0"/>
                  <w:marRight w:val="0"/>
                  <w:marTop w:val="0"/>
                  <w:marBottom w:val="0"/>
                  <w:divBdr>
                    <w:top w:val="none" w:sz="0" w:space="0" w:color="auto"/>
                    <w:left w:val="none" w:sz="0" w:space="0" w:color="auto"/>
                    <w:bottom w:val="none" w:sz="0" w:space="0" w:color="auto"/>
                    <w:right w:val="none" w:sz="0" w:space="0" w:color="auto"/>
                  </w:divBdr>
                </w:div>
              </w:divsChild>
            </w:div>
            <w:div w:id="936250971">
              <w:marLeft w:val="0"/>
              <w:marRight w:val="0"/>
              <w:marTop w:val="300"/>
              <w:marBottom w:val="300"/>
              <w:divBdr>
                <w:top w:val="none" w:sz="0" w:space="0" w:color="auto"/>
                <w:left w:val="none" w:sz="0" w:space="0" w:color="auto"/>
                <w:bottom w:val="none" w:sz="0" w:space="0" w:color="auto"/>
                <w:right w:val="none" w:sz="0" w:space="0" w:color="auto"/>
              </w:divBdr>
            </w:div>
            <w:div w:id="936447820">
              <w:marLeft w:val="0"/>
              <w:marRight w:val="0"/>
              <w:marTop w:val="0"/>
              <w:marBottom w:val="0"/>
              <w:divBdr>
                <w:top w:val="none" w:sz="0" w:space="0" w:color="auto"/>
                <w:left w:val="none" w:sz="0" w:space="0" w:color="auto"/>
                <w:bottom w:val="none" w:sz="0" w:space="0" w:color="auto"/>
                <w:right w:val="none" w:sz="0" w:space="0" w:color="auto"/>
              </w:divBdr>
              <w:divsChild>
                <w:div w:id="1730420646">
                  <w:marLeft w:val="0"/>
                  <w:marRight w:val="0"/>
                  <w:marTop w:val="0"/>
                  <w:marBottom w:val="0"/>
                  <w:divBdr>
                    <w:top w:val="none" w:sz="0" w:space="0" w:color="auto"/>
                    <w:left w:val="none" w:sz="0" w:space="0" w:color="auto"/>
                    <w:bottom w:val="none" w:sz="0" w:space="0" w:color="auto"/>
                    <w:right w:val="none" w:sz="0" w:space="0" w:color="auto"/>
                  </w:divBdr>
                </w:div>
              </w:divsChild>
            </w:div>
            <w:div w:id="939331781">
              <w:marLeft w:val="0"/>
              <w:marRight w:val="0"/>
              <w:marTop w:val="0"/>
              <w:marBottom w:val="0"/>
              <w:divBdr>
                <w:top w:val="none" w:sz="0" w:space="0" w:color="auto"/>
                <w:left w:val="none" w:sz="0" w:space="0" w:color="auto"/>
                <w:bottom w:val="none" w:sz="0" w:space="0" w:color="auto"/>
                <w:right w:val="none" w:sz="0" w:space="0" w:color="auto"/>
              </w:divBdr>
              <w:divsChild>
                <w:div w:id="1330714577">
                  <w:marLeft w:val="0"/>
                  <w:marRight w:val="0"/>
                  <w:marTop w:val="0"/>
                  <w:marBottom w:val="0"/>
                  <w:divBdr>
                    <w:top w:val="none" w:sz="0" w:space="0" w:color="auto"/>
                    <w:left w:val="none" w:sz="0" w:space="0" w:color="auto"/>
                    <w:bottom w:val="none" w:sz="0" w:space="0" w:color="auto"/>
                    <w:right w:val="none" w:sz="0" w:space="0" w:color="auto"/>
                  </w:divBdr>
                </w:div>
              </w:divsChild>
            </w:div>
            <w:div w:id="941113015">
              <w:marLeft w:val="0"/>
              <w:marRight w:val="0"/>
              <w:marTop w:val="0"/>
              <w:marBottom w:val="0"/>
              <w:divBdr>
                <w:top w:val="none" w:sz="0" w:space="0" w:color="auto"/>
                <w:left w:val="none" w:sz="0" w:space="0" w:color="auto"/>
                <w:bottom w:val="none" w:sz="0" w:space="0" w:color="auto"/>
                <w:right w:val="none" w:sz="0" w:space="0" w:color="auto"/>
              </w:divBdr>
              <w:divsChild>
                <w:div w:id="225993810">
                  <w:marLeft w:val="0"/>
                  <w:marRight w:val="0"/>
                  <w:marTop w:val="0"/>
                  <w:marBottom w:val="0"/>
                  <w:divBdr>
                    <w:top w:val="none" w:sz="0" w:space="0" w:color="auto"/>
                    <w:left w:val="none" w:sz="0" w:space="0" w:color="auto"/>
                    <w:bottom w:val="none" w:sz="0" w:space="0" w:color="auto"/>
                    <w:right w:val="none" w:sz="0" w:space="0" w:color="auto"/>
                  </w:divBdr>
                </w:div>
              </w:divsChild>
            </w:div>
            <w:div w:id="941915273">
              <w:marLeft w:val="0"/>
              <w:marRight w:val="0"/>
              <w:marTop w:val="0"/>
              <w:marBottom w:val="0"/>
              <w:divBdr>
                <w:top w:val="none" w:sz="0" w:space="0" w:color="auto"/>
                <w:left w:val="none" w:sz="0" w:space="0" w:color="auto"/>
                <w:bottom w:val="none" w:sz="0" w:space="0" w:color="auto"/>
                <w:right w:val="none" w:sz="0" w:space="0" w:color="auto"/>
              </w:divBdr>
              <w:divsChild>
                <w:div w:id="462311061">
                  <w:marLeft w:val="0"/>
                  <w:marRight w:val="0"/>
                  <w:marTop w:val="0"/>
                  <w:marBottom w:val="0"/>
                  <w:divBdr>
                    <w:top w:val="none" w:sz="0" w:space="0" w:color="auto"/>
                    <w:left w:val="none" w:sz="0" w:space="0" w:color="auto"/>
                    <w:bottom w:val="none" w:sz="0" w:space="0" w:color="auto"/>
                    <w:right w:val="none" w:sz="0" w:space="0" w:color="auto"/>
                  </w:divBdr>
                </w:div>
              </w:divsChild>
            </w:div>
            <w:div w:id="942227802">
              <w:marLeft w:val="0"/>
              <w:marRight w:val="0"/>
              <w:marTop w:val="0"/>
              <w:marBottom w:val="0"/>
              <w:divBdr>
                <w:top w:val="none" w:sz="0" w:space="0" w:color="auto"/>
                <w:left w:val="none" w:sz="0" w:space="0" w:color="auto"/>
                <w:bottom w:val="none" w:sz="0" w:space="0" w:color="auto"/>
                <w:right w:val="none" w:sz="0" w:space="0" w:color="auto"/>
              </w:divBdr>
              <w:divsChild>
                <w:div w:id="787434439">
                  <w:marLeft w:val="0"/>
                  <w:marRight w:val="0"/>
                  <w:marTop w:val="0"/>
                  <w:marBottom w:val="0"/>
                  <w:divBdr>
                    <w:top w:val="none" w:sz="0" w:space="0" w:color="auto"/>
                    <w:left w:val="none" w:sz="0" w:space="0" w:color="auto"/>
                    <w:bottom w:val="none" w:sz="0" w:space="0" w:color="auto"/>
                    <w:right w:val="none" w:sz="0" w:space="0" w:color="auto"/>
                  </w:divBdr>
                </w:div>
              </w:divsChild>
            </w:div>
            <w:div w:id="943465637">
              <w:marLeft w:val="0"/>
              <w:marRight w:val="0"/>
              <w:marTop w:val="0"/>
              <w:marBottom w:val="0"/>
              <w:divBdr>
                <w:top w:val="none" w:sz="0" w:space="0" w:color="auto"/>
                <w:left w:val="none" w:sz="0" w:space="0" w:color="auto"/>
                <w:bottom w:val="none" w:sz="0" w:space="0" w:color="auto"/>
                <w:right w:val="none" w:sz="0" w:space="0" w:color="auto"/>
              </w:divBdr>
              <w:divsChild>
                <w:div w:id="1497726506">
                  <w:marLeft w:val="0"/>
                  <w:marRight w:val="0"/>
                  <w:marTop w:val="0"/>
                  <w:marBottom w:val="0"/>
                  <w:divBdr>
                    <w:top w:val="none" w:sz="0" w:space="0" w:color="auto"/>
                    <w:left w:val="none" w:sz="0" w:space="0" w:color="auto"/>
                    <w:bottom w:val="none" w:sz="0" w:space="0" w:color="auto"/>
                    <w:right w:val="none" w:sz="0" w:space="0" w:color="auto"/>
                  </w:divBdr>
                </w:div>
              </w:divsChild>
            </w:div>
            <w:div w:id="943878852">
              <w:marLeft w:val="0"/>
              <w:marRight w:val="0"/>
              <w:marTop w:val="300"/>
              <w:marBottom w:val="300"/>
              <w:divBdr>
                <w:top w:val="none" w:sz="0" w:space="0" w:color="auto"/>
                <w:left w:val="none" w:sz="0" w:space="0" w:color="auto"/>
                <w:bottom w:val="none" w:sz="0" w:space="0" w:color="auto"/>
                <w:right w:val="none" w:sz="0" w:space="0" w:color="auto"/>
              </w:divBdr>
            </w:div>
            <w:div w:id="945382257">
              <w:marLeft w:val="0"/>
              <w:marRight w:val="0"/>
              <w:marTop w:val="0"/>
              <w:marBottom w:val="0"/>
              <w:divBdr>
                <w:top w:val="none" w:sz="0" w:space="0" w:color="auto"/>
                <w:left w:val="none" w:sz="0" w:space="0" w:color="auto"/>
                <w:bottom w:val="none" w:sz="0" w:space="0" w:color="auto"/>
                <w:right w:val="none" w:sz="0" w:space="0" w:color="auto"/>
              </w:divBdr>
              <w:divsChild>
                <w:div w:id="2130464268">
                  <w:marLeft w:val="0"/>
                  <w:marRight w:val="0"/>
                  <w:marTop w:val="0"/>
                  <w:marBottom w:val="0"/>
                  <w:divBdr>
                    <w:top w:val="none" w:sz="0" w:space="0" w:color="auto"/>
                    <w:left w:val="none" w:sz="0" w:space="0" w:color="auto"/>
                    <w:bottom w:val="none" w:sz="0" w:space="0" w:color="auto"/>
                    <w:right w:val="none" w:sz="0" w:space="0" w:color="auto"/>
                  </w:divBdr>
                </w:div>
              </w:divsChild>
            </w:div>
            <w:div w:id="947733409">
              <w:marLeft w:val="0"/>
              <w:marRight w:val="0"/>
              <w:marTop w:val="0"/>
              <w:marBottom w:val="0"/>
              <w:divBdr>
                <w:top w:val="none" w:sz="0" w:space="0" w:color="auto"/>
                <w:left w:val="none" w:sz="0" w:space="0" w:color="auto"/>
                <w:bottom w:val="none" w:sz="0" w:space="0" w:color="auto"/>
                <w:right w:val="none" w:sz="0" w:space="0" w:color="auto"/>
              </w:divBdr>
              <w:divsChild>
                <w:div w:id="35550137">
                  <w:marLeft w:val="0"/>
                  <w:marRight w:val="0"/>
                  <w:marTop w:val="0"/>
                  <w:marBottom w:val="0"/>
                  <w:divBdr>
                    <w:top w:val="none" w:sz="0" w:space="0" w:color="auto"/>
                    <w:left w:val="none" w:sz="0" w:space="0" w:color="auto"/>
                    <w:bottom w:val="none" w:sz="0" w:space="0" w:color="auto"/>
                    <w:right w:val="none" w:sz="0" w:space="0" w:color="auto"/>
                  </w:divBdr>
                </w:div>
              </w:divsChild>
            </w:div>
            <w:div w:id="948272676">
              <w:marLeft w:val="0"/>
              <w:marRight w:val="0"/>
              <w:marTop w:val="0"/>
              <w:marBottom w:val="0"/>
              <w:divBdr>
                <w:top w:val="none" w:sz="0" w:space="0" w:color="auto"/>
                <w:left w:val="none" w:sz="0" w:space="0" w:color="auto"/>
                <w:bottom w:val="none" w:sz="0" w:space="0" w:color="auto"/>
                <w:right w:val="none" w:sz="0" w:space="0" w:color="auto"/>
              </w:divBdr>
              <w:divsChild>
                <w:div w:id="901718313">
                  <w:marLeft w:val="0"/>
                  <w:marRight w:val="0"/>
                  <w:marTop w:val="0"/>
                  <w:marBottom w:val="0"/>
                  <w:divBdr>
                    <w:top w:val="none" w:sz="0" w:space="0" w:color="auto"/>
                    <w:left w:val="none" w:sz="0" w:space="0" w:color="auto"/>
                    <w:bottom w:val="none" w:sz="0" w:space="0" w:color="auto"/>
                    <w:right w:val="none" w:sz="0" w:space="0" w:color="auto"/>
                  </w:divBdr>
                </w:div>
              </w:divsChild>
            </w:div>
            <w:div w:id="949093517">
              <w:marLeft w:val="0"/>
              <w:marRight w:val="0"/>
              <w:marTop w:val="300"/>
              <w:marBottom w:val="300"/>
              <w:divBdr>
                <w:top w:val="none" w:sz="0" w:space="0" w:color="auto"/>
                <w:left w:val="none" w:sz="0" w:space="0" w:color="auto"/>
                <w:bottom w:val="none" w:sz="0" w:space="0" w:color="auto"/>
                <w:right w:val="none" w:sz="0" w:space="0" w:color="auto"/>
              </w:divBdr>
            </w:div>
            <w:div w:id="949238052">
              <w:marLeft w:val="0"/>
              <w:marRight w:val="0"/>
              <w:marTop w:val="300"/>
              <w:marBottom w:val="300"/>
              <w:divBdr>
                <w:top w:val="none" w:sz="0" w:space="0" w:color="auto"/>
                <w:left w:val="none" w:sz="0" w:space="0" w:color="auto"/>
                <w:bottom w:val="none" w:sz="0" w:space="0" w:color="auto"/>
                <w:right w:val="none" w:sz="0" w:space="0" w:color="auto"/>
              </w:divBdr>
            </w:div>
            <w:div w:id="949244524">
              <w:marLeft w:val="0"/>
              <w:marRight w:val="0"/>
              <w:marTop w:val="0"/>
              <w:marBottom w:val="0"/>
              <w:divBdr>
                <w:top w:val="none" w:sz="0" w:space="0" w:color="auto"/>
                <w:left w:val="none" w:sz="0" w:space="0" w:color="auto"/>
                <w:bottom w:val="none" w:sz="0" w:space="0" w:color="auto"/>
                <w:right w:val="none" w:sz="0" w:space="0" w:color="auto"/>
              </w:divBdr>
              <w:divsChild>
                <w:div w:id="349767061">
                  <w:marLeft w:val="0"/>
                  <w:marRight w:val="0"/>
                  <w:marTop w:val="0"/>
                  <w:marBottom w:val="0"/>
                  <w:divBdr>
                    <w:top w:val="none" w:sz="0" w:space="0" w:color="auto"/>
                    <w:left w:val="none" w:sz="0" w:space="0" w:color="auto"/>
                    <w:bottom w:val="none" w:sz="0" w:space="0" w:color="auto"/>
                    <w:right w:val="none" w:sz="0" w:space="0" w:color="auto"/>
                  </w:divBdr>
                </w:div>
              </w:divsChild>
            </w:div>
            <w:div w:id="950742764">
              <w:marLeft w:val="0"/>
              <w:marRight w:val="0"/>
              <w:marTop w:val="0"/>
              <w:marBottom w:val="0"/>
              <w:divBdr>
                <w:top w:val="none" w:sz="0" w:space="0" w:color="auto"/>
                <w:left w:val="none" w:sz="0" w:space="0" w:color="auto"/>
                <w:bottom w:val="none" w:sz="0" w:space="0" w:color="auto"/>
                <w:right w:val="none" w:sz="0" w:space="0" w:color="auto"/>
              </w:divBdr>
              <w:divsChild>
                <w:div w:id="1378747073">
                  <w:marLeft w:val="0"/>
                  <w:marRight w:val="0"/>
                  <w:marTop w:val="0"/>
                  <w:marBottom w:val="0"/>
                  <w:divBdr>
                    <w:top w:val="none" w:sz="0" w:space="0" w:color="auto"/>
                    <w:left w:val="none" w:sz="0" w:space="0" w:color="auto"/>
                    <w:bottom w:val="none" w:sz="0" w:space="0" w:color="auto"/>
                    <w:right w:val="none" w:sz="0" w:space="0" w:color="auto"/>
                  </w:divBdr>
                </w:div>
              </w:divsChild>
            </w:div>
            <w:div w:id="951789229">
              <w:marLeft w:val="0"/>
              <w:marRight w:val="0"/>
              <w:marTop w:val="300"/>
              <w:marBottom w:val="300"/>
              <w:divBdr>
                <w:top w:val="none" w:sz="0" w:space="0" w:color="auto"/>
                <w:left w:val="none" w:sz="0" w:space="0" w:color="auto"/>
                <w:bottom w:val="none" w:sz="0" w:space="0" w:color="auto"/>
                <w:right w:val="none" w:sz="0" w:space="0" w:color="auto"/>
              </w:divBdr>
            </w:div>
            <w:div w:id="954018958">
              <w:marLeft w:val="0"/>
              <w:marRight w:val="0"/>
              <w:marTop w:val="0"/>
              <w:marBottom w:val="0"/>
              <w:divBdr>
                <w:top w:val="none" w:sz="0" w:space="0" w:color="auto"/>
                <w:left w:val="none" w:sz="0" w:space="0" w:color="auto"/>
                <w:bottom w:val="none" w:sz="0" w:space="0" w:color="auto"/>
                <w:right w:val="none" w:sz="0" w:space="0" w:color="auto"/>
              </w:divBdr>
              <w:divsChild>
                <w:div w:id="593825050">
                  <w:marLeft w:val="0"/>
                  <w:marRight w:val="0"/>
                  <w:marTop w:val="0"/>
                  <w:marBottom w:val="0"/>
                  <w:divBdr>
                    <w:top w:val="none" w:sz="0" w:space="0" w:color="auto"/>
                    <w:left w:val="none" w:sz="0" w:space="0" w:color="auto"/>
                    <w:bottom w:val="none" w:sz="0" w:space="0" w:color="auto"/>
                    <w:right w:val="none" w:sz="0" w:space="0" w:color="auto"/>
                  </w:divBdr>
                </w:div>
              </w:divsChild>
            </w:div>
            <w:div w:id="955794342">
              <w:marLeft w:val="0"/>
              <w:marRight w:val="0"/>
              <w:marTop w:val="0"/>
              <w:marBottom w:val="0"/>
              <w:divBdr>
                <w:top w:val="none" w:sz="0" w:space="0" w:color="auto"/>
                <w:left w:val="none" w:sz="0" w:space="0" w:color="auto"/>
                <w:bottom w:val="none" w:sz="0" w:space="0" w:color="auto"/>
                <w:right w:val="none" w:sz="0" w:space="0" w:color="auto"/>
              </w:divBdr>
              <w:divsChild>
                <w:div w:id="261954600">
                  <w:marLeft w:val="0"/>
                  <w:marRight w:val="0"/>
                  <w:marTop w:val="0"/>
                  <w:marBottom w:val="0"/>
                  <w:divBdr>
                    <w:top w:val="none" w:sz="0" w:space="0" w:color="auto"/>
                    <w:left w:val="none" w:sz="0" w:space="0" w:color="auto"/>
                    <w:bottom w:val="none" w:sz="0" w:space="0" w:color="auto"/>
                    <w:right w:val="none" w:sz="0" w:space="0" w:color="auto"/>
                  </w:divBdr>
                </w:div>
              </w:divsChild>
            </w:div>
            <w:div w:id="956301931">
              <w:marLeft w:val="0"/>
              <w:marRight w:val="0"/>
              <w:marTop w:val="0"/>
              <w:marBottom w:val="0"/>
              <w:divBdr>
                <w:top w:val="none" w:sz="0" w:space="0" w:color="auto"/>
                <w:left w:val="none" w:sz="0" w:space="0" w:color="auto"/>
                <w:bottom w:val="none" w:sz="0" w:space="0" w:color="auto"/>
                <w:right w:val="none" w:sz="0" w:space="0" w:color="auto"/>
              </w:divBdr>
              <w:divsChild>
                <w:div w:id="1917741422">
                  <w:marLeft w:val="0"/>
                  <w:marRight w:val="0"/>
                  <w:marTop w:val="0"/>
                  <w:marBottom w:val="0"/>
                  <w:divBdr>
                    <w:top w:val="none" w:sz="0" w:space="0" w:color="auto"/>
                    <w:left w:val="none" w:sz="0" w:space="0" w:color="auto"/>
                    <w:bottom w:val="none" w:sz="0" w:space="0" w:color="auto"/>
                    <w:right w:val="none" w:sz="0" w:space="0" w:color="auto"/>
                  </w:divBdr>
                </w:div>
              </w:divsChild>
            </w:div>
            <w:div w:id="956717296">
              <w:marLeft w:val="0"/>
              <w:marRight w:val="0"/>
              <w:marTop w:val="0"/>
              <w:marBottom w:val="0"/>
              <w:divBdr>
                <w:top w:val="none" w:sz="0" w:space="0" w:color="auto"/>
                <w:left w:val="none" w:sz="0" w:space="0" w:color="auto"/>
                <w:bottom w:val="none" w:sz="0" w:space="0" w:color="auto"/>
                <w:right w:val="none" w:sz="0" w:space="0" w:color="auto"/>
              </w:divBdr>
              <w:divsChild>
                <w:div w:id="2067219018">
                  <w:marLeft w:val="0"/>
                  <w:marRight w:val="0"/>
                  <w:marTop w:val="0"/>
                  <w:marBottom w:val="0"/>
                  <w:divBdr>
                    <w:top w:val="none" w:sz="0" w:space="0" w:color="auto"/>
                    <w:left w:val="none" w:sz="0" w:space="0" w:color="auto"/>
                    <w:bottom w:val="none" w:sz="0" w:space="0" w:color="auto"/>
                    <w:right w:val="none" w:sz="0" w:space="0" w:color="auto"/>
                  </w:divBdr>
                </w:div>
              </w:divsChild>
            </w:div>
            <w:div w:id="960260080">
              <w:marLeft w:val="0"/>
              <w:marRight w:val="0"/>
              <w:marTop w:val="0"/>
              <w:marBottom w:val="0"/>
              <w:divBdr>
                <w:top w:val="none" w:sz="0" w:space="0" w:color="auto"/>
                <w:left w:val="none" w:sz="0" w:space="0" w:color="auto"/>
                <w:bottom w:val="none" w:sz="0" w:space="0" w:color="auto"/>
                <w:right w:val="none" w:sz="0" w:space="0" w:color="auto"/>
              </w:divBdr>
              <w:divsChild>
                <w:div w:id="2076782019">
                  <w:marLeft w:val="0"/>
                  <w:marRight w:val="0"/>
                  <w:marTop w:val="0"/>
                  <w:marBottom w:val="0"/>
                  <w:divBdr>
                    <w:top w:val="none" w:sz="0" w:space="0" w:color="auto"/>
                    <w:left w:val="none" w:sz="0" w:space="0" w:color="auto"/>
                    <w:bottom w:val="none" w:sz="0" w:space="0" w:color="auto"/>
                    <w:right w:val="none" w:sz="0" w:space="0" w:color="auto"/>
                  </w:divBdr>
                </w:div>
              </w:divsChild>
            </w:div>
            <w:div w:id="960264879">
              <w:marLeft w:val="0"/>
              <w:marRight w:val="0"/>
              <w:marTop w:val="0"/>
              <w:marBottom w:val="0"/>
              <w:divBdr>
                <w:top w:val="none" w:sz="0" w:space="0" w:color="auto"/>
                <w:left w:val="none" w:sz="0" w:space="0" w:color="auto"/>
                <w:bottom w:val="none" w:sz="0" w:space="0" w:color="auto"/>
                <w:right w:val="none" w:sz="0" w:space="0" w:color="auto"/>
              </w:divBdr>
              <w:divsChild>
                <w:div w:id="250899348">
                  <w:marLeft w:val="0"/>
                  <w:marRight w:val="0"/>
                  <w:marTop w:val="0"/>
                  <w:marBottom w:val="0"/>
                  <w:divBdr>
                    <w:top w:val="none" w:sz="0" w:space="0" w:color="auto"/>
                    <w:left w:val="none" w:sz="0" w:space="0" w:color="auto"/>
                    <w:bottom w:val="none" w:sz="0" w:space="0" w:color="auto"/>
                    <w:right w:val="none" w:sz="0" w:space="0" w:color="auto"/>
                  </w:divBdr>
                </w:div>
              </w:divsChild>
            </w:div>
            <w:div w:id="961956883">
              <w:marLeft w:val="0"/>
              <w:marRight w:val="0"/>
              <w:marTop w:val="0"/>
              <w:marBottom w:val="0"/>
              <w:divBdr>
                <w:top w:val="none" w:sz="0" w:space="0" w:color="auto"/>
                <w:left w:val="none" w:sz="0" w:space="0" w:color="auto"/>
                <w:bottom w:val="none" w:sz="0" w:space="0" w:color="auto"/>
                <w:right w:val="none" w:sz="0" w:space="0" w:color="auto"/>
              </w:divBdr>
              <w:divsChild>
                <w:div w:id="596595406">
                  <w:marLeft w:val="0"/>
                  <w:marRight w:val="0"/>
                  <w:marTop w:val="0"/>
                  <w:marBottom w:val="0"/>
                  <w:divBdr>
                    <w:top w:val="none" w:sz="0" w:space="0" w:color="auto"/>
                    <w:left w:val="none" w:sz="0" w:space="0" w:color="auto"/>
                    <w:bottom w:val="none" w:sz="0" w:space="0" w:color="auto"/>
                    <w:right w:val="none" w:sz="0" w:space="0" w:color="auto"/>
                  </w:divBdr>
                </w:div>
              </w:divsChild>
            </w:div>
            <w:div w:id="962227367">
              <w:marLeft w:val="0"/>
              <w:marRight w:val="0"/>
              <w:marTop w:val="0"/>
              <w:marBottom w:val="0"/>
              <w:divBdr>
                <w:top w:val="none" w:sz="0" w:space="0" w:color="auto"/>
                <w:left w:val="none" w:sz="0" w:space="0" w:color="auto"/>
                <w:bottom w:val="none" w:sz="0" w:space="0" w:color="auto"/>
                <w:right w:val="none" w:sz="0" w:space="0" w:color="auto"/>
              </w:divBdr>
              <w:divsChild>
                <w:div w:id="789209253">
                  <w:marLeft w:val="0"/>
                  <w:marRight w:val="0"/>
                  <w:marTop w:val="0"/>
                  <w:marBottom w:val="0"/>
                  <w:divBdr>
                    <w:top w:val="none" w:sz="0" w:space="0" w:color="auto"/>
                    <w:left w:val="none" w:sz="0" w:space="0" w:color="auto"/>
                    <w:bottom w:val="none" w:sz="0" w:space="0" w:color="auto"/>
                    <w:right w:val="none" w:sz="0" w:space="0" w:color="auto"/>
                  </w:divBdr>
                </w:div>
              </w:divsChild>
            </w:div>
            <w:div w:id="963658420">
              <w:marLeft w:val="0"/>
              <w:marRight w:val="0"/>
              <w:marTop w:val="0"/>
              <w:marBottom w:val="0"/>
              <w:divBdr>
                <w:top w:val="none" w:sz="0" w:space="0" w:color="auto"/>
                <w:left w:val="none" w:sz="0" w:space="0" w:color="auto"/>
                <w:bottom w:val="none" w:sz="0" w:space="0" w:color="auto"/>
                <w:right w:val="none" w:sz="0" w:space="0" w:color="auto"/>
              </w:divBdr>
              <w:divsChild>
                <w:div w:id="1736471808">
                  <w:marLeft w:val="0"/>
                  <w:marRight w:val="0"/>
                  <w:marTop w:val="0"/>
                  <w:marBottom w:val="0"/>
                  <w:divBdr>
                    <w:top w:val="none" w:sz="0" w:space="0" w:color="auto"/>
                    <w:left w:val="none" w:sz="0" w:space="0" w:color="auto"/>
                    <w:bottom w:val="none" w:sz="0" w:space="0" w:color="auto"/>
                    <w:right w:val="none" w:sz="0" w:space="0" w:color="auto"/>
                  </w:divBdr>
                </w:div>
              </w:divsChild>
            </w:div>
            <w:div w:id="964459668">
              <w:marLeft w:val="0"/>
              <w:marRight w:val="0"/>
              <w:marTop w:val="300"/>
              <w:marBottom w:val="300"/>
              <w:divBdr>
                <w:top w:val="none" w:sz="0" w:space="0" w:color="auto"/>
                <w:left w:val="none" w:sz="0" w:space="0" w:color="auto"/>
                <w:bottom w:val="none" w:sz="0" w:space="0" w:color="auto"/>
                <w:right w:val="none" w:sz="0" w:space="0" w:color="auto"/>
              </w:divBdr>
            </w:div>
            <w:div w:id="965354123">
              <w:marLeft w:val="0"/>
              <w:marRight w:val="0"/>
              <w:marTop w:val="0"/>
              <w:marBottom w:val="0"/>
              <w:divBdr>
                <w:top w:val="none" w:sz="0" w:space="0" w:color="auto"/>
                <w:left w:val="none" w:sz="0" w:space="0" w:color="auto"/>
                <w:bottom w:val="none" w:sz="0" w:space="0" w:color="auto"/>
                <w:right w:val="none" w:sz="0" w:space="0" w:color="auto"/>
              </w:divBdr>
              <w:divsChild>
                <w:div w:id="315040528">
                  <w:marLeft w:val="0"/>
                  <w:marRight w:val="0"/>
                  <w:marTop w:val="0"/>
                  <w:marBottom w:val="0"/>
                  <w:divBdr>
                    <w:top w:val="none" w:sz="0" w:space="0" w:color="auto"/>
                    <w:left w:val="none" w:sz="0" w:space="0" w:color="auto"/>
                    <w:bottom w:val="none" w:sz="0" w:space="0" w:color="auto"/>
                    <w:right w:val="none" w:sz="0" w:space="0" w:color="auto"/>
                  </w:divBdr>
                </w:div>
              </w:divsChild>
            </w:div>
            <w:div w:id="965626718">
              <w:marLeft w:val="0"/>
              <w:marRight w:val="0"/>
              <w:marTop w:val="300"/>
              <w:marBottom w:val="300"/>
              <w:divBdr>
                <w:top w:val="none" w:sz="0" w:space="0" w:color="auto"/>
                <w:left w:val="none" w:sz="0" w:space="0" w:color="auto"/>
                <w:bottom w:val="none" w:sz="0" w:space="0" w:color="auto"/>
                <w:right w:val="none" w:sz="0" w:space="0" w:color="auto"/>
              </w:divBdr>
            </w:div>
            <w:div w:id="966544854">
              <w:marLeft w:val="0"/>
              <w:marRight w:val="0"/>
              <w:marTop w:val="0"/>
              <w:marBottom w:val="0"/>
              <w:divBdr>
                <w:top w:val="none" w:sz="0" w:space="0" w:color="auto"/>
                <w:left w:val="none" w:sz="0" w:space="0" w:color="auto"/>
                <w:bottom w:val="none" w:sz="0" w:space="0" w:color="auto"/>
                <w:right w:val="none" w:sz="0" w:space="0" w:color="auto"/>
              </w:divBdr>
              <w:divsChild>
                <w:div w:id="1245796880">
                  <w:marLeft w:val="0"/>
                  <w:marRight w:val="0"/>
                  <w:marTop w:val="0"/>
                  <w:marBottom w:val="0"/>
                  <w:divBdr>
                    <w:top w:val="none" w:sz="0" w:space="0" w:color="auto"/>
                    <w:left w:val="none" w:sz="0" w:space="0" w:color="auto"/>
                    <w:bottom w:val="none" w:sz="0" w:space="0" w:color="auto"/>
                    <w:right w:val="none" w:sz="0" w:space="0" w:color="auto"/>
                  </w:divBdr>
                </w:div>
              </w:divsChild>
            </w:div>
            <w:div w:id="966735472">
              <w:marLeft w:val="0"/>
              <w:marRight w:val="0"/>
              <w:marTop w:val="0"/>
              <w:marBottom w:val="0"/>
              <w:divBdr>
                <w:top w:val="none" w:sz="0" w:space="0" w:color="auto"/>
                <w:left w:val="none" w:sz="0" w:space="0" w:color="auto"/>
                <w:bottom w:val="none" w:sz="0" w:space="0" w:color="auto"/>
                <w:right w:val="none" w:sz="0" w:space="0" w:color="auto"/>
              </w:divBdr>
              <w:divsChild>
                <w:div w:id="2081171991">
                  <w:marLeft w:val="0"/>
                  <w:marRight w:val="0"/>
                  <w:marTop w:val="0"/>
                  <w:marBottom w:val="0"/>
                  <w:divBdr>
                    <w:top w:val="none" w:sz="0" w:space="0" w:color="auto"/>
                    <w:left w:val="none" w:sz="0" w:space="0" w:color="auto"/>
                    <w:bottom w:val="none" w:sz="0" w:space="0" w:color="auto"/>
                    <w:right w:val="none" w:sz="0" w:space="0" w:color="auto"/>
                  </w:divBdr>
                </w:div>
              </w:divsChild>
            </w:div>
            <w:div w:id="968709157">
              <w:marLeft w:val="0"/>
              <w:marRight w:val="0"/>
              <w:marTop w:val="0"/>
              <w:marBottom w:val="0"/>
              <w:divBdr>
                <w:top w:val="none" w:sz="0" w:space="0" w:color="auto"/>
                <w:left w:val="none" w:sz="0" w:space="0" w:color="auto"/>
                <w:bottom w:val="none" w:sz="0" w:space="0" w:color="auto"/>
                <w:right w:val="none" w:sz="0" w:space="0" w:color="auto"/>
              </w:divBdr>
              <w:divsChild>
                <w:div w:id="1776172011">
                  <w:marLeft w:val="0"/>
                  <w:marRight w:val="0"/>
                  <w:marTop w:val="0"/>
                  <w:marBottom w:val="0"/>
                  <w:divBdr>
                    <w:top w:val="none" w:sz="0" w:space="0" w:color="auto"/>
                    <w:left w:val="none" w:sz="0" w:space="0" w:color="auto"/>
                    <w:bottom w:val="none" w:sz="0" w:space="0" w:color="auto"/>
                    <w:right w:val="none" w:sz="0" w:space="0" w:color="auto"/>
                  </w:divBdr>
                </w:div>
              </w:divsChild>
            </w:div>
            <w:div w:id="969285826">
              <w:marLeft w:val="0"/>
              <w:marRight w:val="0"/>
              <w:marTop w:val="0"/>
              <w:marBottom w:val="0"/>
              <w:divBdr>
                <w:top w:val="none" w:sz="0" w:space="0" w:color="auto"/>
                <w:left w:val="none" w:sz="0" w:space="0" w:color="auto"/>
                <w:bottom w:val="none" w:sz="0" w:space="0" w:color="auto"/>
                <w:right w:val="none" w:sz="0" w:space="0" w:color="auto"/>
              </w:divBdr>
              <w:divsChild>
                <w:div w:id="376441805">
                  <w:marLeft w:val="0"/>
                  <w:marRight w:val="0"/>
                  <w:marTop w:val="0"/>
                  <w:marBottom w:val="0"/>
                  <w:divBdr>
                    <w:top w:val="none" w:sz="0" w:space="0" w:color="auto"/>
                    <w:left w:val="none" w:sz="0" w:space="0" w:color="auto"/>
                    <w:bottom w:val="none" w:sz="0" w:space="0" w:color="auto"/>
                    <w:right w:val="none" w:sz="0" w:space="0" w:color="auto"/>
                  </w:divBdr>
                </w:div>
              </w:divsChild>
            </w:div>
            <w:div w:id="969358934">
              <w:marLeft w:val="0"/>
              <w:marRight w:val="0"/>
              <w:marTop w:val="0"/>
              <w:marBottom w:val="0"/>
              <w:divBdr>
                <w:top w:val="none" w:sz="0" w:space="0" w:color="auto"/>
                <w:left w:val="none" w:sz="0" w:space="0" w:color="auto"/>
                <w:bottom w:val="none" w:sz="0" w:space="0" w:color="auto"/>
                <w:right w:val="none" w:sz="0" w:space="0" w:color="auto"/>
              </w:divBdr>
              <w:divsChild>
                <w:div w:id="203638020">
                  <w:marLeft w:val="0"/>
                  <w:marRight w:val="0"/>
                  <w:marTop w:val="0"/>
                  <w:marBottom w:val="0"/>
                  <w:divBdr>
                    <w:top w:val="none" w:sz="0" w:space="0" w:color="auto"/>
                    <w:left w:val="none" w:sz="0" w:space="0" w:color="auto"/>
                    <w:bottom w:val="none" w:sz="0" w:space="0" w:color="auto"/>
                    <w:right w:val="none" w:sz="0" w:space="0" w:color="auto"/>
                  </w:divBdr>
                </w:div>
              </w:divsChild>
            </w:div>
            <w:div w:id="971793499">
              <w:marLeft w:val="0"/>
              <w:marRight w:val="0"/>
              <w:marTop w:val="0"/>
              <w:marBottom w:val="0"/>
              <w:divBdr>
                <w:top w:val="none" w:sz="0" w:space="0" w:color="auto"/>
                <w:left w:val="none" w:sz="0" w:space="0" w:color="auto"/>
                <w:bottom w:val="none" w:sz="0" w:space="0" w:color="auto"/>
                <w:right w:val="none" w:sz="0" w:space="0" w:color="auto"/>
              </w:divBdr>
              <w:divsChild>
                <w:div w:id="613288712">
                  <w:marLeft w:val="0"/>
                  <w:marRight w:val="0"/>
                  <w:marTop w:val="0"/>
                  <w:marBottom w:val="0"/>
                  <w:divBdr>
                    <w:top w:val="none" w:sz="0" w:space="0" w:color="auto"/>
                    <w:left w:val="none" w:sz="0" w:space="0" w:color="auto"/>
                    <w:bottom w:val="none" w:sz="0" w:space="0" w:color="auto"/>
                    <w:right w:val="none" w:sz="0" w:space="0" w:color="auto"/>
                  </w:divBdr>
                </w:div>
              </w:divsChild>
            </w:div>
            <w:div w:id="972636779">
              <w:marLeft w:val="0"/>
              <w:marRight w:val="0"/>
              <w:marTop w:val="0"/>
              <w:marBottom w:val="0"/>
              <w:divBdr>
                <w:top w:val="none" w:sz="0" w:space="0" w:color="auto"/>
                <w:left w:val="none" w:sz="0" w:space="0" w:color="auto"/>
                <w:bottom w:val="none" w:sz="0" w:space="0" w:color="auto"/>
                <w:right w:val="none" w:sz="0" w:space="0" w:color="auto"/>
              </w:divBdr>
              <w:divsChild>
                <w:div w:id="578832384">
                  <w:marLeft w:val="0"/>
                  <w:marRight w:val="0"/>
                  <w:marTop w:val="0"/>
                  <w:marBottom w:val="0"/>
                  <w:divBdr>
                    <w:top w:val="none" w:sz="0" w:space="0" w:color="auto"/>
                    <w:left w:val="none" w:sz="0" w:space="0" w:color="auto"/>
                    <w:bottom w:val="none" w:sz="0" w:space="0" w:color="auto"/>
                    <w:right w:val="none" w:sz="0" w:space="0" w:color="auto"/>
                  </w:divBdr>
                </w:div>
              </w:divsChild>
            </w:div>
            <w:div w:id="972829601">
              <w:marLeft w:val="0"/>
              <w:marRight w:val="0"/>
              <w:marTop w:val="0"/>
              <w:marBottom w:val="0"/>
              <w:divBdr>
                <w:top w:val="none" w:sz="0" w:space="0" w:color="auto"/>
                <w:left w:val="none" w:sz="0" w:space="0" w:color="auto"/>
                <w:bottom w:val="none" w:sz="0" w:space="0" w:color="auto"/>
                <w:right w:val="none" w:sz="0" w:space="0" w:color="auto"/>
              </w:divBdr>
              <w:divsChild>
                <w:div w:id="520824336">
                  <w:marLeft w:val="0"/>
                  <w:marRight w:val="0"/>
                  <w:marTop w:val="0"/>
                  <w:marBottom w:val="0"/>
                  <w:divBdr>
                    <w:top w:val="none" w:sz="0" w:space="0" w:color="auto"/>
                    <w:left w:val="none" w:sz="0" w:space="0" w:color="auto"/>
                    <w:bottom w:val="none" w:sz="0" w:space="0" w:color="auto"/>
                    <w:right w:val="none" w:sz="0" w:space="0" w:color="auto"/>
                  </w:divBdr>
                </w:div>
              </w:divsChild>
            </w:div>
            <w:div w:id="975255118">
              <w:marLeft w:val="0"/>
              <w:marRight w:val="0"/>
              <w:marTop w:val="0"/>
              <w:marBottom w:val="0"/>
              <w:divBdr>
                <w:top w:val="none" w:sz="0" w:space="0" w:color="auto"/>
                <w:left w:val="none" w:sz="0" w:space="0" w:color="auto"/>
                <w:bottom w:val="none" w:sz="0" w:space="0" w:color="auto"/>
                <w:right w:val="none" w:sz="0" w:space="0" w:color="auto"/>
              </w:divBdr>
              <w:divsChild>
                <w:div w:id="1298955187">
                  <w:marLeft w:val="0"/>
                  <w:marRight w:val="0"/>
                  <w:marTop w:val="0"/>
                  <w:marBottom w:val="0"/>
                  <w:divBdr>
                    <w:top w:val="none" w:sz="0" w:space="0" w:color="auto"/>
                    <w:left w:val="none" w:sz="0" w:space="0" w:color="auto"/>
                    <w:bottom w:val="none" w:sz="0" w:space="0" w:color="auto"/>
                    <w:right w:val="none" w:sz="0" w:space="0" w:color="auto"/>
                  </w:divBdr>
                </w:div>
              </w:divsChild>
            </w:div>
            <w:div w:id="975716599">
              <w:marLeft w:val="0"/>
              <w:marRight w:val="0"/>
              <w:marTop w:val="0"/>
              <w:marBottom w:val="0"/>
              <w:divBdr>
                <w:top w:val="none" w:sz="0" w:space="0" w:color="auto"/>
                <w:left w:val="none" w:sz="0" w:space="0" w:color="auto"/>
                <w:bottom w:val="none" w:sz="0" w:space="0" w:color="auto"/>
                <w:right w:val="none" w:sz="0" w:space="0" w:color="auto"/>
              </w:divBdr>
              <w:divsChild>
                <w:div w:id="885457982">
                  <w:marLeft w:val="0"/>
                  <w:marRight w:val="0"/>
                  <w:marTop w:val="0"/>
                  <w:marBottom w:val="0"/>
                  <w:divBdr>
                    <w:top w:val="none" w:sz="0" w:space="0" w:color="auto"/>
                    <w:left w:val="none" w:sz="0" w:space="0" w:color="auto"/>
                    <w:bottom w:val="none" w:sz="0" w:space="0" w:color="auto"/>
                    <w:right w:val="none" w:sz="0" w:space="0" w:color="auto"/>
                  </w:divBdr>
                </w:div>
              </w:divsChild>
            </w:div>
            <w:div w:id="978145694">
              <w:marLeft w:val="0"/>
              <w:marRight w:val="0"/>
              <w:marTop w:val="0"/>
              <w:marBottom w:val="0"/>
              <w:divBdr>
                <w:top w:val="none" w:sz="0" w:space="0" w:color="auto"/>
                <w:left w:val="none" w:sz="0" w:space="0" w:color="auto"/>
                <w:bottom w:val="none" w:sz="0" w:space="0" w:color="auto"/>
                <w:right w:val="none" w:sz="0" w:space="0" w:color="auto"/>
              </w:divBdr>
              <w:divsChild>
                <w:div w:id="396632651">
                  <w:marLeft w:val="0"/>
                  <w:marRight w:val="0"/>
                  <w:marTop w:val="0"/>
                  <w:marBottom w:val="0"/>
                  <w:divBdr>
                    <w:top w:val="none" w:sz="0" w:space="0" w:color="auto"/>
                    <w:left w:val="none" w:sz="0" w:space="0" w:color="auto"/>
                    <w:bottom w:val="none" w:sz="0" w:space="0" w:color="auto"/>
                    <w:right w:val="none" w:sz="0" w:space="0" w:color="auto"/>
                  </w:divBdr>
                </w:div>
              </w:divsChild>
            </w:div>
            <w:div w:id="978340937">
              <w:marLeft w:val="0"/>
              <w:marRight w:val="0"/>
              <w:marTop w:val="0"/>
              <w:marBottom w:val="0"/>
              <w:divBdr>
                <w:top w:val="none" w:sz="0" w:space="0" w:color="auto"/>
                <w:left w:val="none" w:sz="0" w:space="0" w:color="auto"/>
                <w:bottom w:val="none" w:sz="0" w:space="0" w:color="auto"/>
                <w:right w:val="none" w:sz="0" w:space="0" w:color="auto"/>
              </w:divBdr>
              <w:divsChild>
                <w:div w:id="142551555">
                  <w:marLeft w:val="0"/>
                  <w:marRight w:val="0"/>
                  <w:marTop w:val="0"/>
                  <w:marBottom w:val="0"/>
                  <w:divBdr>
                    <w:top w:val="none" w:sz="0" w:space="0" w:color="auto"/>
                    <w:left w:val="none" w:sz="0" w:space="0" w:color="auto"/>
                    <w:bottom w:val="none" w:sz="0" w:space="0" w:color="auto"/>
                    <w:right w:val="none" w:sz="0" w:space="0" w:color="auto"/>
                  </w:divBdr>
                </w:div>
              </w:divsChild>
            </w:div>
            <w:div w:id="979000299">
              <w:marLeft w:val="0"/>
              <w:marRight w:val="0"/>
              <w:marTop w:val="0"/>
              <w:marBottom w:val="0"/>
              <w:divBdr>
                <w:top w:val="none" w:sz="0" w:space="0" w:color="auto"/>
                <w:left w:val="none" w:sz="0" w:space="0" w:color="auto"/>
                <w:bottom w:val="none" w:sz="0" w:space="0" w:color="auto"/>
                <w:right w:val="none" w:sz="0" w:space="0" w:color="auto"/>
              </w:divBdr>
              <w:divsChild>
                <w:div w:id="1775981071">
                  <w:marLeft w:val="0"/>
                  <w:marRight w:val="0"/>
                  <w:marTop w:val="0"/>
                  <w:marBottom w:val="0"/>
                  <w:divBdr>
                    <w:top w:val="none" w:sz="0" w:space="0" w:color="auto"/>
                    <w:left w:val="none" w:sz="0" w:space="0" w:color="auto"/>
                    <w:bottom w:val="none" w:sz="0" w:space="0" w:color="auto"/>
                    <w:right w:val="none" w:sz="0" w:space="0" w:color="auto"/>
                  </w:divBdr>
                </w:div>
              </w:divsChild>
            </w:div>
            <w:div w:id="980377959">
              <w:marLeft w:val="0"/>
              <w:marRight w:val="0"/>
              <w:marTop w:val="0"/>
              <w:marBottom w:val="0"/>
              <w:divBdr>
                <w:top w:val="none" w:sz="0" w:space="0" w:color="auto"/>
                <w:left w:val="none" w:sz="0" w:space="0" w:color="auto"/>
                <w:bottom w:val="none" w:sz="0" w:space="0" w:color="auto"/>
                <w:right w:val="none" w:sz="0" w:space="0" w:color="auto"/>
              </w:divBdr>
              <w:divsChild>
                <w:div w:id="1778985294">
                  <w:marLeft w:val="0"/>
                  <w:marRight w:val="0"/>
                  <w:marTop w:val="0"/>
                  <w:marBottom w:val="0"/>
                  <w:divBdr>
                    <w:top w:val="none" w:sz="0" w:space="0" w:color="auto"/>
                    <w:left w:val="none" w:sz="0" w:space="0" w:color="auto"/>
                    <w:bottom w:val="none" w:sz="0" w:space="0" w:color="auto"/>
                    <w:right w:val="none" w:sz="0" w:space="0" w:color="auto"/>
                  </w:divBdr>
                </w:div>
              </w:divsChild>
            </w:div>
            <w:div w:id="980764575">
              <w:marLeft w:val="0"/>
              <w:marRight w:val="0"/>
              <w:marTop w:val="300"/>
              <w:marBottom w:val="300"/>
              <w:divBdr>
                <w:top w:val="none" w:sz="0" w:space="0" w:color="auto"/>
                <w:left w:val="none" w:sz="0" w:space="0" w:color="auto"/>
                <w:bottom w:val="none" w:sz="0" w:space="0" w:color="auto"/>
                <w:right w:val="none" w:sz="0" w:space="0" w:color="auto"/>
              </w:divBdr>
            </w:div>
            <w:div w:id="980843227">
              <w:marLeft w:val="0"/>
              <w:marRight w:val="0"/>
              <w:marTop w:val="0"/>
              <w:marBottom w:val="0"/>
              <w:divBdr>
                <w:top w:val="none" w:sz="0" w:space="0" w:color="auto"/>
                <w:left w:val="none" w:sz="0" w:space="0" w:color="auto"/>
                <w:bottom w:val="none" w:sz="0" w:space="0" w:color="auto"/>
                <w:right w:val="none" w:sz="0" w:space="0" w:color="auto"/>
              </w:divBdr>
              <w:divsChild>
                <w:div w:id="1934975761">
                  <w:marLeft w:val="0"/>
                  <w:marRight w:val="0"/>
                  <w:marTop w:val="0"/>
                  <w:marBottom w:val="0"/>
                  <w:divBdr>
                    <w:top w:val="none" w:sz="0" w:space="0" w:color="auto"/>
                    <w:left w:val="none" w:sz="0" w:space="0" w:color="auto"/>
                    <w:bottom w:val="none" w:sz="0" w:space="0" w:color="auto"/>
                    <w:right w:val="none" w:sz="0" w:space="0" w:color="auto"/>
                  </w:divBdr>
                </w:div>
              </w:divsChild>
            </w:div>
            <w:div w:id="981691968">
              <w:marLeft w:val="0"/>
              <w:marRight w:val="0"/>
              <w:marTop w:val="0"/>
              <w:marBottom w:val="0"/>
              <w:divBdr>
                <w:top w:val="none" w:sz="0" w:space="0" w:color="auto"/>
                <w:left w:val="none" w:sz="0" w:space="0" w:color="auto"/>
                <w:bottom w:val="none" w:sz="0" w:space="0" w:color="auto"/>
                <w:right w:val="none" w:sz="0" w:space="0" w:color="auto"/>
              </w:divBdr>
              <w:divsChild>
                <w:div w:id="1609771099">
                  <w:marLeft w:val="0"/>
                  <w:marRight w:val="0"/>
                  <w:marTop w:val="0"/>
                  <w:marBottom w:val="0"/>
                  <w:divBdr>
                    <w:top w:val="none" w:sz="0" w:space="0" w:color="auto"/>
                    <w:left w:val="none" w:sz="0" w:space="0" w:color="auto"/>
                    <w:bottom w:val="none" w:sz="0" w:space="0" w:color="auto"/>
                    <w:right w:val="none" w:sz="0" w:space="0" w:color="auto"/>
                  </w:divBdr>
                </w:div>
              </w:divsChild>
            </w:div>
            <w:div w:id="984969851">
              <w:marLeft w:val="0"/>
              <w:marRight w:val="0"/>
              <w:marTop w:val="0"/>
              <w:marBottom w:val="0"/>
              <w:divBdr>
                <w:top w:val="none" w:sz="0" w:space="0" w:color="auto"/>
                <w:left w:val="none" w:sz="0" w:space="0" w:color="auto"/>
                <w:bottom w:val="none" w:sz="0" w:space="0" w:color="auto"/>
                <w:right w:val="none" w:sz="0" w:space="0" w:color="auto"/>
              </w:divBdr>
              <w:divsChild>
                <w:div w:id="1530223711">
                  <w:marLeft w:val="0"/>
                  <w:marRight w:val="0"/>
                  <w:marTop w:val="0"/>
                  <w:marBottom w:val="0"/>
                  <w:divBdr>
                    <w:top w:val="none" w:sz="0" w:space="0" w:color="auto"/>
                    <w:left w:val="none" w:sz="0" w:space="0" w:color="auto"/>
                    <w:bottom w:val="none" w:sz="0" w:space="0" w:color="auto"/>
                    <w:right w:val="none" w:sz="0" w:space="0" w:color="auto"/>
                  </w:divBdr>
                </w:div>
              </w:divsChild>
            </w:div>
            <w:div w:id="986739110">
              <w:marLeft w:val="0"/>
              <w:marRight w:val="0"/>
              <w:marTop w:val="0"/>
              <w:marBottom w:val="0"/>
              <w:divBdr>
                <w:top w:val="none" w:sz="0" w:space="0" w:color="auto"/>
                <w:left w:val="none" w:sz="0" w:space="0" w:color="auto"/>
                <w:bottom w:val="none" w:sz="0" w:space="0" w:color="auto"/>
                <w:right w:val="none" w:sz="0" w:space="0" w:color="auto"/>
              </w:divBdr>
              <w:divsChild>
                <w:div w:id="915355536">
                  <w:marLeft w:val="0"/>
                  <w:marRight w:val="0"/>
                  <w:marTop w:val="0"/>
                  <w:marBottom w:val="0"/>
                  <w:divBdr>
                    <w:top w:val="none" w:sz="0" w:space="0" w:color="auto"/>
                    <w:left w:val="none" w:sz="0" w:space="0" w:color="auto"/>
                    <w:bottom w:val="none" w:sz="0" w:space="0" w:color="auto"/>
                    <w:right w:val="none" w:sz="0" w:space="0" w:color="auto"/>
                  </w:divBdr>
                </w:div>
              </w:divsChild>
            </w:div>
            <w:div w:id="986973506">
              <w:marLeft w:val="0"/>
              <w:marRight w:val="0"/>
              <w:marTop w:val="0"/>
              <w:marBottom w:val="0"/>
              <w:divBdr>
                <w:top w:val="none" w:sz="0" w:space="0" w:color="auto"/>
                <w:left w:val="none" w:sz="0" w:space="0" w:color="auto"/>
                <w:bottom w:val="none" w:sz="0" w:space="0" w:color="auto"/>
                <w:right w:val="none" w:sz="0" w:space="0" w:color="auto"/>
              </w:divBdr>
              <w:divsChild>
                <w:div w:id="1498299785">
                  <w:marLeft w:val="0"/>
                  <w:marRight w:val="0"/>
                  <w:marTop w:val="0"/>
                  <w:marBottom w:val="0"/>
                  <w:divBdr>
                    <w:top w:val="none" w:sz="0" w:space="0" w:color="auto"/>
                    <w:left w:val="none" w:sz="0" w:space="0" w:color="auto"/>
                    <w:bottom w:val="none" w:sz="0" w:space="0" w:color="auto"/>
                    <w:right w:val="none" w:sz="0" w:space="0" w:color="auto"/>
                  </w:divBdr>
                </w:div>
              </w:divsChild>
            </w:div>
            <w:div w:id="987248437">
              <w:marLeft w:val="0"/>
              <w:marRight w:val="0"/>
              <w:marTop w:val="0"/>
              <w:marBottom w:val="0"/>
              <w:divBdr>
                <w:top w:val="none" w:sz="0" w:space="0" w:color="auto"/>
                <w:left w:val="none" w:sz="0" w:space="0" w:color="auto"/>
                <w:bottom w:val="none" w:sz="0" w:space="0" w:color="auto"/>
                <w:right w:val="none" w:sz="0" w:space="0" w:color="auto"/>
              </w:divBdr>
              <w:divsChild>
                <w:div w:id="1872717899">
                  <w:marLeft w:val="0"/>
                  <w:marRight w:val="0"/>
                  <w:marTop w:val="0"/>
                  <w:marBottom w:val="0"/>
                  <w:divBdr>
                    <w:top w:val="none" w:sz="0" w:space="0" w:color="auto"/>
                    <w:left w:val="none" w:sz="0" w:space="0" w:color="auto"/>
                    <w:bottom w:val="none" w:sz="0" w:space="0" w:color="auto"/>
                    <w:right w:val="none" w:sz="0" w:space="0" w:color="auto"/>
                  </w:divBdr>
                </w:div>
              </w:divsChild>
            </w:div>
            <w:div w:id="989092884">
              <w:marLeft w:val="0"/>
              <w:marRight w:val="0"/>
              <w:marTop w:val="0"/>
              <w:marBottom w:val="0"/>
              <w:divBdr>
                <w:top w:val="none" w:sz="0" w:space="0" w:color="auto"/>
                <w:left w:val="none" w:sz="0" w:space="0" w:color="auto"/>
                <w:bottom w:val="none" w:sz="0" w:space="0" w:color="auto"/>
                <w:right w:val="none" w:sz="0" w:space="0" w:color="auto"/>
              </w:divBdr>
              <w:divsChild>
                <w:div w:id="802888971">
                  <w:marLeft w:val="0"/>
                  <w:marRight w:val="0"/>
                  <w:marTop w:val="0"/>
                  <w:marBottom w:val="0"/>
                  <w:divBdr>
                    <w:top w:val="none" w:sz="0" w:space="0" w:color="auto"/>
                    <w:left w:val="none" w:sz="0" w:space="0" w:color="auto"/>
                    <w:bottom w:val="none" w:sz="0" w:space="0" w:color="auto"/>
                    <w:right w:val="none" w:sz="0" w:space="0" w:color="auto"/>
                  </w:divBdr>
                </w:div>
              </w:divsChild>
            </w:div>
            <w:div w:id="990864827">
              <w:marLeft w:val="0"/>
              <w:marRight w:val="0"/>
              <w:marTop w:val="0"/>
              <w:marBottom w:val="0"/>
              <w:divBdr>
                <w:top w:val="none" w:sz="0" w:space="0" w:color="auto"/>
                <w:left w:val="none" w:sz="0" w:space="0" w:color="auto"/>
                <w:bottom w:val="none" w:sz="0" w:space="0" w:color="auto"/>
                <w:right w:val="none" w:sz="0" w:space="0" w:color="auto"/>
              </w:divBdr>
              <w:divsChild>
                <w:div w:id="508762819">
                  <w:marLeft w:val="0"/>
                  <w:marRight w:val="0"/>
                  <w:marTop w:val="0"/>
                  <w:marBottom w:val="0"/>
                  <w:divBdr>
                    <w:top w:val="none" w:sz="0" w:space="0" w:color="auto"/>
                    <w:left w:val="none" w:sz="0" w:space="0" w:color="auto"/>
                    <w:bottom w:val="none" w:sz="0" w:space="0" w:color="auto"/>
                    <w:right w:val="none" w:sz="0" w:space="0" w:color="auto"/>
                  </w:divBdr>
                </w:div>
              </w:divsChild>
            </w:div>
            <w:div w:id="990988801">
              <w:marLeft w:val="0"/>
              <w:marRight w:val="0"/>
              <w:marTop w:val="0"/>
              <w:marBottom w:val="0"/>
              <w:divBdr>
                <w:top w:val="none" w:sz="0" w:space="0" w:color="auto"/>
                <w:left w:val="none" w:sz="0" w:space="0" w:color="auto"/>
                <w:bottom w:val="none" w:sz="0" w:space="0" w:color="auto"/>
                <w:right w:val="none" w:sz="0" w:space="0" w:color="auto"/>
              </w:divBdr>
              <w:divsChild>
                <w:div w:id="1124158214">
                  <w:marLeft w:val="0"/>
                  <w:marRight w:val="0"/>
                  <w:marTop w:val="0"/>
                  <w:marBottom w:val="0"/>
                  <w:divBdr>
                    <w:top w:val="none" w:sz="0" w:space="0" w:color="auto"/>
                    <w:left w:val="none" w:sz="0" w:space="0" w:color="auto"/>
                    <w:bottom w:val="none" w:sz="0" w:space="0" w:color="auto"/>
                    <w:right w:val="none" w:sz="0" w:space="0" w:color="auto"/>
                  </w:divBdr>
                </w:div>
              </w:divsChild>
            </w:div>
            <w:div w:id="991327766">
              <w:marLeft w:val="0"/>
              <w:marRight w:val="0"/>
              <w:marTop w:val="300"/>
              <w:marBottom w:val="300"/>
              <w:divBdr>
                <w:top w:val="none" w:sz="0" w:space="0" w:color="auto"/>
                <w:left w:val="none" w:sz="0" w:space="0" w:color="auto"/>
                <w:bottom w:val="none" w:sz="0" w:space="0" w:color="auto"/>
                <w:right w:val="none" w:sz="0" w:space="0" w:color="auto"/>
              </w:divBdr>
            </w:div>
            <w:div w:id="991524517">
              <w:marLeft w:val="0"/>
              <w:marRight w:val="0"/>
              <w:marTop w:val="0"/>
              <w:marBottom w:val="0"/>
              <w:divBdr>
                <w:top w:val="none" w:sz="0" w:space="0" w:color="auto"/>
                <w:left w:val="none" w:sz="0" w:space="0" w:color="auto"/>
                <w:bottom w:val="none" w:sz="0" w:space="0" w:color="auto"/>
                <w:right w:val="none" w:sz="0" w:space="0" w:color="auto"/>
              </w:divBdr>
              <w:divsChild>
                <w:div w:id="479618900">
                  <w:marLeft w:val="0"/>
                  <w:marRight w:val="0"/>
                  <w:marTop w:val="0"/>
                  <w:marBottom w:val="0"/>
                  <w:divBdr>
                    <w:top w:val="none" w:sz="0" w:space="0" w:color="auto"/>
                    <w:left w:val="none" w:sz="0" w:space="0" w:color="auto"/>
                    <w:bottom w:val="none" w:sz="0" w:space="0" w:color="auto"/>
                    <w:right w:val="none" w:sz="0" w:space="0" w:color="auto"/>
                  </w:divBdr>
                </w:div>
              </w:divsChild>
            </w:div>
            <w:div w:id="991980764">
              <w:marLeft w:val="0"/>
              <w:marRight w:val="0"/>
              <w:marTop w:val="0"/>
              <w:marBottom w:val="0"/>
              <w:divBdr>
                <w:top w:val="none" w:sz="0" w:space="0" w:color="auto"/>
                <w:left w:val="none" w:sz="0" w:space="0" w:color="auto"/>
                <w:bottom w:val="none" w:sz="0" w:space="0" w:color="auto"/>
                <w:right w:val="none" w:sz="0" w:space="0" w:color="auto"/>
              </w:divBdr>
              <w:divsChild>
                <w:div w:id="718827085">
                  <w:marLeft w:val="0"/>
                  <w:marRight w:val="0"/>
                  <w:marTop w:val="0"/>
                  <w:marBottom w:val="0"/>
                  <w:divBdr>
                    <w:top w:val="none" w:sz="0" w:space="0" w:color="auto"/>
                    <w:left w:val="none" w:sz="0" w:space="0" w:color="auto"/>
                    <w:bottom w:val="none" w:sz="0" w:space="0" w:color="auto"/>
                    <w:right w:val="none" w:sz="0" w:space="0" w:color="auto"/>
                  </w:divBdr>
                </w:div>
              </w:divsChild>
            </w:div>
            <w:div w:id="992372088">
              <w:marLeft w:val="0"/>
              <w:marRight w:val="0"/>
              <w:marTop w:val="300"/>
              <w:marBottom w:val="300"/>
              <w:divBdr>
                <w:top w:val="none" w:sz="0" w:space="0" w:color="auto"/>
                <w:left w:val="none" w:sz="0" w:space="0" w:color="auto"/>
                <w:bottom w:val="none" w:sz="0" w:space="0" w:color="auto"/>
                <w:right w:val="none" w:sz="0" w:space="0" w:color="auto"/>
              </w:divBdr>
            </w:div>
            <w:div w:id="992413972">
              <w:marLeft w:val="0"/>
              <w:marRight w:val="0"/>
              <w:marTop w:val="0"/>
              <w:marBottom w:val="0"/>
              <w:divBdr>
                <w:top w:val="none" w:sz="0" w:space="0" w:color="auto"/>
                <w:left w:val="none" w:sz="0" w:space="0" w:color="auto"/>
                <w:bottom w:val="none" w:sz="0" w:space="0" w:color="auto"/>
                <w:right w:val="none" w:sz="0" w:space="0" w:color="auto"/>
              </w:divBdr>
              <w:divsChild>
                <w:div w:id="571694488">
                  <w:marLeft w:val="0"/>
                  <w:marRight w:val="0"/>
                  <w:marTop w:val="0"/>
                  <w:marBottom w:val="0"/>
                  <w:divBdr>
                    <w:top w:val="none" w:sz="0" w:space="0" w:color="auto"/>
                    <w:left w:val="none" w:sz="0" w:space="0" w:color="auto"/>
                    <w:bottom w:val="none" w:sz="0" w:space="0" w:color="auto"/>
                    <w:right w:val="none" w:sz="0" w:space="0" w:color="auto"/>
                  </w:divBdr>
                </w:div>
              </w:divsChild>
            </w:div>
            <w:div w:id="993606058">
              <w:marLeft w:val="0"/>
              <w:marRight w:val="0"/>
              <w:marTop w:val="0"/>
              <w:marBottom w:val="0"/>
              <w:divBdr>
                <w:top w:val="none" w:sz="0" w:space="0" w:color="auto"/>
                <w:left w:val="none" w:sz="0" w:space="0" w:color="auto"/>
                <w:bottom w:val="none" w:sz="0" w:space="0" w:color="auto"/>
                <w:right w:val="none" w:sz="0" w:space="0" w:color="auto"/>
              </w:divBdr>
              <w:divsChild>
                <w:div w:id="1856993373">
                  <w:marLeft w:val="0"/>
                  <w:marRight w:val="0"/>
                  <w:marTop w:val="0"/>
                  <w:marBottom w:val="0"/>
                  <w:divBdr>
                    <w:top w:val="none" w:sz="0" w:space="0" w:color="auto"/>
                    <w:left w:val="none" w:sz="0" w:space="0" w:color="auto"/>
                    <w:bottom w:val="none" w:sz="0" w:space="0" w:color="auto"/>
                    <w:right w:val="none" w:sz="0" w:space="0" w:color="auto"/>
                  </w:divBdr>
                </w:div>
              </w:divsChild>
            </w:div>
            <w:div w:id="994918237">
              <w:marLeft w:val="0"/>
              <w:marRight w:val="0"/>
              <w:marTop w:val="0"/>
              <w:marBottom w:val="0"/>
              <w:divBdr>
                <w:top w:val="none" w:sz="0" w:space="0" w:color="auto"/>
                <w:left w:val="none" w:sz="0" w:space="0" w:color="auto"/>
                <w:bottom w:val="none" w:sz="0" w:space="0" w:color="auto"/>
                <w:right w:val="none" w:sz="0" w:space="0" w:color="auto"/>
              </w:divBdr>
              <w:divsChild>
                <w:div w:id="1839879889">
                  <w:marLeft w:val="0"/>
                  <w:marRight w:val="0"/>
                  <w:marTop w:val="0"/>
                  <w:marBottom w:val="0"/>
                  <w:divBdr>
                    <w:top w:val="none" w:sz="0" w:space="0" w:color="auto"/>
                    <w:left w:val="none" w:sz="0" w:space="0" w:color="auto"/>
                    <w:bottom w:val="none" w:sz="0" w:space="0" w:color="auto"/>
                    <w:right w:val="none" w:sz="0" w:space="0" w:color="auto"/>
                  </w:divBdr>
                </w:div>
              </w:divsChild>
            </w:div>
            <w:div w:id="996348461">
              <w:marLeft w:val="0"/>
              <w:marRight w:val="0"/>
              <w:marTop w:val="0"/>
              <w:marBottom w:val="0"/>
              <w:divBdr>
                <w:top w:val="none" w:sz="0" w:space="0" w:color="auto"/>
                <w:left w:val="none" w:sz="0" w:space="0" w:color="auto"/>
                <w:bottom w:val="none" w:sz="0" w:space="0" w:color="auto"/>
                <w:right w:val="none" w:sz="0" w:space="0" w:color="auto"/>
              </w:divBdr>
              <w:divsChild>
                <w:div w:id="2065718550">
                  <w:marLeft w:val="0"/>
                  <w:marRight w:val="0"/>
                  <w:marTop w:val="0"/>
                  <w:marBottom w:val="0"/>
                  <w:divBdr>
                    <w:top w:val="none" w:sz="0" w:space="0" w:color="auto"/>
                    <w:left w:val="none" w:sz="0" w:space="0" w:color="auto"/>
                    <w:bottom w:val="none" w:sz="0" w:space="0" w:color="auto"/>
                    <w:right w:val="none" w:sz="0" w:space="0" w:color="auto"/>
                  </w:divBdr>
                </w:div>
              </w:divsChild>
            </w:div>
            <w:div w:id="996615494">
              <w:marLeft w:val="0"/>
              <w:marRight w:val="0"/>
              <w:marTop w:val="0"/>
              <w:marBottom w:val="0"/>
              <w:divBdr>
                <w:top w:val="none" w:sz="0" w:space="0" w:color="auto"/>
                <w:left w:val="none" w:sz="0" w:space="0" w:color="auto"/>
                <w:bottom w:val="none" w:sz="0" w:space="0" w:color="auto"/>
                <w:right w:val="none" w:sz="0" w:space="0" w:color="auto"/>
              </w:divBdr>
              <w:divsChild>
                <w:div w:id="2014722467">
                  <w:marLeft w:val="0"/>
                  <w:marRight w:val="0"/>
                  <w:marTop w:val="0"/>
                  <w:marBottom w:val="0"/>
                  <w:divBdr>
                    <w:top w:val="none" w:sz="0" w:space="0" w:color="auto"/>
                    <w:left w:val="none" w:sz="0" w:space="0" w:color="auto"/>
                    <w:bottom w:val="none" w:sz="0" w:space="0" w:color="auto"/>
                    <w:right w:val="none" w:sz="0" w:space="0" w:color="auto"/>
                  </w:divBdr>
                </w:div>
              </w:divsChild>
            </w:div>
            <w:div w:id="996768305">
              <w:marLeft w:val="0"/>
              <w:marRight w:val="0"/>
              <w:marTop w:val="0"/>
              <w:marBottom w:val="0"/>
              <w:divBdr>
                <w:top w:val="none" w:sz="0" w:space="0" w:color="auto"/>
                <w:left w:val="none" w:sz="0" w:space="0" w:color="auto"/>
                <w:bottom w:val="none" w:sz="0" w:space="0" w:color="auto"/>
                <w:right w:val="none" w:sz="0" w:space="0" w:color="auto"/>
              </w:divBdr>
              <w:divsChild>
                <w:div w:id="741412666">
                  <w:marLeft w:val="0"/>
                  <w:marRight w:val="0"/>
                  <w:marTop w:val="0"/>
                  <w:marBottom w:val="0"/>
                  <w:divBdr>
                    <w:top w:val="none" w:sz="0" w:space="0" w:color="auto"/>
                    <w:left w:val="none" w:sz="0" w:space="0" w:color="auto"/>
                    <w:bottom w:val="none" w:sz="0" w:space="0" w:color="auto"/>
                    <w:right w:val="none" w:sz="0" w:space="0" w:color="auto"/>
                  </w:divBdr>
                </w:div>
              </w:divsChild>
            </w:div>
            <w:div w:id="1000156720">
              <w:marLeft w:val="0"/>
              <w:marRight w:val="0"/>
              <w:marTop w:val="0"/>
              <w:marBottom w:val="0"/>
              <w:divBdr>
                <w:top w:val="none" w:sz="0" w:space="0" w:color="auto"/>
                <w:left w:val="none" w:sz="0" w:space="0" w:color="auto"/>
                <w:bottom w:val="none" w:sz="0" w:space="0" w:color="auto"/>
                <w:right w:val="none" w:sz="0" w:space="0" w:color="auto"/>
              </w:divBdr>
              <w:divsChild>
                <w:div w:id="2062247381">
                  <w:marLeft w:val="0"/>
                  <w:marRight w:val="0"/>
                  <w:marTop w:val="0"/>
                  <w:marBottom w:val="0"/>
                  <w:divBdr>
                    <w:top w:val="none" w:sz="0" w:space="0" w:color="auto"/>
                    <w:left w:val="none" w:sz="0" w:space="0" w:color="auto"/>
                    <w:bottom w:val="none" w:sz="0" w:space="0" w:color="auto"/>
                    <w:right w:val="none" w:sz="0" w:space="0" w:color="auto"/>
                  </w:divBdr>
                </w:div>
              </w:divsChild>
            </w:div>
            <w:div w:id="1004237254">
              <w:marLeft w:val="0"/>
              <w:marRight w:val="0"/>
              <w:marTop w:val="0"/>
              <w:marBottom w:val="0"/>
              <w:divBdr>
                <w:top w:val="none" w:sz="0" w:space="0" w:color="auto"/>
                <w:left w:val="none" w:sz="0" w:space="0" w:color="auto"/>
                <w:bottom w:val="none" w:sz="0" w:space="0" w:color="auto"/>
                <w:right w:val="none" w:sz="0" w:space="0" w:color="auto"/>
              </w:divBdr>
              <w:divsChild>
                <w:div w:id="515458668">
                  <w:marLeft w:val="0"/>
                  <w:marRight w:val="0"/>
                  <w:marTop w:val="0"/>
                  <w:marBottom w:val="0"/>
                  <w:divBdr>
                    <w:top w:val="none" w:sz="0" w:space="0" w:color="auto"/>
                    <w:left w:val="none" w:sz="0" w:space="0" w:color="auto"/>
                    <w:bottom w:val="none" w:sz="0" w:space="0" w:color="auto"/>
                    <w:right w:val="none" w:sz="0" w:space="0" w:color="auto"/>
                  </w:divBdr>
                </w:div>
              </w:divsChild>
            </w:div>
            <w:div w:id="1004279635">
              <w:marLeft w:val="0"/>
              <w:marRight w:val="0"/>
              <w:marTop w:val="0"/>
              <w:marBottom w:val="0"/>
              <w:divBdr>
                <w:top w:val="none" w:sz="0" w:space="0" w:color="auto"/>
                <w:left w:val="none" w:sz="0" w:space="0" w:color="auto"/>
                <w:bottom w:val="none" w:sz="0" w:space="0" w:color="auto"/>
                <w:right w:val="none" w:sz="0" w:space="0" w:color="auto"/>
              </w:divBdr>
              <w:divsChild>
                <w:div w:id="1397581536">
                  <w:marLeft w:val="0"/>
                  <w:marRight w:val="0"/>
                  <w:marTop w:val="0"/>
                  <w:marBottom w:val="0"/>
                  <w:divBdr>
                    <w:top w:val="none" w:sz="0" w:space="0" w:color="auto"/>
                    <w:left w:val="none" w:sz="0" w:space="0" w:color="auto"/>
                    <w:bottom w:val="none" w:sz="0" w:space="0" w:color="auto"/>
                    <w:right w:val="none" w:sz="0" w:space="0" w:color="auto"/>
                  </w:divBdr>
                </w:div>
              </w:divsChild>
            </w:div>
            <w:div w:id="1005983063">
              <w:marLeft w:val="0"/>
              <w:marRight w:val="0"/>
              <w:marTop w:val="0"/>
              <w:marBottom w:val="0"/>
              <w:divBdr>
                <w:top w:val="none" w:sz="0" w:space="0" w:color="auto"/>
                <w:left w:val="none" w:sz="0" w:space="0" w:color="auto"/>
                <w:bottom w:val="none" w:sz="0" w:space="0" w:color="auto"/>
                <w:right w:val="none" w:sz="0" w:space="0" w:color="auto"/>
              </w:divBdr>
              <w:divsChild>
                <w:div w:id="437331101">
                  <w:marLeft w:val="0"/>
                  <w:marRight w:val="0"/>
                  <w:marTop w:val="0"/>
                  <w:marBottom w:val="0"/>
                  <w:divBdr>
                    <w:top w:val="none" w:sz="0" w:space="0" w:color="auto"/>
                    <w:left w:val="none" w:sz="0" w:space="0" w:color="auto"/>
                    <w:bottom w:val="none" w:sz="0" w:space="0" w:color="auto"/>
                    <w:right w:val="none" w:sz="0" w:space="0" w:color="auto"/>
                  </w:divBdr>
                </w:div>
              </w:divsChild>
            </w:div>
            <w:div w:id="1006059313">
              <w:marLeft w:val="0"/>
              <w:marRight w:val="0"/>
              <w:marTop w:val="0"/>
              <w:marBottom w:val="0"/>
              <w:divBdr>
                <w:top w:val="none" w:sz="0" w:space="0" w:color="auto"/>
                <w:left w:val="none" w:sz="0" w:space="0" w:color="auto"/>
                <w:bottom w:val="none" w:sz="0" w:space="0" w:color="auto"/>
                <w:right w:val="none" w:sz="0" w:space="0" w:color="auto"/>
              </w:divBdr>
              <w:divsChild>
                <w:div w:id="98187199">
                  <w:marLeft w:val="0"/>
                  <w:marRight w:val="0"/>
                  <w:marTop w:val="0"/>
                  <w:marBottom w:val="0"/>
                  <w:divBdr>
                    <w:top w:val="none" w:sz="0" w:space="0" w:color="auto"/>
                    <w:left w:val="none" w:sz="0" w:space="0" w:color="auto"/>
                    <w:bottom w:val="none" w:sz="0" w:space="0" w:color="auto"/>
                    <w:right w:val="none" w:sz="0" w:space="0" w:color="auto"/>
                  </w:divBdr>
                </w:div>
              </w:divsChild>
            </w:div>
            <w:div w:id="1007246128">
              <w:marLeft w:val="0"/>
              <w:marRight w:val="0"/>
              <w:marTop w:val="0"/>
              <w:marBottom w:val="0"/>
              <w:divBdr>
                <w:top w:val="none" w:sz="0" w:space="0" w:color="auto"/>
                <w:left w:val="none" w:sz="0" w:space="0" w:color="auto"/>
                <w:bottom w:val="none" w:sz="0" w:space="0" w:color="auto"/>
                <w:right w:val="none" w:sz="0" w:space="0" w:color="auto"/>
              </w:divBdr>
              <w:divsChild>
                <w:div w:id="848253726">
                  <w:marLeft w:val="0"/>
                  <w:marRight w:val="0"/>
                  <w:marTop w:val="0"/>
                  <w:marBottom w:val="0"/>
                  <w:divBdr>
                    <w:top w:val="none" w:sz="0" w:space="0" w:color="auto"/>
                    <w:left w:val="none" w:sz="0" w:space="0" w:color="auto"/>
                    <w:bottom w:val="none" w:sz="0" w:space="0" w:color="auto"/>
                    <w:right w:val="none" w:sz="0" w:space="0" w:color="auto"/>
                  </w:divBdr>
                </w:div>
              </w:divsChild>
            </w:div>
            <w:div w:id="1007370168">
              <w:marLeft w:val="0"/>
              <w:marRight w:val="0"/>
              <w:marTop w:val="300"/>
              <w:marBottom w:val="300"/>
              <w:divBdr>
                <w:top w:val="none" w:sz="0" w:space="0" w:color="auto"/>
                <w:left w:val="none" w:sz="0" w:space="0" w:color="auto"/>
                <w:bottom w:val="none" w:sz="0" w:space="0" w:color="auto"/>
                <w:right w:val="none" w:sz="0" w:space="0" w:color="auto"/>
              </w:divBdr>
            </w:div>
            <w:div w:id="1007370860">
              <w:marLeft w:val="0"/>
              <w:marRight w:val="0"/>
              <w:marTop w:val="0"/>
              <w:marBottom w:val="0"/>
              <w:divBdr>
                <w:top w:val="none" w:sz="0" w:space="0" w:color="auto"/>
                <w:left w:val="none" w:sz="0" w:space="0" w:color="auto"/>
                <w:bottom w:val="none" w:sz="0" w:space="0" w:color="auto"/>
                <w:right w:val="none" w:sz="0" w:space="0" w:color="auto"/>
              </w:divBdr>
              <w:divsChild>
                <w:div w:id="1431853821">
                  <w:marLeft w:val="0"/>
                  <w:marRight w:val="0"/>
                  <w:marTop w:val="0"/>
                  <w:marBottom w:val="0"/>
                  <w:divBdr>
                    <w:top w:val="none" w:sz="0" w:space="0" w:color="auto"/>
                    <w:left w:val="none" w:sz="0" w:space="0" w:color="auto"/>
                    <w:bottom w:val="none" w:sz="0" w:space="0" w:color="auto"/>
                    <w:right w:val="none" w:sz="0" w:space="0" w:color="auto"/>
                  </w:divBdr>
                </w:div>
              </w:divsChild>
            </w:div>
            <w:div w:id="1008211563">
              <w:marLeft w:val="0"/>
              <w:marRight w:val="0"/>
              <w:marTop w:val="0"/>
              <w:marBottom w:val="0"/>
              <w:divBdr>
                <w:top w:val="none" w:sz="0" w:space="0" w:color="auto"/>
                <w:left w:val="none" w:sz="0" w:space="0" w:color="auto"/>
                <w:bottom w:val="none" w:sz="0" w:space="0" w:color="auto"/>
                <w:right w:val="none" w:sz="0" w:space="0" w:color="auto"/>
              </w:divBdr>
              <w:divsChild>
                <w:div w:id="1629622672">
                  <w:marLeft w:val="0"/>
                  <w:marRight w:val="0"/>
                  <w:marTop w:val="0"/>
                  <w:marBottom w:val="0"/>
                  <w:divBdr>
                    <w:top w:val="none" w:sz="0" w:space="0" w:color="auto"/>
                    <w:left w:val="none" w:sz="0" w:space="0" w:color="auto"/>
                    <w:bottom w:val="none" w:sz="0" w:space="0" w:color="auto"/>
                    <w:right w:val="none" w:sz="0" w:space="0" w:color="auto"/>
                  </w:divBdr>
                </w:div>
              </w:divsChild>
            </w:div>
            <w:div w:id="1008286575">
              <w:marLeft w:val="0"/>
              <w:marRight w:val="0"/>
              <w:marTop w:val="300"/>
              <w:marBottom w:val="300"/>
              <w:divBdr>
                <w:top w:val="none" w:sz="0" w:space="0" w:color="auto"/>
                <w:left w:val="none" w:sz="0" w:space="0" w:color="auto"/>
                <w:bottom w:val="none" w:sz="0" w:space="0" w:color="auto"/>
                <w:right w:val="none" w:sz="0" w:space="0" w:color="auto"/>
              </w:divBdr>
            </w:div>
            <w:div w:id="1009327719">
              <w:marLeft w:val="0"/>
              <w:marRight w:val="0"/>
              <w:marTop w:val="0"/>
              <w:marBottom w:val="0"/>
              <w:divBdr>
                <w:top w:val="none" w:sz="0" w:space="0" w:color="auto"/>
                <w:left w:val="none" w:sz="0" w:space="0" w:color="auto"/>
                <w:bottom w:val="none" w:sz="0" w:space="0" w:color="auto"/>
                <w:right w:val="none" w:sz="0" w:space="0" w:color="auto"/>
              </w:divBdr>
              <w:divsChild>
                <w:div w:id="2062361047">
                  <w:marLeft w:val="0"/>
                  <w:marRight w:val="0"/>
                  <w:marTop w:val="0"/>
                  <w:marBottom w:val="0"/>
                  <w:divBdr>
                    <w:top w:val="none" w:sz="0" w:space="0" w:color="auto"/>
                    <w:left w:val="none" w:sz="0" w:space="0" w:color="auto"/>
                    <w:bottom w:val="none" w:sz="0" w:space="0" w:color="auto"/>
                    <w:right w:val="none" w:sz="0" w:space="0" w:color="auto"/>
                  </w:divBdr>
                </w:div>
              </w:divsChild>
            </w:div>
            <w:div w:id="1012030714">
              <w:marLeft w:val="0"/>
              <w:marRight w:val="0"/>
              <w:marTop w:val="300"/>
              <w:marBottom w:val="300"/>
              <w:divBdr>
                <w:top w:val="none" w:sz="0" w:space="0" w:color="auto"/>
                <w:left w:val="none" w:sz="0" w:space="0" w:color="auto"/>
                <w:bottom w:val="none" w:sz="0" w:space="0" w:color="auto"/>
                <w:right w:val="none" w:sz="0" w:space="0" w:color="auto"/>
              </w:divBdr>
            </w:div>
            <w:div w:id="1012420219">
              <w:marLeft w:val="0"/>
              <w:marRight w:val="0"/>
              <w:marTop w:val="0"/>
              <w:marBottom w:val="0"/>
              <w:divBdr>
                <w:top w:val="none" w:sz="0" w:space="0" w:color="auto"/>
                <w:left w:val="none" w:sz="0" w:space="0" w:color="auto"/>
                <w:bottom w:val="none" w:sz="0" w:space="0" w:color="auto"/>
                <w:right w:val="none" w:sz="0" w:space="0" w:color="auto"/>
              </w:divBdr>
              <w:divsChild>
                <w:div w:id="1346517761">
                  <w:marLeft w:val="0"/>
                  <w:marRight w:val="0"/>
                  <w:marTop w:val="0"/>
                  <w:marBottom w:val="0"/>
                  <w:divBdr>
                    <w:top w:val="none" w:sz="0" w:space="0" w:color="auto"/>
                    <w:left w:val="none" w:sz="0" w:space="0" w:color="auto"/>
                    <w:bottom w:val="none" w:sz="0" w:space="0" w:color="auto"/>
                    <w:right w:val="none" w:sz="0" w:space="0" w:color="auto"/>
                  </w:divBdr>
                </w:div>
              </w:divsChild>
            </w:div>
            <w:div w:id="1014113458">
              <w:marLeft w:val="0"/>
              <w:marRight w:val="0"/>
              <w:marTop w:val="300"/>
              <w:marBottom w:val="300"/>
              <w:divBdr>
                <w:top w:val="none" w:sz="0" w:space="0" w:color="auto"/>
                <w:left w:val="none" w:sz="0" w:space="0" w:color="auto"/>
                <w:bottom w:val="none" w:sz="0" w:space="0" w:color="auto"/>
                <w:right w:val="none" w:sz="0" w:space="0" w:color="auto"/>
              </w:divBdr>
            </w:div>
            <w:div w:id="1015764091">
              <w:marLeft w:val="0"/>
              <w:marRight w:val="0"/>
              <w:marTop w:val="0"/>
              <w:marBottom w:val="0"/>
              <w:divBdr>
                <w:top w:val="none" w:sz="0" w:space="0" w:color="auto"/>
                <w:left w:val="none" w:sz="0" w:space="0" w:color="auto"/>
                <w:bottom w:val="none" w:sz="0" w:space="0" w:color="auto"/>
                <w:right w:val="none" w:sz="0" w:space="0" w:color="auto"/>
              </w:divBdr>
              <w:divsChild>
                <w:div w:id="1475759264">
                  <w:marLeft w:val="0"/>
                  <w:marRight w:val="0"/>
                  <w:marTop w:val="0"/>
                  <w:marBottom w:val="0"/>
                  <w:divBdr>
                    <w:top w:val="none" w:sz="0" w:space="0" w:color="auto"/>
                    <w:left w:val="none" w:sz="0" w:space="0" w:color="auto"/>
                    <w:bottom w:val="none" w:sz="0" w:space="0" w:color="auto"/>
                    <w:right w:val="none" w:sz="0" w:space="0" w:color="auto"/>
                  </w:divBdr>
                </w:div>
              </w:divsChild>
            </w:div>
            <w:div w:id="1016157193">
              <w:marLeft w:val="0"/>
              <w:marRight w:val="0"/>
              <w:marTop w:val="0"/>
              <w:marBottom w:val="0"/>
              <w:divBdr>
                <w:top w:val="none" w:sz="0" w:space="0" w:color="auto"/>
                <w:left w:val="none" w:sz="0" w:space="0" w:color="auto"/>
                <w:bottom w:val="none" w:sz="0" w:space="0" w:color="auto"/>
                <w:right w:val="none" w:sz="0" w:space="0" w:color="auto"/>
              </w:divBdr>
              <w:divsChild>
                <w:div w:id="1417945555">
                  <w:marLeft w:val="0"/>
                  <w:marRight w:val="0"/>
                  <w:marTop w:val="0"/>
                  <w:marBottom w:val="0"/>
                  <w:divBdr>
                    <w:top w:val="none" w:sz="0" w:space="0" w:color="auto"/>
                    <w:left w:val="none" w:sz="0" w:space="0" w:color="auto"/>
                    <w:bottom w:val="none" w:sz="0" w:space="0" w:color="auto"/>
                    <w:right w:val="none" w:sz="0" w:space="0" w:color="auto"/>
                  </w:divBdr>
                </w:div>
              </w:divsChild>
            </w:div>
            <w:div w:id="1017275852">
              <w:marLeft w:val="0"/>
              <w:marRight w:val="0"/>
              <w:marTop w:val="0"/>
              <w:marBottom w:val="0"/>
              <w:divBdr>
                <w:top w:val="none" w:sz="0" w:space="0" w:color="auto"/>
                <w:left w:val="none" w:sz="0" w:space="0" w:color="auto"/>
                <w:bottom w:val="none" w:sz="0" w:space="0" w:color="auto"/>
                <w:right w:val="none" w:sz="0" w:space="0" w:color="auto"/>
              </w:divBdr>
              <w:divsChild>
                <w:div w:id="1513109830">
                  <w:marLeft w:val="0"/>
                  <w:marRight w:val="0"/>
                  <w:marTop w:val="0"/>
                  <w:marBottom w:val="0"/>
                  <w:divBdr>
                    <w:top w:val="none" w:sz="0" w:space="0" w:color="auto"/>
                    <w:left w:val="none" w:sz="0" w:space="0" w:color="auto"/>
                    <w:bottom w:val="none" w:sz="0" w:space="0" w:color="auto"/>
                    <w:right w:val="none" w:sz="0" w:space="0" w:color="auto"/>
                  </w:divBdr>
                </w:div>
              </w:divsChild>
            </w:div>
            <w:div w:id="1017730298">
              <w:marLeft w:val="0"/>
              <w:marRight w:val="0"/>
              <w:marTop w:val="300"/>
              <w:marBottom w:val="300"/>
              <w:divBdr>
                <w:top w:val="none" w:sz="0" w:space="0" w:color="auto"/>
                <w:left w:val="none" w:sz="0" w:space="0" w:color="auto"/>
                <w:bottom w:val="none" w:sz="0" w:space="0" w:color="auto"/>
                <w:right w:val="none" w:sz="0" w:space="0" w:color="auto"/>
              </w:divBdr>
            </w:div>
            <w:div w:id="1018123449">
              <w:marLeft w:val="0"/>
              <w:marRight w:val="0"/>
              <w:marTop w:val="0"/>
              <w:marBottom w:val="0"/>
              <w:divBdr>
                <w:top w:val="none" w:sz="0" w:space="0" w:color="auto"/>
                <w:left w:val="none" w:sz="0" w:space="0" w:color="auto"/>
                <w:bottom w:val="none" w:sz="0" w:space="0" w:color="auto"/>
                <w:right w:val="none" w:sz="0" w:space="0" w:color="auto"/>
              </w:divBdr>
              <w:divsChild>
                <w:div w:id="1399551843">
                  <w:marLeft w:val="0"/>
                  <w:marRight w:val="0"/>
                  <w:marTop w:val="0"/>
                  <w:marBottom w:val="0"/>
                  <w:divBdr>
                    <w:top w:val="none" w:sz="0" w:space="0" w:color="auto"/>
                    <w:left w:val="none" w:sz="0" w:space="0" w:color="auto"/>
                    <w:bottom w:val="none" w:sz="0" w:space="0" w:color="auto"/>
                    <w:right w:val="none" w:sz="0" w:space="0" w:color="auto"/>
                  </w:divBdr>
                </w:div>
              </w:divsChild>
            </w:div>
            <w:div w:id="1023870219">
              <w:marLeft w:val="0"/>
              <w:marRight w:val="0"/>
              <w:marTop w:val="300"/>
              <w:marBottom w:val="300"/>
              <w:divBdr>
                <w:top w:val="none" w:sz="0" w:space="0" w:color="auto"/>
                <w:left w:val="none" w:sz="0" w:space="0" w:color="auto"/>
                <w:bottom w:val="none" w:sz="0" w:space="0" w:color="auto"/>
                <w:right w:val="none" w:sz="0" w:space="0" w:color="auto"/>
              </w:divBdr>
            </w:div>
            <w:div w:id="1026517498">
              <w:marLeft w:val="0"/>
              <w:marRight w:val="0"/>
              <w:marTop w:val="300"/>
              <w:marBottom w:val="300"/>
              <w:divBdr>
                <w:top w:val="none" w:sz="0" w:space="0" w:color="auto"/>
                <w:left w:val="none" w:sz="0" w:space="0" w:color="auto"/>
                <w:bottom w:val="none" w:sz="0" w:space="0" w:color="auto"/>
                <w:right w:val="none" w:sz="0" w:space="0" w:color="auto"/>
              </w:divBdr>
            </w:div>
            <w:div w:id="1027483226">
              <w:marLeft w:val="0"/>
              <w:marRight w:val="0"/>
              <w:marTop w:val="0"/>
              <w:marBottom w:val="0"/>
              <w:divBdr>
                <w:top w:val="none" w:sz="0" w:space="0" w:color="auto"/>
                <w:left w:val="none" w:sz="0" w:space="0" w:color="auto"/>
                <w:bottom w:val="none" w:sz="0" w:space="0" w:color="auto"/>
                <w:right w:val="none" w:sz="0" w:space="0" w:color="auto"/>
              </w:divBdr>
              <w:divsChild>
                <w:div w:id="758721460">
                  <w:marLeft w:val="0"/>
                  <w:marRight w:val="0"/>
                  <w:marTop w:val="0"/>
                  <w:marBottom w:val="0"/>
                  <w:divBdr>
                    <w:top w:val="none" w:sz="0" w:space="0" w:color="auto"/>
                    <w:left w:val="none" w:sz="0" w:space="0" w:color="auto"/>
                    <w:bottom w:val="none" w:sz="0" w:space="0" w:color="auto"/>
                    <w:right w:val="none" w:sz="0" w:space="0" w:color="auto"/>
                  </w:divBdr>
                </w:div>
              </w:divsChild>
            </w:div>
            <w:div w:id="1031734012">
              <w:marLeft w:val="0"/>
              <w:marRight w:val="0"/>
              <w:marTop w:val="0"/>
              <w:marBottom w:val="0"/>
              <w:divBdr>
                <w:top w:val="none" w:sz="0" w:space="0" w:color="auto"/>
                <w:left w:val="none" w:sz="0" w:space="0" w:color="auto"/>
                <w:bottom w:val="none" w:sz="0" w:space="0" w:color="auto"/>
                <w:right w:val="none" w:sz="0" w:space="0" w:color="auto"/>
              </w:divBdr>
              <w:divsChild>
                <w:div w:id="296254487">
                  <w:marLeft w:val="0"/>
                  <w:marRight w:val="0"/>
                  <w:marTop w:val="0"/>
                  <w:marBottom w:val="0"/>
                  <w:divBdr>
                    <w:top w:val="none" w:sz="0" w:space="0" w:color="auto"/>
                    <w:left w:val="none" w:sz="0" w:space="0" w:color="auto"/>
                    <w:bottom w:val="none" w:sz="0" w:space="0" w:color="auto"/>
                    <w:right w:val="none" w:sz="0" w:space="0" w:color="auto"/>
                  </w:divBdr>
                </w:div>
              </w:divsChild>
            </w:div>
            <w:div w:id="1032267137">
              <w:marLeft w:val="0"/>
              <w:marRight w:val="0"/>
              <w:marTop w:val="0"/>
              <w:marBottom w:val="0"/>
              <w:divBdr>
                <w:top w:val="none" w:sz="0" w:space="0" w:color="auto"/>
                <w:left w:val="none" w:sz="0" w:space="0" w:color="auto"/>
                <w:bottom w:val="none" w:sz="0" w:space="0" w:color="auto"/>
                <w:right w:val="none" w:sz="0" w:space="0" w:color="auto"/>
              </w:divBdr>
              <w:divsChild>
                <w:div w:id="159395848">
                  <w:marLeft w:val="0"/>
                  <w:marRight w:val="0"/>
                  <w:marTop w:val="0"/>
                  <w:marBottom w:val="0"/>
                  <w:divBdr>
                    <w:top w:val="none" w:sz="0" w:space="0" w:color="auto"/>
                    <w:left w:val="none" w:sz="0" w:space="0" w:color="auto"/>
                    <w:bottom w:val="none" w:sz="0" w:space="0" w:color="auto"/>
                    <w:right w:val="none" w:sz="0" w:space="0" w:color="auto"/>
                  </w:divBdr>
                </w:div>
              </w:divsChild>
            </w:div>
            <w:div w:id="1033270755">
              <w:marLeft w:val="0"/>
              <w:marRight w:val="0"/>
              <w:marTop w:val="0"/>
              <w:marBottom w:val="0"/>
              <w:divBdr>
                <w:top w:val="none" w:sz="0" w:space="0" w:color="auto"/>
                <w:left w:val="none" w:sz="0" w:space="0" w:color="auto"/>
                <w:bottom w:val="none" w:sz="0" w:space="0" w:color="auto"/>
                <w:right w:val="none" w:sz="0" w:space="0" w:color="auto"/>
              </w:divBdr>
              <w:divsChild>
                <w:div w:id="402022542">
                  <w:marLeft w:val="0"/>
                  <w:marRight w:val="0"/>
                  <w:marTop w:val="0"/>
                  <w:marBottom w:val="0"/>
                  <w:divBdr>
                    <w:top w:val="none" w:sz="0" w:space="0" w:color="auto"/>
                    <w:left w:val="none" w:sz="0" w:space="0" w:color="auto"/>
                    <w:bottom w:val="none" w:sz="0" w:space="0" w:color="auto"/>
                    <w:right w:val="none" w:sz="0" w:space="0" w:color="auto"/>
                  </w:divBdr>
                </w:div>
              </w:divsChild>
            </w:div>
            <w:div w:id="1033530609">
              <w:marLeft w:val="0"/>
              <w:marRight w:val="0"/>
              <w:marTop w:val="0"/>
              <w:marBottom w:val="0"/>
              <w:divBdr>
                <w:top w:val="none" w:sz="0" w:space="0" w:color="auto"/>
                <w:left w:val="none" w:sz="0" w:space="0" w:color="auto"/>
                <w:bottom w:val="none" w:sz="0" w:space="0" w:color="auto"/>
                <w:right w:val="none" w:sz="0" w:space="0" w:color="auto"/>
              </w:divBdr>
              <w:divsChild>
                <w:div w:id="1529758346">
                  <w:marLeft w:val="0"/>
                  <w:marRight w:val="0"/>
                  <w:marTop w:val="0"/>
                  <w:marBottom w:val="0"/>
                  <w:divBdr>
                    <w:top w:val="none" w:sz="0" w:space="0" w:color="auto"/>
                    <w:left w:val="none" w:sz="0" w:space="0" w:color="auto"/>
                    <w:bottom w:val="none" w:sz="0" w:space="0" w:color="auto"/>
                    <w:right w:val="none" w:sz="0" w:space="0" w:color="auto"/>
                  </w:divBdr>
                </w:div>
              </w:divsChild>
            </w:div>
            <w:div w:id="1033650788">
              <w:marLeft w:val="0"/>
              <w:marRight w:val="0"/>
              <w:marTop w:val="0"/>
              <w:marBottom w:val="0"/>
              <w:divBdr>
                <w:top w:val="none" w:sz="0" w:space="0" w:color="auto"/>
                <w:left w:val="none" w:sz="0" w:space="0" w:color="auto"/>
                <w:bottom w:val="none" w:sz="0" w:space="0" w:color="auto"/>
                <w:right w:val="none" w:sz="0" w:space="0" w:color="auto"/>
              </w:divBdr>
              <w:divsChild>
                <w:div w:id="1336691906">
                  <w:marLeft w:val="0"/>
                  <w:marRight w:val="0"/>
                  <w:marTop w:val="0"/>
                  <w:marBottom w:val="0"/>
                  <w:divBdr>
                    <w:top w:val="none" w:sz="0" w:space="0" w:color="auto"/>
                    <w:left w:val="none" w:sz="0" w:space="0" w:color="auto"/>
                    <w:bottom w:val="none" w:sz="0" w:space="0" w:color="auto"/>
                    <w:right w:val="none" w:sz="0" w:space="0" w:color="auto"/>
                  </w:divBdr>
                </w:div>
              </w:divsChild>
            </w:div>
            <w:div w:id="1034504926">
              <w:marLeft w:val="0"/>
              <w:marRight w:val="0"/>
              <w:marTop w:val="0"/>
              <w:marBottom w:val="0"/>
              <w:divBdr>
                <w:top w:val="none" w:sz="0" w:space="0" w:color="auto"/>
                <w:left w:val="none" w:sz="0" w:space="0" w:color="auto"/>
                <w:bottom w:val="none" w:sz="0" w:space="0" w:color="auto"/>
                <w:right w:val="none" w:sz="0" w:space="0" w:color="auto"/>
              </w:divBdr>
              <w:divsChild>
                <w:div w:id="139274137">
                  <w:marLeft w:val="0"/>
                  <w:marRight w:val="0"/>
                  <w:marTop w:val="0"/>
                  <w:marBottom w:val="0"/>
                  <w:divBdr>
                    <w:top w:val="none" w:sz="0" w:space="0" w:color="auto"/>
                    <w:left w:val="none" w:sz="0" w:space="0" w:color="auto"/>
                    <w:bottom w:val="none" w:sz="0" w:space="0" w:color="auto"/>
                    <w:right w:val="none" w:sz="0" w:space="0" w:color="auto"/>
                  </w:divBdr>
                </w:div>
              </w:divsChild>
            </w:div>
            <w:div w:id="1035153432">
              <w:marLeft w:val="0"/>
              <w:marRight w:val="0"/>
              <w:marTop w:val="0"/>
              <w:marBottom w:val="0"/>
              <w:divBdr>
                <w:top w:val="none" w:sz="0" w:space="0" w:color="auto"/>
                <w:left w:val="none" w:sz="0" w:space="0" w:color="auto"/>
                <w:bottom w:val="none" w:sz="0" w:space="0" w:color="auto"/>
                <w:right w:val="none" w:sz="0" w:space="0" w:color="auto"/>
              </w:divBdr>
              <w:divsChild>
                <w:div w:id="1047681402">
                  <w:marLeft w:val="0"/>
                  <w:marRight w:val="0"/>
                  <w:marTop w:val="0"/>
                  <w:marBottom w:val="0"/>
                  <w:divBdr>
                    <w:top w:val="none" w:sz="0" w:space="0" w:color="auto"/>
                    <w:left w:val="none" w:sz="0" w:space="0" w:color="auto"/>
                    <w:bottom w:val="none" w:sz="0" w:space="0" w:color="auto"/>
                    <w:right w:val="none" w:sz="0" w:space="0" w:color="auto"/>
                  </w:divBdr>
                </w:div>
              </w:divsChild>
            </w:div>
            <w:div w:id="1036544247">
              <w:marLeft w:val="0"/>
              <w:marRight w:val="0"/>
              <w:marTop w:val="0"/>
              <w:marBottom w:val="0"/>
              <w:divBdr>
                <w:top w:val="none" w:sz="0" w:space="0" w:color="auto"/>
                <w:left w:val="none" w:sz="0" w:space="0" w:color="auto"/>
                <w:bottom w:val="none" w:sz="0" w:space="0" w:color="auto"/>
                <w:right w:val="none" w:sz="0" w:space="0" w:color="auto"/>
              </w:divBdr>
              <w:divsChild>
                <w:div w:id="33778860">
                  <w:marLeft w:val="0"/>
                  <w:marRight w:val="0"/>
                  <w:marTop w:val="0"/>
                  <w:marBottom w:val="0"/>
                  <w:divBdr>
                    <w:top w:val="none" w:sz="0" w:space="0" w:color="auto"/>
                    <w:left w:val="none" w:sz="0" w:space="0" w:color="auto"/>
                    <w:bottom w:val="none" w:sz="0" w:space="0" w:color="auto"/>
                    <w:right w:val="none" w:sz="0" w:space="0" w:color="auto"/>
                  </w:divBdr>
                </w:div>
              </w:divsChild>
            </w:div>
            <w:div w:id="1036659119">
              <w:marLeft w:val="0"/>
              <w:marRight w:val="0"/>
              <w:marTop w:val="0"/>
              <w:marBottom w:val="0"/>
              <w:divBdr>
                <w:top w:val="none" w:sz="0" w:space="0" w:color="auto"/>
                <w:left w:val="none" w:sz="0" w:space="0" w:color="auto"/>
                <w:bottom w:val="none" w:sz="0" w:space="0" w:color="auto"/>
                <w:right w:val="none" w:sz="0" w:space="0" w:color="auto"/>
              </w:divBdr>
              <w:divsChild>
                <w:div w:id="1040663311">
                  <w:marLeft w:val="0"/>
                  <w:marRight w:val="0"/>
                  <w:marTop w:val="0"/>
                  <w:marBottom w:val="0"/>
                  <w:divBdr>
                    <w:top w:val="none" w:sz="0" w:space="0" w:color="auto"/>
                    <w:left w:val="none" w:sz="0" w:space="0" w:color="auto"/>
                    <w:bottom w:val="none" w:sz="0" w:space="0" w:color="auto"/>
                    <w:right w:val="none" w:sz="0" w:space="0" w:color="auto"/>
                  </w:divBdr>
                </w:div>
              </w:divsChild>
            </w:div>
            <w:div w:id="1041242933">
              <w:marLeft w:val="0"/>
              <w:marRight w:val="0"/>
              <w:marTop w:val="300"/>
              <w:marBottom w:val="300"/>
              <w:divBdr>
                <w:top w:val="none" w:sz="0" w:space="0" w:color="auto"/>
                <w:left w:val="none" w:sz="0" w:space="0" w:color="auto"/>
                <w:bottom w:val="none" w:sz="0" w:space="0" w:color="auto"/>
                <w:right w:val="none" w:sz="0" w:space="0" w:color="auto"/>
              </w:divBdr>
            </w:div>
            <w:div w:id="1043022237">
              <w:marLeft w:val="0"/>
              <w:marRight w:val="0"/>
              <w:marTop w:val="300"/>
              <w:marBottom w:val="300"/>
              <w:divBdr>
                <w:top w:val="none" w:sz="0" w:space="0" w:color="auto"/>
                <w:left w:val="none" w:sz="0" w:space="0" w:color="auto"/>
                <w:bottom w:val="none" w:sz="0" w:space="0" w:color="auto"/>
                <w:right w:val="none" w:sz="0" w:space="0" w:color="auto"/>
              </w:divBdr>
            </w:div>
            <w:div w:id="1043599514">
              <w:marLeft w:val="0"/>
              <w:marRight w:val="0"/>
              <w:marTop w:val="300"/>
              <w:marBottom w:val="300"/>
              <w:divBdr>
                <w:top w:val="none" w:sz="0" w:space="0" w:color="auto"/>
                <w:left w:val="none" w:sz="0" w:space="0" w:color="auto"/>
                <w:bottom w:val="none" w:sz="0" w:space="0" w:color="auto"/>
                <w:right w:val="none" w:sz="0" w:space="0" w:color="auto"/>
              </w:divBdr>
            </w:div>
            <w:div w:id="1044401975">
              <w:marLeft w:val="0"/>
              <w:marRight w:val="0"/>
              <w:marTop w:val="300"/>
              <w:marBottom w:val="300"/>
              <w:divBdr>
                <w:top w:val="none" w:sz="0" w:space="0" w:color="auto"/>
                <w:left w:val="none" w:sz="0" w:space="0" w:color="auto"/>
                <w:bottom w:val="none" w:sz="0" w:space="0" w:color="auto"/>
                <w:right w:val="none" w:sz="0" w:space="0" w:color="auto"/>
              </w:divBdr>
            </w:div>
            <w:div w:id="1044477263">
              <w:marLeft w:val="0"/>
              <w:marRight w:val="0"/>
              <w:marTop w:val="0"/>
              <w:marBottom w:val="0"/>
              <w:divBdr>
                <w:top w:val="none" w:sz="0" w:space="0" w:color="auto"/>
                <w:left w:val="none" w:sz="0" w:space="0" w:color="auto"/>
                <w:bottom w:val="none" w:sz="0" w:space="0" w:color="auto"/>
                <w:right w:val="none" w:sz="0" w:space="0" w:color="auto"/>
              </w:divBdr>
              <w:divsChild>
                <w:div w:id="660423753">
                  <w:marLeft w:val="0"/>
                  <w:marRight w:val="0"/>
                  <w:marTop w:val="0"/>
                  <w:marBottom w:val="0"/>
                  <w:divBdr>
                    <w:top w:val="none" w:sz="0" w:space="0" w:color="auto"/>
                    <w:left w:val="none" w:sz="0" w:space="0" w:color="auto"/>
                    <w:bottom w:val="none" w:sz="0" w:space="0" w:color="auto"/>
                    <w:right w:val="none" w:sz="0" w:space="0" w:color="auto"/>
                  </w:divBdr>
                </w:div>
              </w:divsChild>
            </w:div>
            <w:div w:id="1044907327">
              <w:marLeft w:val="0"/>
              <w:marRight w:val="0"/>
              <w:marTop w:val="0"/>
              <w:marBottom w:val="0"/>
              <w:divBdr>
                <w:top w:val="none" w:sz="0" w:space="0" w:color="auto"/>
                <w:left w:val="none" w:sz="0" w:space="0" w:color="auto"/>
                <w:bottom w:val="none" w:sz="0" w:space="0" w:color="auto"/>
                <w:right w:val="none" w:sz="0" w:space="0" w:color="auto"/>
              </w:divBdr>
              <w:divsChild>
                <w:div w:id="42872123">
                  <w:marLeft w:val="0"/>
                  <w:marRight w:val="0"/>
                  <w:marTop w:val="0"/>
                  <w:marBottom w:val="0"/>
                  <w:divBdr>
                    <w:top w:val="none" w:sz="0" w:space="0" w:color="auto"/>
                    <w:left w:val="none" w:sz="0" w:space="0" w:color="auto"/>
                    <w:bottom w:val="none" w:sz="0" w:space="0" w:color="auto"/>
                    <w:right w:val="none" w:sz="0" w:space="0" w:color="auto"/>
                  </w:divBdr>
                </w:div>
              </w:divsChild>
            </w:div>
            <w:div w:id="1045565205">
              <w:marLeft w:val="0"/>
              <w:marRight w:val="0"/>
              <w:marTop w:val="0"/>
              <w:marBottom w:val="0"/>
              <w:divBdr>
                <w:top w:val="none" w:sz="0" w:space="0" w:color="auto"/>
                <w:left w:val="none" w:sz="0" w:space="0" w:color="auto"/>
                <w:bottom w:val="none" w:sz="0" w:space="0" w:color="auto"/>
                <w:right w:val="none" w:sz="0" w:space="0" w:color="auto"/>
              </w:divBdr>
              <w:divsChild>
                <w:div w:id="1659847846">
                  <w:marLeft w:val="0"/>
                  <w:marRight w:val="0"/>
                  <w:marTop w:val="0"/>
                  <w:marBottom w:val="0"/>
                  <w:divBdr>
                    <w:top w:val="none" w:sz="0" w:space="0" w:color="auto"/>
                    <w:left w:val="none" w:sz="0" w:space="0" w:color="auto"/>
                    <w:bottom w:val="none" w:sz="0" w:space="0" w:color="auto"/>
                    <w:right w:val="none" w:sz="0" w:space="0" w:color="auto"/>
                  </w:divBdr>
                </w:div>
              </w:divsChild>
            </w:div>
            <w:div w:id="1048643801">
              <w:marLeft w:val="0"/>
              <w:marRight w:val="0"/>
              <w:marTop w:val="0"/>
              <w:marBottom w:val="0"/>
              <w:divBdr>
                <w:top w:val="none" w:sz="0" w:space="0" w:color="auto"/>
                <w:left w:val="none" w:sz="0" w:space="0" w:color="auto"/>
                <w:bottom w:val="none" w:sz="0" w:space="0" w:color="auto"/>
                <w:right w:val="none" w:sz="0" w:space="0" w:color="auto"/>
              </w:divBdr>
              <w:divsChild>
                <w:div w:id="303004285">
                  <w:marLeft w:val="0"/>
                  <w:marRight w:val="0"/>
                  <w:marTop w:val="0"/>
                  <w:marBottom w:val="0"/>
                  <w:divBdr>
                    <w:top w:val="none" w:sz="0" w:space="0" w:color="auto"/>
                    <w:left w:val="none" w:sz="0" w:space="0" w:color="auto"/>
                    <w:bottom w:val="none" w:sz="0" w:space="0" w:color="auto"/>
                    <w:right w:val="none" w:sz="0" w:space="0" w:color="auto"/>
                  </w:divBdr>
                </w:div>
              </w:divsChild>
            </w:div>
            <w:div w:id="1049038456">
              <w:marLeft w:val="0"/>
              <w:marRight w:val="0"/>
              <w:marTop w:val="300"/>
              <w:marBottom w:val="300"/>
              <w:divBdr>
                <w:top w:val="none" w:sz="0" w:space="0" w:color="auto"/>
                <w:left w:val="none" w:sz="0" w:space="0" w:color="auto"/>
                <w:bottom w:val="none" w:sz="0" w:space="0" w:color="auto"/>
                <w:right w:val="none" w:sz="0" w:space="0" w:color="auto"/>
              </w:divBdr>
            </w:div>
            <w:div w:id="1050110570">
              <w:marLeft w:val="0"/>
              <w:marRight w:val="0"/>
              <w:marTop w:val="0"/>
              <w:marBottom w:val="0"/>
              <w:divBdr>
                <w:top w:val="none" w:sz="0" w:space="0" w:color="auto"/>
                <w:left w:val="none" w:sz="0" w:space="0" w:color="auto"/>
                <w:bottom w:val="none" w:sz="0" w:space="0" w:color="auto"/>
                <w:right w:val="none" w:sz="0" w:space="0" w:color="auto"/>
              </w:divBdr>
              <w:divsChild>
                <w:div w:id="902985511">
                  <w:marLeft w:val="0"/>
                  <w:marRight w:val="0"/>
                  <w:marTop w:val="0"/>
                  <w:marBottom w:val="0"/>
                  <w:divBdr>
                    <w:top w:val="none" w:sz="0" w:space="0" w:color="auto"/>
                    <w:left w:val="none" w:sz="0" w:space="0" w:color="auto"/>
                    <w:bottom w:val="none" w:sz="0" w:space="0" w:color="auto"/>
                    <w:right w:val="none" w:sz="0" w:space="0" w:color="auto"/>
                  </w:divBdr>
                </w:div>
              </w:divsChild>
            </w:div>
            <w:div w:id="1051420139">
              <w:marLeft w:val="0"/>
              <w:marRight w:val="0"/>
              <w:marTop w:val="300"/>
              <w:marBottom w:val="300"/>
              <w:divBdr>
                <w:top w:val="none" w:sz="0" w:space="0" w:color="auto"/>
                <w:left w:val="none" w:sz="0" w:space="0" w:color="auto"/>
                <w:bottom w:val="none" w:sz="0" w:space="0" w:color="auto"/>
                <w:right w:val="none" w:sz="0" w:space="0" w:color="auto"/>
              </w:divBdr>
            </w:div>
            <w:div w:id="1052464034">
              <w:marLeft w:val="0"/>
              <w:marRight w:val="0"/>
              <w:marTop w:val="0"/>
              <w:marBottom w:val="0"/>
              <w:divBdr>
                <w:top w:val="none" w:sz="0" w:space="0" w:color="auto"/>
                <w:left w:val="none" w:sz="0" w:space="0" w:color="auto"/>
                <w:bottom w:val="none" w:sz="0" w:space="0" w:color="auto"/>
                <w:right w:val="none" w:sz="0" w:space="0" w:color="auto"/>
              </w:divBdr>
              <w:divsChild>
                <w:div w:id="1601256197">
                  <w:marLeft w:val="0"/>
                  <w:marRight w:val="0"/>
                  <w:marTop w:val="0"/>
                  <w:marBottom w:val="0"/>
                  <w:divBdr>
                    <w:top w:val="none" w:sz="0" w:space="0" w:color="auto"/>
                    <w:left w:val="none" w:sz="0" w:space="0" w:color="auto"/>
                    <w:bottom w:val="none" w:sz="0" w:space="0" w:color="auto"/>
                    <w:right w:val="none" w:sz="0" w:space="0" w:color="auto"/>
                  </w:divBdr>
                </w:div>
              </w:divsChild>
            </w:div>
            <w:div w:id="1052848174">
              <w:marLeft w:val="0"/>
              <w:marRight w:val="0"/>
              <w:marTop w:val="0"/>
              <w:marBottom w:val="0"/>
              <w:divBdr>
                <w:top w:val="none" w:sz="0" w:space="0" w:color="auto"/>
                <w:left w:val="none" w:sz="0" w:space="0" w:color="auto"/>
                <w:bottom w:val="none" w:sz="0" w:space="0" w:color="auto"/>
                <w:right w:val="none" w:sz="0" w:space="0" w:color="auto"/>
              </w:divBdr>
              <w:divsChild>
                <w:div w:id="973218093">
                  <w:marLeft w:val="0"/>
                  <w:marRight w:val="0"/>
                  <w:marTop w:val="0"/>
                  <w:marBottom w:val="0"/>
                  <w:divBdr>
                    <w:top w:val="none" w:sz="0" w:space="0" w:color="auto"/>
                    <w:left w:val="none" w:sz="0" w:space="0" w:color="auto"/>
                    <w:bottom w:val="none" w:sz="0" w:space="0" w:color="auto"/>
                    <w:right w:val="none" w:sz="0" w:space="0" w:color="auto"/>
                  </w:divBdr>
                </w:div>
              </w:divsChild>
            </w:div>
            <w:div w:id="1053971056">
              <w:marLeft w:val="0"/>
              <w:marRight w:val="0"/>
              <w:marTop w:val="0"/>
              <w:marBottom w:val="0"/>
              <w:divBdr>
                <w:top w:val="none" w:sz="0" w:space="0" w:color="auto"/>
                <w:left w:val="none" w:sz="0" w:space="0" w:color="auto"/>
                <w:bottom w:val="none" w:sz="0" w:space="0" w:color="auto"/>
                <w:right w:val="none" w:sz="0" w:space="0" w:color="auto"/>
              </w:divBdr>
              <w:divsChild>
                <w:div w:id="1335961548">
                  <w:marLeft w:val="0"/>
                  <w:marRight w:val="0"/>
                  <w:marTop w:val="0"/>
                  <w:marBottom w:val="0"/>
                  <w:divBdr>
                    <w:top w:val="none" w:sz="0" w:space="0" w:color="auto"/>
                    <w:left w:val="none" w:sz="0" w:space="0" w:color="auto"/>
                    <w:bottom w:val="none" w:sz="0" w:space="0" w:color="auto"/>
                    <w:right w:val="none" w:sz="0" w:space="0" w:color="auto"/>
                  </w:divBdr>
                </w:div>
              </w:divsChild>
            </w:div>
            <w:div w:id="1054042087">
              <w:marLeft w:val="0"/>
              <w:marRight w:val="0"/>
              <w:marTop w:val="300"/>
              <w:marBottom w:val="300"/>
              <w:divBdr>
                <w:top w:val="none" w:sz="0" w:space="0" w:color="auto"/>
                <w:left w:val="none" w:sz="0" w:space="0" w:color="auto"/>
                <w:bottom w:val="none" w:sz="0" w:space="0" w:color="auto"/>
                <w:right w:val="none" w:sz="0" w:space="0" w:color="auto"/>
              </w:divBdr>
            </w:div>
            <w:div w:id="1054936808">
              <w:marLeft w:val="0"/>
              <w:marRight w:val="0"/>
              <w:marTop w:val="0"/>
              <w:marBottom w:val="0"/>
              <w:divBdr>
                <w:top w:val="none" w:sz="0" w:space="0" w:color="auto"/>
                <w:left w:val="none" w:sz="0" w:space="0" w:color="auto"/>
                <w:bottom w:val="none" w:sz="0" w:space="0" w:color="auto"/>
                <w:right w:val="none" w:sz="0" w:space="0" w:color="auto"/>
              </w:divBdr>
              <w:divsChild>
                <w:div w:id="710882039">
                  <w:marLeft w:val="0"/>
                  <w:marRight w:val="0"/>
                  <w:marTop w:val="0"/>
                  <w:marBottom w:val="0"/>
                  <w:divBdr>
                    <w:top w:val="none" w:sz="0" w:space="0" w:color="auto"/>
                    <w:left w:val="none" w:sz="0" w:space="0" w:color="auto"/>
                    <w:bottom w:val="none" w:sz="0" w:space="0" w:color="auto"/>
                    <w:right w:val="none" w:sz="0" w:space="0" w:color="auto"/>
                  </w:divBdr>
                </w:div>
              </w:divsChild>
            </w:div>
            <w:div w:id="1055543045">
              <w:marLeft w:val="0"/>
              <w:marRight w:val="0"/>
              <w:marTop w:val="300"/>
              <w:marBottom w:val="300"/>
              <w:divBdr>
                <w:top w:val="none" w:sz="0" w:space="0" w:color="auto"/>
                <w:left w:val="none" w:sz="0" w:space="0" w:color="auto"/>
                <w:bottom w:val="none" w:sz="0" w:space="0" w:color="auto"/>
                <w:right w:val="none" w:sz="0" w:space="0" w:color="auto"/>
              </w:divBdr>
            </w:div>
            <w:div w:id="1056078175">
              <w:marLeft w:val="0"/>
              <w:marRight w:val="0"/>
              <w:marTop w:val="0"/>
              <w:marBottom w:val="0"/>
              <w:divBdr>
                <w:top w:val="none" w:sz="0" w:space="0" w:color="auto"/>
                <w:left w:val="none" w:sz="0" w:space="0" w:color="auto"/>
                <w:bottom w:val="none" w:sz="0" w:space="0" w:color="auto"/>
                <w:right w:val="none" w:sz="0" w:space="0" w:color="auto"/>
              </w:divBdr>
              <w:divsChild>
                <w:div w:id="1962153497">
                  <w:marLeft w:val="0"/>
                  <w:marRight w:val="0"/>
                  <w:marTop w:val="0"/>
                  <w:marBottom w:val="0"/>
                  <w:divBdr>
                    <w:top w:val="none" w:sz="0" w:space="0" w:color="auto"/>
                    <w:left w:val="none" w:sz="0" w:space="0" w:color="auto"/>
                    <w:bottom w:val="none" w:sz="0" w:space="0" w:color="auto"/>
                    <w:right w:val="none" w:sz="0" w:space="0" w:color="auto"/>
                  </w:divBdr>
                </w:div>
              </w:divsChild>
            </w:div>
            <w:div w:id="1056511898">
              <w:marLeft w:val="0"/>
              <w:marRight w:val="0"/>
              <w:marTop w:val="0"/>
              <w:marBottom w:val="0"/>
              <w:divBdr>
                <w:top w:val="none" w:sz="0" w:space="0" w:color="auto"/>
                <w:left w:val="none" w:sz="0" w:space="0" w:color="auto"/>
                <w:bottom w:val="none" w:sz="0" w:space="0" w:color="auto"/>
                <w:right w:val="none" w:sz="0" w:space="0" w:color="auto"/>
              </w:divBdr>
              <w:divsChild>
                <w:div w:id="582376256">
                  <w:marLeft w:val="0"/>
                  <w:marRight w:val="0"/>
                  <w:marTop w:val="0"/>
                  <w:marBottom w:val="0"/>
                  <w:divBdr>
                    <w:top w:val="none" w:sz="0" w:space="0" w:color="auto"/>
                    <w:left w:val="none" w:sz="0" w:space="0" w:color="auto"/>
                    <w:bottom w:val="none" w:sz="0" w:space="0" w:color="auto"/>
                    <w:right w:val="none" w:sz="0" w:space="0" w:color="auto"/>
                  </w:divBdr>
                </w:div>
              </w:divsChild>
            </w:div>
            <w:div w:id="1057624465">
              <w:marLeft w:val="0"/>
              <w:marRight w:val="0"/>
              <w:marTop w:val="300"/>
              <w:marBottom w:val="300"/>
              <w:divBdr>
                <w:top w:val="none" w:sz="0" w:space="0" w:color="auto"/>
                <w:left w:val="none" w:sz="0" w:space="0" w:color="auto"/>
                <w:bottom w:val="none" w:sz="0" w:space="0" w:color="auto"/>
                <w:right w:val="none" w:sz="0" w:space="0" w:color="auto"/>
              </w:divBdr>
            </w:div>
            <w:div w:id="1058020218">
              <w:marLeft w:val="0"/>
              <w:marRight w:val="0"/>
              <w:marTop w:val="0"/>
              <w:marBottom w:val="0"/>
              <w:divBdr>
                <w:top w:val="none" w:sz="0" w:space="0" w:color="auto"/>
                <w:left w:val="none" w:sz="0" w:space="0" w:color="auto"/>
                <w:bottom w:val="none" w:sz="0" w:space="0" w:color="auto"/>
                <w:right w:val="none" w:sz="0" w:space="0" w:color="auto"/>
              </w:divBdr>
              <w:divsChild>
                <w:div w:id="714163039">
                  <w:marLeft w:val="0"/>
                  <w:marRight w:val="0"/>
                  <w:marTop w:val="0"/>
                  <w:marBottom w:val="0"/>
                  <w:divBdr>
                    <w:top w:val="none" w:sz="0" w:space="0" w:color="auto"/>
                    <w:left w:val="none" w:sz="0" w:space="0" w:color="auto"/>
                    <w:bottom w:val="none" w:sz="0" w:space="0" w:color="auto"/>
                    <w:right w:val="none" w:sz="0" w:space="0" w:color="auto"/>
                  </w:divBdr>
                </w:div>
              </w:divsChild>
            </w:div>
            <w:div w:id="1059210665">
              <w:marLeft w:val="0"/>
              <w:marRight w:val="0"/>
              <w:marTop w:val="0"/>
              <w:marBottom w:val="0"/>
              <w:divBdr>
                <w:top w:val="none" w:sz="0" w:space="0" w:color="auto"/>
                <w:left w:val="none" w:sz="0" w:space="0" w:color="auto"/>
                <w:bottom w:val="none" w:sz="0" w:space="0" w:color="auto"/>
                <w:right w:val="none" w:sz="0" w:space="0" w:color="auto"/>
              </w:divBdr>
              <w:divsChild>
                <w:div w:id="1139299519">
                  <w:marLeft w:val="0"/>
                  <w:marRight w:val="0"/>
                  <w:marTop w:val="0"/>
                  <w:marBottom w:val="0"/>
                  <w:divBdr>
                    <w:top w:val="none" w:sz="0" w:space="0" w:color="auto"/>
                    <w:left w:val="none" w:sz="0" w:space="0" w:color="auto"/>
                    <w:bottom w:val="none" w:sz="0" w:space="0" w:color="auto"/>
                    <w:right w:val="none" w:sz="0" w:space="0" w:color="auto"/>
                  </w:divBdr>
                </w:div>
              </w:divsChild>
            </w:div>
            <w:div w:id="1061518398">
              <w:marLeft w:val="0"/>
              <w:marRight w:val="0"/>
              <w:marTop w:val="0"/>
              <w:marBottom w:val="0"/>
              <w:divBdr>
                <w:top w:val="none" w:sz="0" w:space="0" w:color="auto"/>
                <w:left w:val="none" w:sz="0" w:space="0" w:color="auto"/>
                <w:bottom w:val="none" w:sz="0" w:space="0" w:color="auto"/>
                <w:right w:val="none" w:sz="0" w:space="0" w:color="auto"/>
              </w:divBdr>
              <w:divsChild>
                <w:div w:id="63650952">
                  <w:marLeft w:val="0"/>
                  <w:marRight w:val="0"/>
                  <w:marTop w:val="0"/>
                  <w:marBottom w:val="0"/>
                  <w:divBdr>
                    <w:top w:val="none" w:sz="0" w:space="0" w:color="auto"/>
                    <w:left w:val="none" w:sz="0" w:space="0" w:color="auto"/>
                    <w:bottom w:val="none" w:sz="0" w:space="0" w:color="auto"/>
                    <w:right w:val="none" w:sz="0" w:space="0" w:color="auto"/>
                  </w:divBdr>
                </w:div>
              </w:divsChild>
            </w:div>
            <w:div w:id="1062369748">
              <w:marLeft w:val="0"/>
              <w:marRight w:val="0"/>
              <w:marTop w:val="300"/>
              <w:marBottom w:val="300"/>
              <w:divBdr>
                <w:top w:val="none" w:sz="0" w:space="0" w:color="auto"/>
                <w:left w:val="none" w:sz="0" w:space="0" w:color="auto"/>
                <w:bottom w:val="none" w:sz="0" w:space="0" w:color="auto"/>
                <w:right w:val="none" w:sz="0" w:space="0" w:color="auto"/>
              </w:divBdr>
            </w:div>
            <w:div w:id="1062414138">
              <w:marLeft w:val="0"/>
              <w:marRight w:val="0"/>
              <w:marTop w:val="300"/>
              <w:marBottom w:val="300"/>
              <w:divBdr>
                <w:top w:val="none" w:sz="0" w:space="0" w:color="auto"/>
                <w:left w:val="none" w:sz="0" w:space="0" w:color="auto"/>
                <w:bottom w:val="none" w:sz="0" w:space="0" w:color="auto"/>
                <w:right w:val="none" w:sz="0" w:space="0" w:color="auto"/>
              </w:divBdr>
            </w:div>
            <w:div w:id="1063483935">
              <w:marLeft w:val="0"/>
              <w:marRight w:val="0"/>
              <w:marTop w:val="0"/>
              <w:marBottom w:val="0"/>
              <w:divBdr>
                <w:top w:val="none" w:sz="0" w:space="0" w:color="auto"/>
                <w:left w:val="none" w:sz="0" w:space="0" w:color="auto"/>
                <w:bottom w:val="none" w:sz="0" w:space="0" w:color="auto"/>
                <w:right w:val="none" w:sz="0" w:space="0" w:color="auto"/>
              </w:divBdr>
              <w:divsChild>
                <w:div w:id="498619213">
                  <w:marLeft w:val="0"/>
                  <w:marRight w:val="0"/>
                  <w:marTop w:val="0"/>
                  <w:marBottom w:val="0"/>
                  <w:divBdr>
                    <w:top w:val="none" w:sz="0" w:space="0" w:color="auto"/>
                    <w:left w:val="none" w:sz="0" w:space="0" w:color="auto"/>
                    <w:bottom w:val="none" w:sz="0" w:space="0" w:color="auto"/>
                    <w:right w:val="none" w:sz="0" w:space="0" w:color="auto"/>
                  </w:divBdr>
                </w:div>
              </w:divsChild>
            </w:div>
            <w:div w:id="1065683376">
              <w:marLeft w:val="0"/>
              <w:marRight w:val="0"/>
              <w:marTop w:val="0"/>
              <w:marBottom w:val="0"/>
              <w:divBdr>
                <w:top w:val="none" w:sz="0" w:space="0" w:color="auto"/>
                <w:left w:val="none" w:sz="0" w:space="0" w:color="auto"/>
                <w:bottom w:val="none" w:sz="0" w:space="0" w:color="auto"/>
                <w:right w:val="none" w:sz="0" w:space="0" w:color="auto"/>
              </w:divBdr>
              <w:divsChild>
                <w:div w:id="1832715506">
                  <w:marLeft w:val="0"/>
                  <w:marRight w:val="0"/>
                  <w:marTop w:val="0"/>
                  <w:marBottom w:val="0"/>
                  <w:divBdr>
                    <w:top w:val="none" w:sz="0" w:space="0" w:color="auto"/>
                    <w:left w:val="none" w:sz="0" w:space="0" w:color="auto"/>
                    <w:bottom w:val="none" w:sz="0" w:space="0" w:color="auto"/>
                    <w:right w:val="none" w:sz="0" w:space="0" w:color="auto"/>
                  </w:divBdr>
                </w:div>
              </w:divsChild>
            </w:div>
            <w:div w:id="1066952563">
              <w:marLeft w:val="0"/>
              <w:marRight w:val="0"/>
              <w:marTop w:val="0"/>
              <w:marBottom w:val="0"/>
              <w:divBdr>
                <w:top w:val="none" w:sz="0" w:space="0" w:color="auto"/>
                <w:left w:val="none" w:sz="0" w:space="0" w:color="auto"/>
                <w:bottom w:val="none" w:sz="0" w:space="0" w:color="auto"/>
                <w:right w:val="none" w:sz="0" w:space="0" w:color="auto"/>
              </w:divBdr>
              <w:divsChild>
                <w:div w:id="11881852">
                  <w:marLeft w:val="0"/>
                  <w:marRight w:val="0"/>
                  <w:marTop w:val="0"/>
                  <w:marBottom w:val="0"/>
                  <w:divBdr>
                    <w:top w:val="none" w:sz="0" w:space="0" w:color="auto"/>
                    <w:left w:val="none" w:sz="0" w:space="0" w:color="auto"/>
                    <w:bottom w:val="none" w:sz="0" w:space="0" w:color="auto"/>
                    <w:right w:val="none" w:sz="0" w:space="0" w:color="auto"/>
                  </w:divBdr>
                </w:div>
              </w:divsChild>
            </w:div>
            <w:div w:id="1068502488">
              <w:marLeft w:val="0"/>
              <w:marRight w:val="0"/>
              <w:marTop w:val="0"/>
              <w:marBottom w:val="0"/>
              <w:divBdr>
                <w:top w:val="none" w:sz="0" w:space="0" w:color="auto"/>
                <w:left w:val="none" w:sz="0" w:space="0" w:color="auto"/>
                <w:bottom w:val="none" w:sz="0" w:space="0" w:color="auto"/>
                <w:right w:val="none" w:sz="0" w:space="0" w:color="auto"/>
              </w:divBdr>
              <w:divsChild>
                <w:div w:id="810052824">
                  <w:marLeft w:val="0"/>
                  <w:marRight w:val="0"/>
                  <w:marTop w:val="0"/>
                  <w:marBottom w:val="0"/>
                  <w:divBdr>
                    <w:top w:val="none" w:sz="0" w:space="0" w:color="auto"/>
                    <w:left w:val="none" w:sz="0" w:space="0" w:color="auto"/>
                    <w:bottom w:val="none" w:sz="0" w:space="0" w:color="auto"/>
                    <w:right w:val="none" w:sz="0" w:space="0" w:color="auto"/>
                  </w:divBdr>
                </w:div>
              </w:divsChild>
            </w:div>
            <w:div w:id="1068724344">
              <w:marLeft w:val="0"/>
              <w:marRight w:val="0"/>
              <w:marTop w:val="0"/>
              <w:marBottom w:val="0"/>
              <w:divBdr>
                <w:top w:val="none" w:sz="0" w:space="0" w:color="auto"/>
                <w:left w:val="none" w:sz="0" w:space="0" w:color="auto"/>
                <w:bottom w:val="none" w:sz="0" w:space="0" w:color="auto"/>
                <w:right w:val="none" w:sz="0" w:space="0" w:color="auto"/>
              </w:divBdr>
              <w:divsChild>
                <w:div w:id="1359233847">
                  <w:marLeft w:val="0"/>
                  <w:marRight w:val="0"/>
                  <w:marTop w:val="0"/>
                  <w:marBottom w:val="0"/>
                  <w:divBdr>
                    <w:top w:val="none" w:sz="0" w:space="0" w:color="auto"/>
                    <w:left w:val="none" w:sz="0" w:space="0" w:color="auto"/>
                    <w:bottom w:val="none" w:sz="0" w:space="0" w:color="auto"/>
                    <w:right w:val="none" w:sz="0" w:space="0" w:color="auto"/>
                  </w:divBdr>
                </w:div>
              </w:divsChild>
            </w:div>
            <w:div w:id="1069034004">
              <w:marLeft w:val="0"/>
              <w:marRight w:val="0"/>
              <w:marTop w:val="300"/>
              <w:marBottom w:val="300"/>
              <w:divBdr>
                <w:top w:val="none" w:sz="0" w:space="0" w:color="auto"/>
                <w:left w:val="none" w:sz="0" w:space="0" w:color="auto"/>
                <w:bottom w:val="none" w:sz="0" w:space="0" w:color="auto"/>
                <w:right w:val="none" w:sz="0" w:space="0" w:color="auto"/>
              </w:divBdr>
            </w:div>
            <w:div w:id="1069618576">
              <w:marLeft w:val="0"/>
              <w:marRight w:val="0"/>
              <w:marTop w:val="0"/>
              <w:marBottom w:val="0"/>
              <w:divBdr>
                <w:top w:val="none" w:sz="0" w:space="0" w:color="auto"/>
                <w:left w:val="none" w:sz="0" w:space="0" w:color="auto"/>
                <w:bottom w:val="none" w:sz="0" w:space="0" w:color="auto"/>
                <w:right w:val="none" w:sz="0" w:space="0" w:color="auto"/>
              </w:divBdr>
              <w:divsChild>
                <w:div w:id="439570479">
                  <w:marLeft w:val="0"/>
                  <w:marRight w:val="0"/>
                  <w:marTop w:val="0"/>
                  <w:marBottom w:val="0"/>
                  <w:divBdr>
                    <w:top w:val="none" w:sz="0" w:space="0" w:color="auto"/>
                    <w:left w:val="none" w:sz="0" w:space="0" w:color="auto"/>
                    <w:bottom w:val="none" w:sz="0" w:space="0" w:color="auto"/>
                    <w:right w:val="none" w:sz="0" w:space="0" w:color="auto"/>
                  </w:divBdr>
                </w:div>
              </w:divsChild>
            </w:div>
            <w:div w:id="1069842068">
              <w:marLeft w:val="0"/>
              <w:marRight w:val="0"/>
              <w:marTop w:val="0"/>
              <w:marBottom w:val="0"/>
              <w:divBdr>
                <w:top w:val="none" w:sz="0" w:space="0" w:color="auto"/>
                <w:left w:val="none" w:sz="0" w:space="0" w:color="auto"/>
                <w:bottom w:val="none" w:sz="0" w:space="0" w:color="auto"/>
                <w:right w:val="none" w:sz="0" w:space="0" w:color="auto"/>
              </w:divBdr>
              <w:divsChild>
                <w:div w:id="2024938179">
                  <w:marLeft w:val="0"/>
                  <w:marRight w:val="0"/>
                  <w:marTop w:val="0"/>
                  <w:marBottom w:val="0"/>
                  <w:divBdr>
                    <w:top w:val="none" w:sz="0" w:space="0" w:color="auto"/>
                    <w:left w:val="none" w:sz="0" w:space="0" w:color="auto"/>
                    <w:bottom w:val="none" w:sz="0" w:space="0" w:color="auto"/>
                    <w:right w:val="none" w:sz="0" w:space="0" w:color="auto"/>
                  </w:divBdr>
                </w:div>
              </w:divsChild>
            </w:div>
            <w:div w:id="1070929996">
              <w:marLeft w:val="0"/>
              <w:marRight w:val="0"/>
              <w:marTop w:val="300"/>
              <w:marBottom w:val="300"/>
              <w:divBdr>
                <w:top w:val="none" w:sz="0" w:space="0" w:color="auto"/>
                <w:left w:val="none" w:sz="0" w:space="0" w:color="auto"/>
                <w:bottom w:val="none" w:sz="0" w:space="0" w:color="auto"/>
                <w:right w:val="none" w:sz="0" w:space="0" w:color="auto"/>
              </w:divBdr>
            </w:div>
            <w:div w:id="1072121189">
              <w:marLeft w:val="0"/>
              <w:marRight w:val="0"/>
              <w:marTop w:val="0"/>
              <w:marBottom w:val="0"/>
              <w:divBdr>
                <w:top w:val="none" w:sz="0" w:space="0" w:color="auto"/>
                <w:left w:val="none" w:sz="0" w:space="0" w:color="auto"/>
                <w:bottom w:val="none" w:sz="0" w:space="0" w:color="auto"/>
                <w:right w:val="none" w:sz="0" w:space="0" w:color="auto"/>
              </w:divBdr>
              <w:divsChild>
                <w:div w:id="1050374994">
                  <w:marLeft w:val="0"/>
                  <w:marRight w:val="0"/>
                  <w:marTop w:val="0"/>
                  <w:marBottom w:val="0"/>
                  <w:divBdr>
                    <w:top w:val="none" w:sz="0" w:space="0" w:color="auto"/>
                    <w:left w:val="none" w:sz="0" w:space="0" w:color="auto"/>
                    <w:bottom w:val="none" w:sz="0" w:space="0" w:color="auto"/>
                    <w:right w:val="none" w:sz="0" w:space="0" w:color="auto"/>
                  </w:divBdr>
                </w:div>
              </w:divsChild>
            </w:div>
            <w:div w:id="1073431609">
              <w:marLeft w:val="0"/>
              <w:marRight w:val="0"/>
              <w:marTop w:val="300"/>
              <w:marBottom w:val="300"/>
              <w:divBdr>
                <w:top w:val="none" w:sz="0" w:space="0" w:color="auto"/>
                <w:left w:val="none" w:sz="0" w:space="0" w:color="auto"/>
                <w:bottom w:val="none" w:sz="0" w:space="0" w:color="auto"/>
                <w:right w:val="none" w:sz="0" w:space="0" w:color="auto"/>
              </w:divBdr>
            </w:div>
            <w:div w:id="1075973701">
              <w:marLeft w:val="0"/>
              <w:marRight w:val="0"/>
              <w:marTop w:val="300"/>
              <w:marBottom w:val="300"/>
              <w:divBdr>
                <w:top w:val="none" w:sz="0" w:space="0" w:color="auto"/>
                <w:left w:val="none" w:sz="0" w:space="0" w:color="auto"/>
                <w:bottom w:val="none" w:sz="0" w:space="0" w:color="auto"/>
                <w:right w:val="none" w:sz="0" w:space="0" w:color="auto"/>
              </w:divBdr>
            </w:div>
            <w:div w:id="1076785756">
              <w:marLeft w:val="0"/>
              <w:marRight w:val="0"/>
              <w:marTop w:val="0"/>
              <w:marBottom w:val="0"/>
              <w:divBdr>
                <w:top w:val="none" w:sz="0" w:space="0" w:color="auto"/>
                <w:left w:val="none" w:sz="0" w:space="0" w:color="auto"/>
                <w:bottom w:val="none" w:sz="0" w:space="0" w:color="auto"/>
                <w:right w:val="none" w:sz="0" w:space="0" w:color="auto"/>
              </w:divBdr>
              <w:divsChild>
                <w:div w:id="1065226957">
                  <w:marLeft w:val="0"/>
                  <w:marRight w:val="0"/>
                  <w:marTop w:val="0"/>
                  <w:marBottom w:val="0"/>
                  <w:divBdr>
                    <w:top w:val="none" w:sz="0" w:space="0" w:color="auto"/>
                    <w:left w:val="none" w:sz="0" w:space="0" w:color="auto"/>
                    <w:bottom w:val="none" w:sz="0" w:space="0" w:color="auto"/>
                    <w:right w:val="none" w:sz="0" w:space="0" w:color="auto"/>
                  </w:divBdr>
                </w:div>
              </w:divsChild>
            </w:div>
            <w:div w:id="1077020148">
              <w:marLeft w:val="0"/>
              <w:marRight w:val="0"/>
              <w:marTop w:val="0"/>
              <w:marBottom w:val="0"/>
              <w:divBdr>
                <w:top w:val="none" w:sz="0" w:space="0" w:color="auto"/>
                <w:left w:val="none" w:sz="0" w:space="0" w:color="auto"/>
                <w:bottom w:val="none" w:sz="0" w:space="0" w:color="auto"/>
                <w:right w:val="none" w:sz="0" w:space="0" w:color="auto"/>
              </w:divBdr>
              <w:divsChild>
                <w:div w:id="1521819108">
                  <w:marLeft w:val="0"/>
                  <w:marRight w:val="0"/>
                  <w:marTop w:val="0"/>
                  <w:marBottom w:val="0"/>
                  <w:divBdr>
                    <w:top w:val="none" w:sz="0" w:space="0" w:color="auto"/>
                    <w:left w:val="none" w:sz="0" w:space="0" w:color="auto"/>
                    <w:bottom w:val="none" w:sz="0" w:space="0" w:color="auto"/>
                    <w:right w:val="none" w:sz="0" w:space="0" w:color="auto"/>
                  </w:divBdr>
                </w:div>
              </w:divsChild>
            </w:div>
            <w:div w:id="1077744285">
              <w:marLeft w:val="0"/>
              <w:marRight w:val="0"/>
              <w:marTop w:val="0"/>
              <w:marBottom w:val="0"/>
              <w:divBdr>
                <w:top w:val="none" w:sz="0" w:space="0" w:color="auto"/>
                <w:left w:val="none" w:sz="0" w:space="0" w:color="auto"/>
                <w:bottom w:val="none" w:sz="0" w:space="0" w:color="auto"/>
                <w:right w:val="none" w:sz="0" w:space="0" w:color="auto"/>
              </w:divBdr>
              <w:divsChild>
                <w:div w:id="300618922">
                  <w:marLeft w:val="0"/>
                  <w:marRight w:val="0"/>
                  <w:marTop w:val="0"/>
                  <w:marBottom w:val="0"/>
                  <w:divBdr>
                    <w:top w:val="none" w:sz="0" w:space="0" w:color="auto"/>
                    <w:left w:val="none" w:sz="0" w:space="0" w:color="auto"/>
                    <w:bottom w:val="none" w:sz="0" w:space="0" w:color="auto"/>
                    <w:right w:val="none" w:sz="0" w:space="0" w:color="auto"/>
                  </w:divBdr>
                </w:div>
              </w:divsChild>
            </w:div>
            <w:div w:id="1078673186">
              <w:marLeft w:val="0"/>
              <w:marRight w:val="0"/>
              <w:marTop w:val="0"/>
              <w:marBottom w:val="0"/>
              <w:divBdr>
                <w:top w:val="none" w:sz="0" w:space="0" w:color="auto"/>
                <w:left w:val="none" w:sz="0" w:space="0" w:color="auto"/>
                <w:bottom w:val="none" w:sz="0" w:space="0" w:color="auto"/>
                <w:right w:val="none" w:sz="0" w:space="0" w:color="auto"/>
              </w:divBdr>
              <w:divsChild>
                <w:div w:id="77943809">
                  <w:marLeft w:val="0"/>
                  <w:marRight w:val="0"/>
                  <w:marTop w:val="0"/>
                  <w:marBottom w:val="0"/>
                  <w:divBdr>
                    <w:top w:val="none" w:sz="0" w:space="0" w:color="auto"/>
                    <w:left w:val="none" w:sz="0" w:space="0" w:color="auto"/>
                    <w:bottom w:val="none" w:sz="0" w:space="0" w:color="auto"/>
                    <w:right w:val="none" w:sz="0" w:space="0" w:color="auto"/>
                  </w:divBdr>
                </w:div>
              </w:divsChild>
            </w:div>
            <w:div w:id="1079256994">
              <w:marLeft w:val="0"/>
              <w:marRight w:val="0"/>
              <w:marTop w:val="0"/>
              <w:marBottom w:val="0"/>
              <w:divBdr>
                <w:top w:val="none" w:sz="0" w:space="0" w:color="auto"/>
                <w:left w:val="none" w:sz="0" w:space="0" w:color="auto"/>
                <w:bottom w:val="none" w:sz="0" w:space="0" w:color="auto"/>
                <w:right w:val="none" w:sz="0" w:space="0" w:color="auto"/>
              </w:divBdr>
              <w:divsChild>
                <w:div w:id="1515653282">
                  <w:marLeft w:val="0"/>
                  <w:marRight w:val="0"/>
                  <w:marTop w:val="0"/>
                  <w:marBottom w:val="0"/>
                  <w:divBdr>
                    <w:top w:val="none" w:sz="0" w:space="0" w:color="auto"/>
                    <w:left w:val="none" w:sz="0" w:space="0" w:color="auto"/>
                    <w:bottom w:val="none" w:sz="0" w:space="0" w:color="auto"/>
                    <w:right w:val="none" w:sz="0" w:space="0" w:color="auto"/>
                  </w:divBdr>
                </w:div>
              </w:divsChild>
            </w:div>
            <w:div w:id="1079981863">
              <w:marLeft w:val="0"/>
              <w:marRight w:val="0"/>
              <w:marTop w:val="0"/>
              <w:marBottom w:val="0"/>
              <w:divBdr>
                <w:top w:val="none" w:sz="0" w:space="0" w:color="auto"/>
                <w:left w:val="none" w:sz="0" w:space="0" w:color="auto"/>
                <w:bottom w:val="none" w:sz="0" w:space="0" w:color="auto"/>
                <w:right w:val="none" w:sz="0" w:space="0" w:color="auto"/>
              </w:divBdr>
              <w:divsChild>
                <w:div w:id="232737839">
                  <w:marLeft w:val="0"/>
                  <w:marRight w:val="0"/>
                  <w:marTop w:val="0"/>
                  <w:marBottom w:val="0"/>
                  <w:divBdr>
                    <w:top w:val="none" w:sz="0" w:space="0" w:color="auto"/>
                    <w:left w:val="none" w:sz="0" w:space="0" w:color="auto"/>
                    <w:bottom w:val="none" w:sz="0" w:space="0" w:color="auto"/>
                    <w:right w:val="none" w:sz="0" w:space="0" w:color="auto"/>
                  </w:divBdr>
                </w:div>
              </w:divsChild>
            </w:div>
            <w:div w:id="1079985887">
              <w:marLeft w:val="0"/>
              <w:marRight w:val="0"/>
              <w:marTop w:val="0"/>
              <w:marBottom w:val="0"/>
              <w:divBdr>
                <w:top w:val="none" w:sz="0" w:space="0" w:color="auto"/>
                <w:left w:val="none" w:sz="0" w:space="0" w:color="auto"/>
                <w:bottom w:val="none" w:sz="0" w:space="0" w:color="auto"/>
                <w:right w:val="none" w:sz="0" w:space="0" w:color="auto"/>
              </w:divBdr>
              <w:divsChild>
                <w:div w:id="1859467870">
                  <w:marLeft w:val="0"/>
                  <w:marRight w:val="0"/>
                  <w:marTop w:val="0"/>
                  <w:marBottom w:val="0"/>
                  <w:divBdr>
                    <w:top w:val="none" w:sz="0" w:space="0" w:color="auto"/>
                    <w:left w:val="none" w:sz="0" w:space="0" w:color="auto"/>
                    <w:bottom w:val="none" w:sz="0" w:space="0" w:color="auto"/>
                    <w:right w:val="none" w:sz="0" w:space="0" w:color="auto"/>
                  </w:divBdr>
                </w:div>
              </w:divsChild>
            </w:div>
            <w:div w:id="1081487987">
              <w:marLeft w:val="0"/>
              <w:marRight w:val="0"/>
              <w:marTop w:val="0"/>
              <w:marBottom w:val="0"/>
              <w:divBdr>
                <w:top w:val="none" w:sz="0" w:space="0" w:color="auto"/>
                <w:left w:val="none" w:sz="0" w:space="0" w:color="auto"/>
                <w:bottom w:val="none" w:sz="0" w:space="0" w:color="auto"/>
                <w:right w:val="none" w:sz="0" w:space="0" w:color="auto"/>
              </w:divBdr>
              <w:divsChild>
                <w:div w:id="1568494136">
                  <w:marLeft w:val="0"/>
                  <w:marRight w:val="0"/>
                  <w:marTop w:val="0"/>
                  <w:marBottom w:val="0"/>
                  <w:divBdr>
                    <w:top w:val="none" w:sz="0" w:space="0" w:color="auto"/>
                    <w:left w:val="none" w:sz="0" w:space="0" w:color="auto"/>
                    <w:bottom w:val="none" w:sz="0" w:space="0" w:color="auto"/>
                    <w:right w:val="none" w:sz="0" w:space="0" w:color="auto"/>
                  </w:divBdr>
                </w:div>
              </w:divsChild>
            </w:div>
            <w:div w:id="1081636683">
              <w:marLeft w:val="0"/>
              <w:marRight w:val="0"/>
              <w:marTop w:val="0"/>
              <w:marBottom w:val="0"/>
              <w:divBdr>
                <w:top w:val="none" w:sz="0" w:space="0" w:color="auto"/>
                <w:left w:val="none" w:sz="0" w:space="0" w:color="auto"/>
                <w:bottom w:val="none" w:sz="0" w:space="0" w:color="auto"/>
                <w:right w:val="none" w:sz="0" w:space="0" w:color="auto"/>
              </w:divBdr>
              <w:divsChild>
                <w:div w:id="1980063979">
                  <w:marLeft w:val="0"/>
                  <w:marRight w:val="0"/>
                  <w:marTop w:val="0"/>
                  <w:marBottom w:val="0"/>
                  <w:divBdr>
                    <w:top w:val="none" w:sz="0" w:space="0" w:color="auto"/>
                    <w:left w:val="none" w:sz="0" w:space="0" w:color="auto"/>
                    <w:bottom w:val="none" w:sz="0" w:space="0" w:color="auto"/>
                    <w:right w:val="none" w:sz="0" w:space="0" w:color="auto"/>
                  </w:divBdr>
                </w:div>
              </w:divsChild>
            </w:div>
            <w:div w:id="1082524490">
              <w:marLeft w:val="0"/>
              <w:marRight w:val="0"/>
              <w:marTop w:val="0"/>
              <w:marBottom w:val="0"/>
              <w:divBdr>
                <w:top w:val="none" w:sz="0" w:space="0" w:color="auto"/>
                <w:left w:val="none" w:sz="0" w:space="0" w:color="auto"/>
                <w:bottom w:val="none" w:sz="0" w:space="0" w:color="auto"/>
                <w:right w:val="none" w:sz="0" w:space="0" w:color="auto"/>
              </w:divBdr>
              <w:divsChild>
                <w:div w:id="1054087939">
                  <w:marLeft w:val="0"/>
                  <w:marRight w:val="0"/>
                  <w:marTop w:val="0"/>
                  <w:marBottom w:val="0"/>
                  <w:divBdr>
                    <w:top w:val="none" w:sz="0" w:space="0" w:color="auto"/>
                    <w:left w:val="none" w:sz="0" w:space="0" w:color="auto"/>
                    <w:bottom w:val="none" w:sz="0" w:space="0" w:color="auto"/>
                    <w:right w:val="none" w:sz="0" w:space="0" w:color="auto"/>
                  </w:divBdr>
                </w:div>
              </w:divsChild>
            </w:div>
            <w:div w:id="1084381625">
              <w:marLeft w:val="0"/>
              <w:marRight w:val="0"/>
              <w:marTop w:val="0"/>
              <w:marBottom w:val="0"/>
              <w:divBdr>
                <w:top w:val="none" w:sz="0" w:space="0" w:color="auto"/>
                <w:left w:val="none" w:sz="0" w:space="0" w:color="auto"/>
                <w:bottom w:val="none" w:sz="0" w:space="0" w:color="auto"/>
                <w:right w:val="none" w:sz="0" w:space="0" w:color="auto"/>
              </w:divBdr>
              <w:divsChild>
                <w:div w:id="1501581619">
                  <w:marLeft w:val="0"/>
                  <w:marRight w:val="0"/>
                  <w:marTop w:val="0"/>
                  <w:marBottom w:val="0"/>
                  <w:divBdr>
                    <w:top w:val="none" w:sz="0" w:space="0" w:color="auto"/>
                    <w:left w:val="none" w:sz="0" w:space="0" w:color="auto"/>
                    <w:bottom w:val="none" w:sz="0" w:space="0" w:color="auto"/>
                    <w:right w:val="none" w:sz="0" w:space="0" w:color="auto"/>
                  </w:divBdr>
                </w:div>
              </w:divsChild>
            </w:div>
            <w:div w:id="1084954521">
              <w:marLeft w:val="0"/>
              <w:marRight w:val="0"/>
              <w:marTop w:val="0"/>
              <w:marBottom w:val="0"/>
              <w:divBdr>
                <w:top w:val="none" w:sz="0" w:space="0" w:color="auto"/>
                <w:left w:val="none" w:sz="0" w:space="0" w:color="auto"/>
                <w:bottom w:val="none" w:sz="0" w:space="0" w:color="auto"/>
                <w:right w:val="none" w:sz="0" w:space="0" w:color="auto"/>
              </w:divBdr>
              <w:divsChild>
                <w:div w:id="2035501410">
                  <w:marLeft w:val="0"/>
                  <w:marRight w:val="0"/>
                  <w:marTop w:val="0"/>
                  <w:marBottom w:val="0"/>
                  <w:divBdr>
                    <w:top w:val="none" w:sz="0" w:space="0" w:color="auto"/>
                    <w:left w:val="none" w:sz="0" w:space="0" w:color="auto"/>
                    <w:bottom w:val="none" w:sz="0" w:space="0" w:color="auto"/>
                    <w:right w:val="none" w:sz="0" w:space="0" w:color="auto"/>
                  </w:divBdr>
                </w:div>
              </w:divsChild>
            </w:div>
            <w:div w:id="1086077019">
              <w:marLeft w:val="0"/>
              <w:marRight w:val="0"/>
              <w:marTop w:val="0"/>
              <w:marBottom w:val="0"/>
              <w:divBdr>
                <w:top w:val="none" w:sz="0" w:space="0" w:color="auto"/>
                <w:left w:val="none" w:sz="0" w:space="0" w:color="auto"/>
                <w:bottom w:val="none" w:sz="0" w:space="0" w:color="auto"/>
                <w:right w:val="none" w:sz="0" w:space="0" w:color="auto"/>
              </w:divBdr>
              <w:divsChild>
                <w:div w:id="893270415">
                  <w:marLeft w:val="0"/>
                  <w:marRight w:val="0"/>
                  <w:marTop w:val="0"/>
                  <w:marBottom w:val="0"/>
                  <w:divBdr>
                    <w:top w:val="none" w:sz="0" w:space="0" w:color="auto"/>
                    <w:left w:val="none" w:sz="0" w:space="0" w:color="auto"/>
                    <w:bottom w:val="none" w:sz="0" w:space="0" w:color="auto"/>
                    <w:right w:val="none" w:sz="0" w:space="0" w:color="auto"/>
                  </w:divBdr>
                </w:div>
              </w:divsChild>
            </w:div>
            <w:div w:id="1086077394">
              <w:marLeft w:val="0"/>
              <w:marRight w:val="0"/>
              <w:marTop w:val="0"/>
              <w:marBottom w:val="0"/>
              <w:divBdr>
                <w:top w:val="none" w:sz="0" w:space="0" w:color="auto"/>
                <w:left w:val="none" w:sz="0" w:space="0" w:color="auto"/>
                <w:bottom w:val="none" w:sz="0" w:space="0" w:color="auto"/>
                <w:right w:val="none" w:sz="0" w:space="0" w:color="auto"/>
              </w:divBdr>
              <w:divsChild>
                <w:div w:id="1614708553">
                  <w:marLeft w:val="0"/>
                  <w:marRight w:val="0"/>
                  <w:marTop w:val="0"/>
                  <w:marBottom w:val="0"/>
                  <w:divBdr>
                    <w:top w:val="none" w:sz="0" w:space="0" w:color="auto"/>
                    <w:left w:val="none" w:sz="0" w:space="0" w:color="auto"/>
                    <w:bottom w:val="none" w:sz="0" w:space="0" w:color="auto"/>
                    <w:right w:val="none" w:sz="0" w:space="0" w:color="auto"/>
                  </w:divBdr>
                </w:div>
              </w:divsChild>
            </w:div>
            <w:div w:id="1087339886">
              <w:marLeft w:val="0"/>
              <w:marRight w:val="0"/>
              <w:marTop w:val="300"/>
              <w:marBottom w:val="300"/>
              <w:divBdr>
                <w:top w:val="none" w:sz="0" w:space="0" w:color="auto"/>
                <w:left w:val="none" w:sz="0" w:space="0" w:color="auto"/>
                <w:bottom w:val="none" w:sz="0" w:space="0" w:color="auto"/>
                <w:right w:val="none" w:sz="0" w:space="0" w:color="auto"/>
              </w:divBdr>
            </w:div>
            <w:div w:id="1089541792">
              <w:marLeft w:val="0"/>
              <w:marRight w:val="0"/>
              <w:marTop w:val="0"/>
              <w:marBottom w:val="0"/>
              <w:divBdr>
                <w:top w:val="none" w:sz="0" w:space="0" w:color="auto"/>
                <w:left w:val="none" w:sz="0" w:space="0" w:color="auto"/>
                <w:bottom w:val="none" w:sz="0" w:space="0" w:color="auto"/>
                <w:right w:val="none" w:sz="0" w:space="0" w:color="auto"/>
              </w:divBdr>
              <w:divsChild>
                <w:div w:id="1350453228">
                  <w:marLeft w:val="0"/>
                  <w:marRight w:val="0"/>
                  <w:marTop w:val="0"/>
                  <w:marBottom w:val="0"/>
                  <w:divBdr>
                    <w:top w:val="none" w:sz="0" w:space="0" w:color="auto"/>
                    <w:left w:val="none" w:sz="0" w:space="0" w:color="auto"/>
                    <w:bottom w:val="none" w:sz="0" w:space="0" w:color="auto"/>
                    <w:right w:val="none" w:sz="0" w:space="0" w:color="auto"/>
                  </w:divBdr>
                </w:div>
              </w:divsChild>
            </w:div>
            <w:div w:id="1092118073">
              <w:marLeft w:val="0"/>
              <w:marRight w:val="0"/>
              <w:marTop w:val="0"/>
              <w:marBottom w:val="0"/>
              <w:divBdr>
                <w:top w:val="none" w:sz="0" w:space="0" w:color="auto"/>
                <w:left w:val="none" w:sz="0" w:space="0" w:color="auto"/>
                <w:bottom w:val="none" w:sz="0" w:space="0" w:color="auto"/>
                <w:right w:val="none" w:sz="0" w:space="0" w:color="auto"/>
              </w:divBdr>
              <w:divsChild>
                <w:div w:id="239101527">
                  <w:marLeft w:val="0"/>
                  <w:marRight w:val="0"/>
                  <w:marTop w:val="0"/>
                  <w:marBottom w:val="0"/>
                  <w:divBdr>
                    <w:top w:val="none" w:sz="0" w:space="0" w:color="auto"/>
                    <w:left w:val="none" w:sz="0" w:space="0" w:color="auto"/>
                    <w:bottom w:val="none" w:sz="0" w:space="0" w:color="auto"/>
                    <w:right w:val="none" w:sz="0" w:space="0" w:color="auto"/>
                  </w:divBdr>
                </w:div>
              </w:divsChild>
            </w:div>
            <w:div w:id="1092124265">
              <w:marLeft w:val="0"/>
              <w:marRight w:val="0"/>
              <w:marTop w:val="0"/>
              <w:marBottom w:val="0"/>
              <w:divBdr>
                <w:top w:val="none" w:sz="0" w:space="0" w:color="auto"/>
                <w:left w:val="none" w:sz="0" w:space="0" w:color="auto"/>
                <w:bottom w:val="none" w:sz="0" w:space="0" w:color="auto"/>
                <w:right w:val="none" w:sz="0" w:space="0" w:color="auto"/>
              </w:divBdr>
              <w:divsChild>
                <w:div w:id="422340987">
                  <w:marLeft w:val="0"/>
                  <w:marRight w:val="0"/>
                  <w:marTop w:val="0"/>
                  <w:marBottom w:val="0"/>
                  <w:divBdr>
                    <w:top w:val="none" w:sz="0" w:space="0" w:color="auto"/>
                    <w:left w:val="none" w:sz="0" w:space="0" w:color="auto"/>
                    <w:bottom w:val="none" w:sz="0" w:space="0" w:color="auto"/>
                    <w:right w:val="none" w:sz="0" w:space="0" w:color="auto"/>
                  </w:divBdr>
                </w:div>
              </w:divsChild>
            </w:div>
            <w:div w:id="1094210111">
              <w:marLeft w:val="0"/>
              <w:marRight w:val="0"/>
              <w:marTop w:val="0"/>
              <w:marBottom w:val="0"/>
              <w:divBdr>
                <w:top w:val="none" w:sz="0" w:space="0" w:color="auto"/>
                <w:left w:val="none" w:sz="0" w:space="0" w:color="auto"/>
                <w:bottom w:val="none" w:sz="0" w:space="0" w:color="auto"/>
                <w:right w:val="none" w:sz="0" w:space="0" w:color="auto"/>
              </w:divBdr>
              <w:divsChild>
                <w:div w:id="1884900075">
                  <w:marLeft w:val="0"/>
                  <w:marRight w:val="0"/>
                  <w:marTop w:val="0"/>
                  <w:marBottom w:val="0"/>
                  <w:divBdr>
                    <w:top w:val="none" w:sz="0" w:space="0" w:color="auto"/>
                    <w:left w:val="none" w:sz="0" w:space="0" w:color="auto"/>
                    <w:bottom w:val="none" w:sz="0" w:space="0" w:color="auto"/>
                    <w:right w:val="none" w:sz="0" w:space="0" w:color="auto"/>
                  </w:divBdr>
                </w:div>
              </w:divsChild>
            </w:div>
            <w:div w:id="1095173375">
              <w:marLeft w:val="0"/>
              <w:marRight w:val="0"/>
              <w:marTop w:val="300"/>
              <w:marBottom w:val="300"/>
              <w:divBdr>
                <w:top w:val="none" w:sz="0" w:space="0" w:color="auto"/>
                <w:left w:val="none" w:sz="0" w:space="0" w:color="auto"/>
                <w:bottom w:val="none" w:sz="0" w:space="0" w:color="auto"/>
                <w:right w:val="none" w:sz="0" w:space="0" w:color="auto"/>
              </w:divBdr>
            </w:div>
            <w:div w:id="1095788663">
              <w:marLeft w:val="0"/>
              <w:marRight w:val="0"/>
              <w:marTop w:val="0"/>
              <w:marBottom w:val="0"/>
              <w:divBdr>
                <w:top w:val="none" w:sz="0" w:space="0" w:color="auto"/>
                <w:left w:val="none" w:sz="0" w:space="0" w:color="auto"/>
                <w:bottom w:val="none" w:sz="0" w:space="0" w:color="auto"/>
                <w:right w:val="none" w:sz="0" w:space="0" w:color="auto"/>
              </w:divBdr>
              <w:divsChild>
                <w:div w:id="539704996">
                  <w:marLeft w:val="0"/>
                  <w:marRight w:val="0"/>
                  <w:marTop w:val="0"/>
                  <w:marBottom w:val="0"/>
                  <w:divBdr>
                    <w:top w:val="none" w:sz="0" w:space="0" w:color="auto"/>
                    <w:left w:val="none" w:sz="0" w:space="0" w:color="auto"/>
                    <w:bottom w:val="none" w:sz="0" w:space="0" w:color="auto"/>
                    <w:right w:val="none" w:sz="0" w:space="0" w:color="auto"/>
                  </w:divBdr>
                </w:div>
              </w:divsChild>
            </w:div>
            <w:div w:id="1096293300">
              <w:marLeft w:val="0"/>
              <w:marRight w:val="0"/>
              <w:marTop w:val="0"/>
              <w:marBottom w:val="0"/>
              <w:divBdr>
                <w:top w:val="none" w:sz="0" w:space="0" w:color="auto"/>
                <w:left w:val="none" w:sz="0" w:space="0" w:color="auto"/>
                <w:bottom w:val="none" w:sz="0" w:space="0" w:color="auto"/>
                <w:right w:val="none" w:sz="0" w:space="0" w:color="auto"/>
              </w:divBdr>
              <w:divsChild>
                <w:div w:id="1107769463">
                  <w:marLeft w:val="0"/>
                  <w:marRight w:val="0"/>
                  <w:marTop w:val="0"/>
                  <w:marBottom w:val="0"/>
                  <w:divBdr>
                    <w:top w:val="none" w:sz="0" w:space="0" w:color="auto"/>
                    <w:left w:val="none" w:sz="0" w:space="0" w:color="auto"/>
                    <w:bottom w:val="none" w:sz="0" w:space="0" w:color="auto"/>
                    <w:right w:val="none" w:sz="0" w:space="0" w:color="auto"/>
                  </w:divBdr>
                </w:div>
              </w:divsChild>
            </w:div>
            <w:div w:id="1097557909">
              <w:marLeft w:val="0"/>
              <w:marRight w:val="0"/>
              <w:marTop w:val="0"/>
              <w:marBottom w:val="0"/>
              <w:divBdr>
                <w:top w:val="none" w:sz="0" w:space="0" w:color="auto"/>
                <w:left w:val="none" w:sz="0" w:space="0" w:color="auto"/>
                <w:bottom w:val="none" w:sz="0" w:space="0" w:color="auto"/>
                <w:right w:val="none" w:sz="0" w:space="0" w:color="auto"/>
              </w:divBdr>
              <w:divsChild>
                <w:div w:id="1585800227">
                  <w:marLeft w:val="0"/>
                  <w:marRight w:val="0"/>
                  <w:marTop w:val="0"/>
                  <w:marBottom w:val="0"/>
                  <w:divBdr>
                    <w:top w:val="none" w:sz="0" w:space="0" w:color="auto"/>
                    <w:left w:val="none" w:sz="0" w:space="0" w:color="auto"/>
                    <w:bottom w:val="none" w:sz="0" w:space="0" w:color="auto"/>
                    <w:right w:val="none" w:sz="0" w:space="0" w:color="auto"/>
                  </w:divBdr>
                </w:div>
              </w:divsChild>
            </w:div>
            <w:div w:id="1098253124">
              <w:marLeft w:val="0"/>
              <w:marRight w:val="0"/>
              <w:marTop w:val="0"/>
              <w:marBottom w:val="0"/>
              <w:divBdr>
                <w:top w:val="none" w:sz="0" w:space="0" w:color="auto"/>
                <w:left w:val="none" w:sz="0" w:space="0" w:color="auto"/>
                <w:bottom w:val="none" w:sz="0" w:space="0" w:color="auto"/>
                <w:right w:val="none" w:sz="0" w:space="0" w:color="auto"/>
              </w:divBdr>
              <w:divsChild>
                <w:div w:id="1515068700">
                  <w:marLeft w:val="0"/>
                  <w:marRight w:val="0"/>
                  <w:marTop w:val="0"/>
                  <w:marBottom w:val="0"/>
                  <w:divBdr>
                    <w:top w:val="none" w:sz="0" w:space="0" w:color="auto"/>
                    <w:left w:val="none" w:sz="0" w:space="0" w:color="auto"/>
                    <w:bottom w:val="none" w:sz="0" w:space="0" w:color="auto"/>
                    <w:right w:val="none" w:sz="0" w:space="0" w:color="auto"/>
                  </w:divBdr>
                </w:div>
              </w:divsChild>
            </w:div>
            <w:div w:id="1099060820">
              <w:marLeft w:val="0"/>
              <w:marRight w:val="0"/>
              <w:marTop w:val="0"/>
              <w:marBottom w:val="0"/>
              <w:divBdr>
                <w:top w:val="none" w:sz="0" w:space="0" w:color="auto"/>
                <w:left w:val="none" w:sz="0" w:space="0" w:color="auto"/>
                <w:bottom w:val="none" w:sz="0" w:space="0" w:color="auto"/>
                <w:right w:val="none" w:sz="0" w:space="0" w:color="auto"/>
              </w:divBdr>
              <w:divsChild>
                <w:div w:id="575360527">
                  <w:marLeft w:val="0"/>
                  <w:marRight w:val="0"/>
                  <w:marTop w:val="0"/>
                  <w:marBottom w:val="0"/>
                  <w:divBdr>
                    <w:top w:val="none" w:sz="0" w:space="0" w:color="auto"/>
                    <w:left w:val="none" w:sz="0" w:space="0" w:color="auto"/>
                    <w:bottom w:val="none" w:sz="0" w:space="0" w:color="auto"/>
                    <w:right w:val="none" w:sz="0" w:space="0" w:color="auto"/>
                  </w:divBdr>
                </w:div>
              </w:divsChild>
            </w:div>
            <w:div w:id="1099250782">
              <w:marLeft w:val="0"/>
              <w:marRight w:val="0"/>
              <w:marTop w:val="0"/>
              <w:marBottom w:val="0"/>
              <w:divBdr>
                <w:top w:val="none" w:sz="0" w:space="0" w:color="auto"/>
                <w:left w:val="none" w:sz="0" w:space="0" w:color="auto"/>
                <w:bottom w:val="none" w:sz="0" w:space="0" w:color="auto"/>
                <w:right w:val="none" w:sz="0" w:space="0" w:color="auto"/>
              </w:divBdr>
              <w:divsChild>
                <w:div w:id="115685899">
                  <w:marLeft w:val="0"/>
                  <w:marRight w:val="0"/>
                  <w:marTop w:val="0"/>
                  <w:marBottom w:val="0"/>
                  <w:divBdr>
                    <w:top w:val="none" w:sz="0" w:space="0" w:color="auto"/>
                    <w:left w:val="none" w:sz="0" w:space="0" w:color="auto"/>
                    <w:bottom w:val="none" w:sz="0" w:space="0" w:color="auto"/>
                    <w:right w:val="none" w:sz="0" w:space="0" w:color="auto"/>
                  </w:divBdr>
                </w:div>
              </w:divsChild>
            </w:div>
            <w:div w:id="1099639786">
              <w:marLeft w:val="0"/>
              <w:marRight w:val="0"/>
              <w:marTop w:val="0"/>
              <w:marBottom w:val="0"/>
              <w:divBdr>
                <w:top w:val="none" w:sz="0" w:space="0" w:color="auto"/>
                <w:left w:val="none" w:sz="0" w:space="0" w:color="auto"/>
                <w:bottom w:val="none" w:sz="0" w:space="0" w:color="auto"/>
                <w:right w:val="none" w:sz="0" w:space="0" w:color="auto"/>
              </w:divBdr>
              <w:divsChild>
                <w:div w:id="1441292944">
                  <w:marLeft w:val="0"/>
                  <w:marRight w:val="0"/>
                  <w:marTop w:val="0"/>
                  <w:marBottom w:val="0"/>
                  <w:divBdr>
                    <w:top w:val="none" w:sz="0" w:space="0" w:color="auto"/>
                    <w:left w:val="none" w:sz="0" w:space="0" w:color="auto"/>
                    <w:bottom w:val="none" w:sz="0" w:space="0" w:color="auto"/>
                    <w:right w:val="none" w:sz="0" w:space="0" w:color="auto"/>
                  </w:divBdr>
                </w:div>
              </w:divsChild>
            </w:div>
            <w:div w:id="1104307150">
              <w:marLeft w:val="0"/>
              <w:marRight w:val="0"/>
              <w:marTop w:val="0"/>
              <w:marBottom w:val="0"/>
              <w:divBdr>
                <w:top w:val="none" w:sz="0" w:space="0" w:color="auto"/>
                <w:left w:val="none" w:sz="0" w:space="0" w:color="auto"/>
                <w:bottom w:val="none" w:sz="0" w:space="0" w:color="auto"/>
                <w:right w:val="none" w:sz="0" w:space="0" w:color="auto"/>
              </w:divBdr>
              <w:divsChild>
                <w:div w:id="1600333481">
                  <w:marLeft w:val="0"/>
                  <w:marRight w:val="0"/>
                  <w:marTop w:val="0"/>
                  <w:marBottom w:val="0"/>
                  <w:divBdr>
                    <w:top w:val="none" w:sz="0" w:space="0" w:color="auto"/>
                    <w:left w:val="none" w:sz="0" w:space="0" w:color="auto"/>
                    <w:bottom w:val="none" w:sz="0" w:space="0" w:color="auto"/>
                    <w:right w:val="none" w:sz="0" w:space="0" w:color="auto"/>
                  </w:divBdr>
                </w:div>
              </w:divsChild>
            </w:div>
            <w:div w:id="1104422522">
              <w:marLeft w:val="0"/>
              <w:marRight w:val="0"/>
              <w:marTop w:val="0"/>
              <w:marBottom w:val="0"/>
              <w:divBdr>
                <w:top w:val="none" w:sz="0" w:space="0" w:color="auto"/>
                <w:left w:val="none" w:sz="0" w:space="0" w:color="auto"/>
                <w:bottom w:val="none" w:sz="0" w:space="0" w:color="auto"/>
                <w:right w:val="none" w:sz="0" w:space="0" w:color="auto"/>
              </w:divBdr>
              <w:divsChild>
                <w:div w:id="2122218850">
                  <w:marLeft w:val="0"/>
                  <w:marRight w:val="0"/>
                  <w:marTop w:val="0"/>
                  <w:marBottom w:val="0"/>
                  <w:divBdr>
                    <w:top w:val="none" w:sz="0" w:space="0" w:color="auto"/>
                    <w:left w:val="none" w:sz="0" w:space="0" w:color="auto"/>
                    <w:bottom w:val="none" w:sz="0" w:space="0" w:color="auto"/>
                    <w:right w:val="none" w:sz="0" w:space="0" w:color="auto"/>
                  </w:divBdr>
                </w:div>
              </w:divsChild>
            </w:div>
            <w:div w:id="1105079124">
              <w:marLeft w:val="0"/>
              <w:marRight w:val="0"/>
              <w:marTop w:val="0"/>
              <w:marBottom w:val="0"/>
              <w:divBdr>
                <w:top w:val="none" w:sz="0" w:space="0" w:color="auto"/>
                <w:left w:val="none" w:sz="0" w:space="0" w:color="auto"/>
                <w:bottom w:val="none" w:sz="0" w:space="0" w:color="auto"/>
                <w:right w:val="none" w:sz="0" w:space="0" w:color="auto"/>
              </w:divBdr>
              <w:divsChild>
                <w:div w:id="697242190">
                  <w:marLeft w:val="0"/>
                  <w:marRight w:val="0"/>
                  <w:marTop w:val="0"/>
                  <w:marBottom w:val="0"/>
                  <w:divBdr>
                    <w:top w:val="none" w:sz="0" w:space="0" w:color="auto"/>
                    <w:left w:val="none" w:sz="0" w:space="0" w:color="auto"/>
                    <w:bottom w:val="none" w:sz="0" w:space="0" w:color="auto"/>
                    <w:right w:val="none" w:sz="0" w:space="0" w:color="auto"/>
                  </w:divBdr>
                </w:div>
              </w:divsChild>
            </w:div>
            <w:div w:id="1105729058">
              <w:marLeft w:val="0"/>
              <w:marRight w:val="0"/>
              <w:marTop w:val="0"/>
              <w:marBottom w:val="0"/>
              <w:divBdr>
                <w:top w:val="none" w:sz="0" w:space="0" w:color="auto"/>
                <w:left w:val="none" w:sz="0" w:space="0" w:color="auto"/>
                <w:bottom w:val="none" w:sz="0" w:space="0" w:color="auto"/>
                <w:right w:val="none" w:sz="0" w:space="0" w:color="auto"/>
              </w:divBdr>
              <w:divsChild>
                <w:div w:id="156845703">
                  <w:marLeft w:val="0"/>
                  <w:marRight w:val="0"/>
                  <w:marTop w:val="0"/>
                  <w:marBottom w:val="0"/>
                  <w:divBdr>
                    <w:top w:val="none" w:sz="0" w:space="0" w:color="auto"/>
                    <w:left w:val="none" w:sz="0" w:space="0" w:color="auto"/>
                    <w:bottom w:val="none" w:sz="0" w:space="0" w:color="auto"/>
                    <w:right w:val="none" w:sz="0" w:space="0" w:color="auto"/>
                  </w:divBdr>
                </w:div>
              </w:divsChild>
            </w:div>
            <w:div w:id="1105924208">
              <w:marLeft w:val="0"/>
              <w:marRight w:val="0"/>
              <w:marTop w:val="0"/>
              <w:marBottom w:val="0"/>
              <w:divBdr>
                <w:top w:val="none" w:sz="0" w:space="0" w:color="auto"/>
                <w:left w:val="none" w:sz="0" w:space="0" w:color="auto"/>
                <w:bottom w:val="none" w:sz="0" w:space="0" w:color="auto"/>
                <w:right w:val="none" w:sz="0" w:space="0" w:color="auto"/>
              </w:divBdr>
              <w:divsChild>
                <w:div w:id="1914578908">
                  <w:marLeft w:val="0"/>
                  <w:marRight w:val="0"/>
                  <w:marTop w:val="0"/>
                  <w:marBottom w:val="0"/>
                  <w:divBdr>
                    <w:top w:val="none" w:sz="0" w:space="0" w:color="auto"/>
                    <w:left w:val="none" w:sz="0" w:space="0" w:color="auto"/>
                    <w:bottom w:val="none" w:sz="0" w:space="0" w:color="auto"/>
                    <w:right w:val="none" w:sz="0" w:space="0" w:color="auto"/>
                  </w:divBdr>
                </w:div>
              </w:divsChild>
            </w:div>
            <w:div w:id="1106001354">
              <w:marLeft w:val="0"/>
              <w:marRight w:val="0"/>
              <w:marTop w:val="0"/>
              <w:marBottom w:val="0"/>
              <w:divBdr>
                <w:top w:val="none" w:sz="0" w:space="0" w:color="auto"/>
                <w:left w:val="none" w:sz="0" w:space="0" w:color="auto"/>
                <w:bottom w:val="none" w:sz="0" w:space="0" w:color="auto"/>
                <w:right w:val="none" w:sz="0" w:space="0" w:color="auto"/>
              </w:divBdr>
              <w:divsChild>
                <w:div w:id="613631319">
                  <w:marLeft w:val="0"/>
                  <w:marRight w:val="0"/>
                  <w:marTop w:val="0"/>
                  <w:marBottom w:val="0"/>
                  <w:divBdr>
                    <w:top w:val="none" w:sz="0" w:space="0" w:color="auto"/>
                    <w:left w:val="none" w:sz="0" w:space="0" w:color="auto"/>
                    <w:bottom w:val="none" w:sz="0" w:space="0" w:color="auto"/>
                    <w:right w:val="none" w:sz="0" w:space="0" w:color="auto"/>
                  </w:divBdr>
                </w:div>
              </w:divsChild>
            </w:div>
            <w:div w:id="1108544208">
              <w:marLeft w:val="0"/>
              <w:marRight w:val="0"/>
              <w:marTop w:val="0"/>
              <w:marBottom w:val="0"/>
              <w:divBdr>
                <w:top w:val="none" w:sz="0" w:space="0" w:color="auto"/>
                <w:left w:val="none" w:sz="0" w:space="0" w:color="auto"/>
                <w:bottom w:val="none" w:sz="0" w:space="0" w:color="auto"/>
                <w:right w:val="none" w:sz="0" w:space="0" w:color="auto"/>
              </w:divBdr>
              <w:divsChild>
                <w:div w:id="2011790226">
                  <w:marLeft w:val="0"/>
                  <w:marRight w:val="0"/>
                  <w:marTop w:val="0"/>
                  <w:marBottom w:val="0"/>
                  <w:divBdr>
                    <w:top w:val="none" w:sz="0" w:space="0" w:color="auto"/>
                    <w:left w:val="none" w:sz="0" w:space="0" w:color="auto"/>
                    <w:bottom w:val="none" w:sz="0" w:space="0" w:color="auto"/>
                    <w:right w:val="none" w:sz="0" w:space="0" w:color="auto"/>
                  </w:divBdr>
                </w:div>
              </w:divsChild>
            </w:div>
            <w:div w:id="1108894065">
              <w:marLeft w:val="0"/>
              <w:marRight w:val="0"/>
              <w:marTop w:val="0"/>
              <w:marBottom w:val="0"/>
              <w:divBdr>
                <w:top w:val="none" w:sz="0" w:space="0" w:color="auto"/>
                <w:left w:val="none" w:sz="0" w:space="0" w:color="auto"/>
                <w:bottom w:val="none" w:sz="0" w:space="0" w:color="auto"/>
                <w:right w:val="none" w:sz="0" w:space="0" w:color="auto"/>
              </w:divBdr>
              <w:divsChild>
                <w:div w:id="734593636">
                  <w:marLeft w:val="0"/>
                  <w:marRight w:val="0"/>
                  <w:marTop w:val="0"/>
                  <w:marBottom w:val="0"/>
                  <w:divBdr>
                    <w:top w:val="none" w:sz="0" w:space="0" w:color="auto"/>
                    <w:left w:val="none" w:sz="0" w:space="0" w:color="auto"/>
                    <w:bottom w:val="none" w:sz="0" w:space="0" w:color="auto"/>
                    <w:right w:val="none" w:sz="0" w:space="0" w:color="auto"/>
                  </w:divBdr>
                </w:div>
              </w:divsChild>
            </w:div>
            <w:div w:id="1111779591">
              <w:marLeft w:val="0"/>
              <w:marRight w:val="0"/>
              <w:marTop w:val="0"/>
              <w:marBottom w:val="0"/>
              <w:divBdr>
                <w:top w:val="none" w:sz="0" w:space="0" w:color="auto"/>
                <w:left w:val="none" w:sz="0" w:space="0" w:color="auto"/>
                <w:bottom w:val="none" w:sz="0" w:space="0" w:color="auto"/>
                <w:right w:val="none" w:sz="0" w:space="0" w:color="auto"/>
              </w:divBdr>
              <w:divsChild>
                <w:div w:id="2053261542">
                  <w:marLeft w:val="0"/>
                  <w:marRight w:val="0"/>
                  <w:marTop w:val="0"/>
                  <w:marBottom w:val="0"/>
                  <w:divBdr>
                    <w:top w:val="none" w:sz="0" w:space="0" w:color="auto"/>
                    <w:left w:val="none" w:sz="0" w:space="0" w:color="auto"/>
                    <w:bottom w:val="none" w:sz="0" w:space="0" w:color="auto"/>
                    <w:right w:val="none" w:sz="0" w:space="0" w:color="auto"/>
                  </w:divBdr>
                </w:div>
              </w:divsChild>
            </w:div>
            <w:div w:id="1113280331">
              <w:marLeft w:val="0"/>
              <w:marRight w:val="0"/>
              <w:marTop w:val="0"/>
              <w:marBottom w:val="0"/>
              <w:divBdr>
                <w:top w:val="none" w:sz="0" w:space="0" w:color="auto"/>
                <w:left w:val="none" w:sz="0" w:space="0" w:color="auto"/>
                <w:bottom w:val="none" w:sz="0" w:space="0" w:color="auto"/>
                <w:right w:val="none" w:sz="0" w:space="0" w:color="auto"/>
              </w:divBdr>
              <w:divsChild>
                <w:div w:id="77288566">
                  <w:marLeft w:val="0"/>
                  <w:marRight w:val="0"/>
                  <w:marTop w:val="0"/>
                  <w:marBottom w:val="0"/>
                  <w:divBdr>
                    <w:top w:val="none" w:sz="0" w:space="0" w:color="auto"/>
                    <w:left w:val="none" w:sz="0" w:space="0" w:color="auto"/>
                    <w:bottom w:val="none" w:sz="0" w:space="0" w:color="auto"/>
                    <w:right w:val="none" w:sz="0" w:space="0" w:color="auto"/>
                  </w:divBdr>
                </w:div>
              </w:divsChild>
            </w:div>
            <w:div w:id="1114399230">
              <w:marLeft w:val="0"/>
              <w:marRight w:val="0"/>
              <w:marTop w:val="300"/>
              <w:marBottom w:val="300"/>
              <w:divBdr>
                <w:top w:val="none" w:sz="0" w:space="0" w:color="auto"/>
                <w:left w:val="none" w:sz="0" w:space="0" w:color="auto"/>
                <w:bottom w:val="none" w:sz="0" w:space="0" w:color="auto"/>
                <w:right w:val="none" w:sz="0" w:space="0" w:color="auto"/>
              </w:divBdr>
            </w:div>
            <w:div w:id="1115438959">
              <w:marLeft w:val="0"/>
              <w:marRight w:val="0"/>
              <w:marTop w:val="0"/>
              <w:marBottom w:val="0"/>
              <w:divBdr>
                <w:top w:val="none" w:sz="0" w:space="0" w:color="auto"/>
                <w:left w:val="none" w:sz="0" w:space="0" w:color="auto"/>
                <w:bottom w:val="none" w:sz="0" w:space="0" w:color="auto"/>
                <w:right w:val="none" w:sz="0" w:space="0" w:color="auto"/>
              </w:divBdr>
              <w:divsChild>
                <w:div w:id="470681288">
                  <w:marLeft w:val="0"/>
                  <w:marRight w:val="0"/>
                  <w:marTop w:val="0"/>
                  <w:marBottom w:val="0"/>
                  <w:divBdr>
                    <w:top w:val="none" w:sz="0" w:space="0" w:color="auto"/>
                    <w:left w:val="none" w:sz="0" w:space="0" w:color="auto"/>
                    <w:bottom w:val="none" w:sz="0" w:space="0" w:color="auto"/>
                    <w:right w:val="none" w:sz="0" w:space="0" w:color="auto"/>
                  </w:divBdr>
                </w:div>
              </w:divsChild>
            </w:div>
            <w:div w:id="1116677848">
              <w:marLeft w:val="0"/>
              <w:marRight w:val="0"/>
              <w:marTop w:val="0"/>
              <w:marBottom w:val="0"/>
              <w:divBdr>
                <w:top w:val="none" w:sz="0" w:space="0" w:color="auto"/>
                <w:left w:val="none" w:sz="0" w:space="0" w:color="auto"/>
                <w:bottom w:val="none" w:sz="0" w:space="0" w:color="auto"/>
                <w:right w:val="none" w:sz="0" w:space="0" w:color="auto"/>
              </w:divBdr>
              <w:divsChild>
                <w:div w:id="1019813722">
                  <w:marLeft w:val="0"/>
                  <w:marRight w:val="0"/>
                  <w:marTop w:val="0"/>
                  <w:marBottom w:val="0"/>
                  <w:divBdr>
                    <w:top w:val="none" w:sz="0" w:space="0" w:color="auto"/>
                    <w:left w:val="none" w:sz="0" w:space="0" w:color="auto"/>
                    <w:bottom w:val="none" w:sz="0" w:space="0" w:color="auto"/>
                    <w:right w:val="none" w:sz="0" w:space="0" w:color="auto"/>
                  </w:divBdr>
                </w:div>
              </w:divsChild>
            </w:div>
            <w:div w:id="1117603327">
              <w:marLeft w:val="0"/>
              <w:marRight w:val="0"/>
              <w:marTop w:val="0"/>
              <w:marBottom w:val="0"/>
              <w:divBdr>
                <w:top w:val="none" w:sz="0" w:space="0" w:color="auto"/>
                <w:left w:val="none" w:sz="0" w:space="0" w:color="auto"/>
                <w:bottom w:val="none" w:sz="0" w:space="0" w:color="auto"/>
                <w:right w:val="none" w:sz="0" w:space="0" w:color="auto"/>
              </w:divBdr>
              <w:divsChild>
                <w:div w:id="1884320504">
                  <w:marLeft w:val="0"/>
                  <w:marRight w:val="0"/>
                  <w:marTop w:val="0"/>
                  <w:marBottom w:val="0"/>
                  <w:divBdr>
                    <w:top w:val="none" w:sz="0" w:space="0" w:color="auto"/>
                    <w:left w:val="none" w:sz="0" w:space="0" w:color="auto"/>
                    <w:bottom w:val="none" w:sz="0" w:space="0" w:color="auto"/>
                    <w:right w:val="none" w:sz="0" w:space="0" w:color="auto"/>
                  </w:divBdr>
                </w:div>
              </w:divsChild>
            </w:div>
            <w:div w:id="1117675415">
              <w:marLeft w:val="0"/>
              <w:marRight w:val="0"/>
              <w:marTop w:val="0"/>
              <w:marBottom w:val="0"/>
              <w:divBdr>
                <w:top w:val="none" w:sz="0" w:space="0" w:color="auto"/>
                <w:left w:val="none" w:sz="0" w:space="0" w:color="auto"/>
                <w:bottom w:val="none" w:sz="0" w:space="0" w:color="auto"/>
                <w:right w:val="none" w:sz="0" w:space="0" w:color="auto"/>
              </w:divBdr>
              <w:divsChild>
                <w:div w:id="1021276473">
                  <w:marLeft w:val="0"/>
                  <w:marRight w:val="0"/>
                  <w:marTop w:val="0"/>
                  <w:marBottom w:val="0"/>
                  <w:divBdr>
                    <w:top w:val="none" w:sz="0" w:space="0" w:color="auto"/>
                    <w:left w:val="none" w:sz="0" w:space="0" w:color="auto"/>
                    <w:bottom w:val="none" w:sz="0" w:space="0" w:color="auto"/>
                    <w:right w:val="none" w:sz="0" w:space="0" w:color="auto"/>
                  </w:divBdr>
                </w:div>
              </w:divsChild>
            </w:div>
            <w:div w:id="1117918177">
              <w:marLeft w:val="0"/>
              <w:marRight w:val="0"/>
              <w:marTop w:val="0"/>
              <w:marBottom w:val="0"/>
              <w:divBdr>
                <w:top w:val="none" w:sz="0" w:space="0" w:color="auto"/>
                <w:left w:val="none" w:sz="0" w:space="0" w:color="auto"/>
                <w:bottom w:val="none" w:sz="0" w:space="0" w:color="auto"/>
                <w:right w:val="none" w:sz="0" w:space="0" w:color="auto"/>
              </w:divBdr>
              <w:divsChild>
                <w:div w:id="647900682">
                  <w:marLeft w:val="0"/>
                  <w:marRight w:val="0"/>
                  <w:marTop w:val="0"/>
                  <w:marBottom w:val="0"/>
                  <w:divBdr>
                    <w:top w:val="none" w:sz="0" w:space="0" w:color="auto"/>
                    <w:left w:val="none" w:sz="0" w:space="0" w:color="auto"/>
                    <w:bottom w:val="none" w:sz="0" w:space="0" w:color="auto"/>
                    <w:right w:val="none" w:sz="0" w:space="0" w:color="auto"/>
                  </w:divBdr>
                </w:div>
              </w:divsChild>
            </w:div>
            <w:div w:id="1118797032">
              <w:marLeft w:val="0"/>
              <w:marRight w:val="0"/>
              <w:marTop w:val="0"/>
              <w:marBottom w:val="0"/>
              <w:divBdr>
                <w:top w:val="none" w:sz="0" w:space="0" w:color="auto"/>
                <w:left w:val="none" w:sz="0" w:space="0" w:color="auto"/>
                <w:bottom w:val="none" w:sz="0" w:space="0" w:color="auto"/>
                <w:right w:val="none" w:sz="0" w:space="0" w:color="auto"/>
              </w:divBdr>
              <w:divsChild>
                <w:div w:id="1433889608">
                  <w:marLeft w:val="0"/>
                  <w:marRight w:val="0"/>
                  <w:marTop w:val="0"/>
                  <w:marBottom w:val="0"/>
                  <w:divBdr>
                    <w:top w:val="none" w:sz="0" w:space="0" w:color="auto"/>
                    <w:left w:val="none" w:sz="0" w:space="0" w:color="auto"/>
                    <w:bottom w:val="none" w:sz="0" w:space="0" w:color="auto"/>
                    <w:right w:val="none" w:sz="0" w:space="0" w:color="auto"/>
                  </w:divBdr>
                </w:div>
              </w:divsChild>
            </w:div>
            <w:div w:id="1119371954">
              <w:marLeft w:val="0"/>
              <w:marRight w:val="0"/>
              <w:marTop w:val="0"/>
              <w:marBottom w:val="0"/>
              <w:divBdr>
                <w:top w:val="none" w:sz="0" w:space="0" w:color="auto"/>
                <w:left w:val="none" w:sz="0" w:space="0" w:color="auto"/>
                <w:bottom w:val="none" w:sz="0" w:space="0" w:color="auto"/>
                <w:right w:val="none" w:sz="0" w:space="0" w:color="auto"/>
              </w:divBdr>
              <w:divsChild>
                <w:div w:id="575432376">
                  <w:marLeft w:val="0"/>
                  <w:marRight w:val="0"/>
                  <w:marTop w:val="0"/>
                  <w:marBottom w:val="0"/>
                  <w:divBdr>
                    <w:top w:val="none" w:sz="0" w:space="0" w:color="auto"/>
                    <w:left w:val="none" w:sz="0" w:space="0" w:color="auto"/>
                    <w:bottom w:val="none" w:sz="0" w:space="0" w:color="auto"/>
                    <w:right w:val="none" w:sz="0" w:space="0" w:color="auto"/>
                  </w:divBdr>
                </w:div>
              </w:divsChild>
            </w:div>
            <w:div w:id="1119570260">
              <w:marLeft w:val="0"/>
              <w:marRight w:val="0"/>
              <w:marTop w:val="0"/>
              <w:marBottom w:val="0"/>
              <w:divBdr>
                <w:top w:val="none" w:sz="0" w:space="0" w:color="auto"/>
                <w:left w:val="none" w:sz="0" w:space="0" w:color="auto"/>
                <w:bottom w:val="none" w:sz="0" w:space="0" w:color="auto"/>
                <w:right w:val="none" w:sz="0" w:space="0" w:color="auto"/>
              </w:divBdr>
              <w:divsChild>
                <w:div w:id="1629238544">
                  <w:marLeft w:val="0"/>
                  <w:marRight w:val="0"/>
                  <w:marTop w:val="0"/>
                  <w:marBottom w:val="0"/>
                  <w:divBdr>
                    <w:top w:val="none" w:sz="0" w:space="0" w:color="auto"/>
                    <w:left w:val="none" w:sz="0" w:space="0" w:color="auto"/>
                    <w:bottom w:val="none" w:sz="0" w:space="0" w:color="auto"/>
                    <w:right w:val="none" w:sz="0" w:space="0" w:color="auto"/>
                  </w:divBdr>
                </w:div>
              </w:divsChild>
            </w:div>
            <w:div w:id="1119685964">
              <w:marLeft w:val="0"/>
              <w:marRight w:val="0"/>
              <w:marTop w:val="0"/>
              <w:marBottom w:val="0"/>
              <w:divBdr>
                <w:top w:val="none" w:sz="0" w:space="0" w:color="auto"/>
                <w:left w:val="none" w:sz="0" w:space="0" w:color="auto"/>
                <w:bottom w:val="none" w:sz="0" w:space="0" w:color="auto"/>
                <w:right w:val="none" w:sz="0" w:space="0" w:color="auto"/>
              </w:divBdr>
              <w:divsChild>
                <w:div w:id="1473716872">
                  <w:marLeft w:val="0"/>
                  <w:marRight w:val="0"/>
                  <w:marTop w:val="0"/>
                  <w:marBottom w:val="0"/>
                  <w:divBdr>
                    <w:top w:val="none" w:sz="0" w:space="0" w:color="auto"/>
                    <w:left w:val="none" w:sz="0" w:space="0" w:color="auto"/>
                    <w:bottom w:val="none" w:sz="0" w:space="0" w:color="auto"/>
                    <w:right w:val="none" w:sz="0" w:space="0" w:color="auto"/>
                  </w:divBdr>
                </w:div>
              </w:divsChild>
            </w:div>
            <w:div w:id="1119690339">
              <w:marLeft w:val="0"/>
              <w:marRight w:val="0"/>
              <w:marTop w:val="0"/>
              <w:marBottom w:val="0"/>
              <w:divBdr>
                <w:top w:val="none" w:sz="0" w:space="0" w:color="auto"/>
                <w:left w:val="none" w:sz="0" w:space="0" w:color="auto"/>
                <w:bottom w:val="none" w:sz="0" w:space="0" w:color="auto"/>
                <w:right w:val="none" w:sz="0" w:space="0" w:color="auto"/>
              </w:divBdr>
              <w:divsChild>
                <w:div w:id="963266593">
                  <w:marLeft w:val="0"/>
                  <w:marRight w:val="0"/>
                  <w:marTop w:val="0"/>
                  <w:marBottom w:val="0"/>
                  <w:divBdr>
                    <w:top w:val="none" w:sz="0" w:space="0" w:color="auto"/>
                    <w:left w:val="none" w:sz="0" w:space="0" w:color="auto"/>
                    <w:bottom w:val="none" w:sz="0" w:space="0" w:color="auto"/>
                    <w:right w:val="none" w:sz="0" w:space="0" w:color="auto"/>
                  </w:divBdr>
                </w:div>
              </w:divsChild>
            </w:div>
            <w:div w:id="1120028892">
              <w:marLeft w:val="0"/>
              <w:marRight w:val="0"/>
              <w:marTop w:val="0"/>
              <w:marBottom w:val="0"/>
              <w:divBdr>
                <w:top w:val="none" w:sz="0" w:space="0" w:color="auto"/>
                <w:left w:val="none" w:sz="0" w:space="0" w:color="auto"/>
                <w:bottom w:val="none" w:sz="0" w:space="0" w:color="auto"/>
                <w:right w:val="none" w:sz="0" w:space="0" w:color="auto"/>
              </w:divBdr>
              <w:divsChild>
                <w:div w:id="829718055">
                  <w:marLeft w:val="0"/>
                  <w:marRight w:val="0"/>
                  <w:marTop w:val="0"/>
                  <w:marBottom w:val="0"/>
                  <w:divBdr>
                    <w:top w:val="none" w:sz="0" w:space="0" w:color="auto"/>
                    <w:left w:val="none" w:sz="0" w:space="0" w:color="auto"/>
                    <w:bottom w:val="none" w:sz="0" w:space="0" w:color="auto"/>
                    <w:right w:val="none" w:sz="0" w:space="0" w:color="auto"/>
                  </w:divBdr>
                </w:div>
              </w:divsChild>
            </w:div>
            <w:div w:id="1121995504">
              <w:marLeft w:val="0"/>
              <w:marRight w:val="0"/>
              <w:marTop w:val="0"/>
              <w:marBottom w:val="0"/>
              <w:divBdr>
                <w:top w:val="none" w:sz="0" w:space="0" w:color="auto"/>
                <w:left w:val="none" w:sz="0" w:space="0" w:color="auto"/>
                <w:bottom w:val="none" w:sz="0" w:space="0" w:color="auto"/>
                <w:right w:val="none" w:sz="0" w:space="0" w:color="auto"/>
              </w:divBdr>
              <w:divsChild>
                <w:div w:id="1078404844">
                  <w:marLeft w:val="0"/>
                  <w:marRight w:val="0"/>
                  <w:marTop w:val="0"/>
                  <w:marBottom w:val="0"/>
                  <w:divBdr>
                    <w:top w:val="none" w:sz="0" w:space="0" w:color="auto"/>
                    <w:left w:val="none" w:sz="0" w:space="0" w:color="auto"/>
                    <w:bottom w:val="none" w:sz="0" w:space="0" w:color="auto"/>
                    <w:right w:val="none" w:sz="0" w:space="0" w:color="auto"/>
                  </w:divBdr>
                </w:div>
              </w:divsChild>
            </w:div>
            <w:div w:id="1122920241">
              <w:marLeft w:val="0"/>
              <w:marRight w:val="0"/>
              <w:marTop w:val="0"/>
              <w:marBottom w:val="0"/>
              <w:divBdr>
                <w:top w:val="none" w:sz="0" w:space="0" w:color="auto"/>
                <w:left w:val="none" w:sz="0" w:space="0" w:color="auto"/>
                <w:bottom w:val="none" w:sz="0" w:space="0" w:color="auto"/>
                <w:right w:val="none" w:sz="0" w:space="0" w:color="auto"/>
              </w:divBdr>
              <w:divsChild>
                <w:div w:id="1604267313">
                  <w:marLeft w:val="0"/>
                  <w:marRight w:val="0"/>
                  <w:marTop w:val="0"/>
                  <w:marBottom w:val="0"/>
                  <w:divBdr>
                    <w:top w:val="none" w:sz="0" w:space="0" w:color="auto"/>
                    <w:left w:val="none" w:sz="0" w:space="0" w:color="auto"/>
                    <w:bottom w:val="none" w:sz="0" w:space="0" w:color="auto"/>
                    <w:right w:val="none" w:sz="0" w:space="0" w:color="auto"/>
                  </w:divBdr>
                </w:div>
              </w:divsChild>
            </w:div>
            <w:div w:id="1123770230">
              <w:marLeft w:val="0"/>
              <w:marRight w:val="0"/>
              <w:marTop w:val="0"/>
              <w:marBottom w:val="0"/>
              <w:divBdr>
                <w:top w:val="none" w:sz="0" w:space="0" w:color="auto"/>
                <w:left w:val="none" w:sz="0" w:space="0" w:color="auto"/>
                <w:bottom w:val="none" w:sz="0" w:space="0" w:color="auto"/>
                <w:right w:val="none" w:sz="0" w:space="0" w:color="auto"/>
              </w:divBdr>
              <w:divsChild>
                <w:div w:id="352541237">
                  <w:marLeft w:val="0"/>
                  <w:marRight w:val="0"/>
                  <w:marTop w:val="0"/>
                  <w:marBottom w:val="0"/>
                  <w:divBdr>
                    <w:top w:val="none" w:sz="0" w:space="0" w:color="auto"/>
                    <w:left w:val="none" w:sz="0" w:space="0" w:color="auto"/>
                    <w:bottom w:val="none" w:sz="0" w:space="0" w:color="auto"/>
                    <w:right w:val="none" w:sz="0" w:space="0" w:color="auto"/>
                  </w:divBdr>
                </w:div>
              </w:divsChild>
            </w:div>
            <w:div w:id="1124427987">
              <w:marLeft w:val="0"/>
              <w:marRight w:val="0"/>
              <w:marTop w:val="0"/>
              <w:marBottom w:val="0"/>
              <w:divBdr>
                <w:top w:val="none" w:sz="0" w:space="0" w:color="auto"/>
                <w:left w:val="none" w:sz="0" w:space="0" w:color="auto"/>
                <w:bottom w:val="none" w:sz="0" w:space="0" w:color="auto"/>
                <w:right w:val="none" w:sz="0" w:space="0" w:color="auto"/>
              </w:divBdr>
              <w:divsChild>
                <w:div w:id="1928611306">
                  <w:marLeft w:val="0"/>
                  <w:marRight w:val="0"/>
                  <w:marTop w:val="0"/>
                  <w:marBottom w:val="0"/>
                  <w:divBdr>
                    <w:top w:val="none" w:sz="0" w:space="0" w:color="auto"/>
                    <w:left w:val="none" w:sz="0" w:space="0" w:color="auto"/>
                    <w:bottom w:val="none" w:sz="0" w:space="0" w:color="auto"/>
                    <w:right w:val="none" w:sz="0" w:space="0" w:color="auto"/>
                  </w:divBdr>
                </w:div>
              </w:divsChild>
            </w:div>
            <w:div w:id="1124731655">
              <w:marLeft w:val="0"/>
              <w:marRight w:val="0"/>
              <w:marTop w:val="300"/>
              <w:marBottom w:val="300"/>
              <w:divBdr>
                <w:top w:val="none" w:sz="0" w:space="0" w:color="auto"/>
                <w:left w:val="none" w:sz="0" w:space="0" w:color="auto"/>
                <w:bottom w:val="none" w:sz="0" w:space="0" w:color="auto"/>
                <w:right w:val="none" w:sz="0" w:space="0" w:color="auto"/>
              </w:divBdr>
            </w:div>
            <w:div w:id="1125661491">
              <w:marLeft w:val="0"/>
              <w:marRight w:val="0"/>
              <w:marTop w:val="0"/>
              <w:marBottom w:val="0"/>
              <w:divBdr>
                <w:top w:val="none" w:sz="0" w:space="0" w:color="auto"/>
                <w:left w:val="none" w:sz="0" w:space="0" w:color="auto"/>
                <w:bottom w:val="none" w:sz="0" w:space="0" w:color="auto"/>
                <w:right w:val="none" w:sz="0" w:space="0" w:color="auto"/>
              </w:divBdr>
              <w:divsChild>
                <w:div w:id="1447845806">
                  <w:marLeft w:val="0"/>
                  <w:marRight w:val="0"/>
                  <w:marTop w:val="0"/>
                  <w:marBottom w:val="0"/>
                  <w:divBdr>
                    <w:top w:val="none" w:sz="0" w:space="0" w:color="auto"/>
                    <w:left w:val="none" w:sz="0" w:space="0" w:color="auto"/>
                    <w:bottom w:val="none" w:sz="0" w:space="0" w:color="auto"/>
                    <w:right w:val="none" w:sz="0" w:space="0" w:color="auto"/>
                  </w:divBdr>
                </w:div>
              </w:divsChild>
            </w:div>
            <w:div w:id="1125779950">
              <w:marLeft w:val="0"/>
              <w:marRight w:val="0"/>
              <w:marTop w:val="0"/>
              <w:marBottom w:val="0"/>
              <w:divBdr>
                <w:top w:val="none" w:sz="0" w:space="0" w:color="auto"/>
                <w:left w:val="none" w:sz="0" w:space="0" w:color="auto"/>
                <w:bottom w:val="none" w:sz="0" w:space="0" w:color="auto"/>
                <w:right w:val="none" w:sz="0" w:space="0" w:color="auto"/>
              </w:divBdr>
              <w:divsChild>
                <w:div w:id="1267928760">
                  <w:marLeft w:val="0"/>
                  <w:marRight w:val="0"/>
                  <w:marTop w:val="0"/>
                  <w:marBottom w:val="0"/>
                  <w:divBdr>
                    <w:top w:val="none" w:sz="0" w:space="0" w:color="auto"/>
                    <w:left w:val="none" w:sz="0" w:space="0" w:color="auto"/>
                    <w:bottom w:val="none" w:sz="0" w:space="0" w:color="auto"/>
                    <w:right w:val="none" w:sz="0" w:space="0" w:color="auto"/>
                  </w:divBdr>
                </w:div>
              </w:divsChild>
            </w:div>
            <w:div w:id="1126195328">
              <w:marLeft w:val="0"/>
              <w:marRight w:val="0"/>
              <w:marTop w:val="0"/>
              <w:marBottom w:val="0"/>
              <w:divBdr>
                <w:top w:val="none" w:sz="0" w:space="0" w:color="auto"/>
                <w:left w:val="none" w:sz="0" w:space="0" w:color="auto"/>
                <w:bottom w:val="none" w:sz="0" w:space="0" w:color="auto"/>
                <w:right w:val="none" w:sz="0" w:space="0" w:color="auto"/>
              </w:divBdr>
              <w:divsChild>
                <w:div w:id="1041710326">
                  <w:marLeft w:val="0"/>
                  <w:marRight w:val="0"/>
                  <w:marTop w:val="0"/>
                  <w:marBottom w:val="0"/>
                  <w:divBdr>
                    <w:top w:val="none" w:sz="0" w:space="0" w:color="auto"/>
                    <w:left w:val="none" w:sz="0" w:space="0" w:color="auto"/>
                    <w:bottom w:val="none" w:sz="0" w:space="0" w:color="auto"/>
                    <w:right w:val="none" w:sz="0" w:space="0" w:color="auto"/>
                  </w:divBdr>
                </w:div>
              </w:divsChild>
            </w:div>
            <w:div w:id="1128889725">
              <w:marLeft w:val="0"/>
              <w:marRight w:val="0"/>
              <w:marTop w:val="0"/>
              <w:marBottom w:val="0"/>
              <w:divBdr>
                <w:top w:val="none" w:sz="0" w:space="0" w:color="auto"/>
                <w:left w:val="none" w:sz="0" w:space="0" w:color="auto"/>
                <w:bottom w:val="none" w:sz="0" w:space="0" w:color="auto"/>
                <w:right w:val="none" w:sz="0" w:space="0" w:color="auto"/>
              </w:divBdr>
              <w:divsChild>
                <w:div w:id="716121492">
                  <w:marLeft w:val="0"/>
                  <w:marRight w:val="0"/>
                  <w:marTop w:val="0"/>
                  <w:marBottom w:val="0"/>
                  <w:divBdr>
                    <w:top w:val="none" w:sz="0" w:space="0" w:color="auto"/>
                    <w:left w:val="none" w:sz="0" w:space="0" w:color="auto"/>
                    <w:bottom w:val="none" w:sz="0" w:space="0" w:color="auto"/>
                    <w:right w:val="none" w:sz="0" w:space="0" w:color="auto"/>
                  </w:divBdr>
                </w:div>
              </w:divsChild>
            </w:div>
            <w:div w:id="1129058273">
              <w:marLeft w:val="0"/>
              <w:marRight w:val="0"/>
              <w:marTop w:val="0"/>
              <w:marBottom w:val="0"/>
              <w:divBdr>
                <w:top w:val="none" w:sz="0" w:space="0" w:color="auto"/>
                <w:left w:val="none" w:sz="0" w:space="0" w:color="auto"/>
                <w:bottom w:val="none" w:sz="0" w:space="0" w:color="auto"/>
                <w:right w:val="none" w:sz="0" w:space="0" w:color="auto"/>
              </w:divBdr>
              <w:divsChild>
                <w:div w:id="1709841191">
                  <w:marLeft w:val="0"/>
                  <w:marRight w:val="0"/>
                  <w:marTop w:val="0"/>
                  <w:marBottom w:val="0"/>
                  <w:divBdr>
                    <w:top w:val="none" w:sz="0" w:space="0" w:color="auto"/>
                    <w:left w:val="none" w:sz="0" w:space="0" w:color="auto"/>
                    <w:bottom w:val="none" w:sz="0" w:space="0" w:color="auto"/>
                    <w:right w:val="none" w:sz="0" w:space="0" w:color="auto"/>
                  </w:divBdr>
                </w:div>
              </w:divsChild>
            </w:div>
            <w:div w:id="1129083158">
              <w:marLeft w:val="0"/>
              <w:marRight w:val="0"/>
              <w:marTop w:val="0"/>
              <w:marBottom w:val="0"/>
              <w:divBdr>
                <w:top w:val="none" w:sz="0" w:space="0" w:color="auto"/>
                <w:left w:val="none" w:sz="0" w:space="0" w:color="auto"/>
                <w:bottom w:val="none" w:sz="0" w:space="0" w:color="auto"/>
                <w:right w:val="none" w:sz="0" w:space="0" w:color="auto"/>
              </w:divBdr>
              <w:divsChild>
                <w:div w:id="1395081599">
                  <w:marLeft w:val="0"/>
                  <w:marRight w:val="0"/>
                  <w:marTop w:val="0"/>
                  <w:marBottom w:val="0"/>
                  <w:divBdr>
                    <w:top w:val="none" w:sz="0" w:space="0" w:color="auto"/>
                    <w:left w:val="none" w:sz="0" w:space="0" w:color="auto"/>
                    <w:bottom w:val="none" w:sz="0" w:space="0" w:color="auto"/>
                    <w:right w:val="none" w:sz="0" w:space="0" w:color="auto"/>
                  </w:divBdr>
                </w:div>
              </w:divsChild>
            </w:div>
            <w:div w:id="1129279763">
              <w:marLeft w:val="0"/>
              <w:marRight w:val="0"/>
              <w:marTop w:val="0"/>
              <w:marBottom w:val="0"/>
              <w:divBdr>
                <w:top w:val="none" w:sz="0" w:space="0" w:color="auto"/>
                <w:left w:val="none" w:sz="0" w:space="0" w:color="auto"/>
                <w:bottom w:val="none" w:sz="0" w:space="0" w:color="auto"/>
                <w:right w:val="none" w:sz="0" w:space="0" w:color="auto"/>
              </w:divBdr>
              <w:divsChild>
                <w:div w:id="374542852">
                  <w:marLeft w:val="0"/>
                  <w:marRight w:val="0"/>
                  <w:marTop w:val="0"/>
                  <w:marBottom w:val="0"/>
                  <w:divBdr>
                    <w:top w:val="none" w:sz="0" w:space="0" w:color="auto"/>
                    <w:left w:val="none" w:sz="0" w:space="0" w:color="auto"/>
                    <w:bottom w:val="none" w:sz="0" w:space="0" w:color="auto"/>
                    <w:right w:val="none" w:sz="0" w:space="0" w:color="auto"/>
                  </w:divBdr>
                </w:div>
              </w:divsChild>
            </w:div>
            <w:div w:id="1131435254">
              <w:marLeft w:val="0"/>
              <w:marRight w:val="0"/>
              <w:marTop w:val="0"/>
              <w:marBottom w:val="0"/>
              <w:divBdr>
                <w:top w:val="none" w:sz="0" w:space="0" w:color="auto"/>
                <w:left w:val="none" w:sz="0" w:space="0" w:color="auto"/>
                <w:bottom w:val="none" w:sz="0" w:space="0" w:color="auto"/>
                <w:right w:val="none" w:sz="0" w:space="0" w:color="auto"/>
              </w:divBdr>
              <w:divsChild>
                <w:div w:id="930625071">
                  <w:marLeft w:val="0"/>
                  <w:marRight w:val="0"/>
                  <w:marTop w:val="0"/>
                  <w:marBottom w:val="0"/>
                  <w:divBdr>
                    <w:top w:val="none" w:sz="0" w:space="0" w:color="auto"/>
                    <w:left w:val="none" w:sz="0" w:space="0" w:color="auto"/>
                    <w:bottom w:val="none" w:sz="0" w:space="0" w:color="auto"/>
                    <w:right w:val="none" w:sz="0" w:space="0" w:color="auto"/>
                  </w:divBdr>
                </w:div>
              </w:divsChild>
            </w:div>
            <w:div w:id="1132867271">
              <w:marLeft w:val="0"/>
              <w:marRight w:val="0"/>
              <w:marTop w:val="0"/>
              <w:marBottom w:val="0"/>
              <w:divBdr>
                <w:top w:val="none" w:sz="0" w:space="0" w:color="auto"/>
                <w:left w:val="none" w:sz="0" w:space="0" w:color="auto"/>
                <w:bottom w:val="none" w:sz="0" w:space="0" w:color="auto"/>
                <w:right w:val="none" w:sz="0" w:space="0" w:color="auto"/>
              </w:divBdr>
              <w:divsChild>
                <w:div w:id="483087538">
                  <w:marLeft w:val="0"/>
                  <w:marRight w:val="0"/>
                  <w:marTop w:val="0"/>
                  <w:marBottom w:val="0"/>
                  <w:divBdr>
                    <w:top w:val="none" w:sz="0" w:space="0" w:color="auto"/>
                    <w:left w:val="none" w:sz="0" w:space="0" w:color="auto"/>
                    <w:bottom w:val="none" w:sz="0" w:space="0" w:color="auto"/>
                    <w:right w:val="none" w:sz="0" w:space="0" w:color="auto"/>
                  </w:divBdr>
                </w:div>
              </w:divsChild>
            </w:div>
            <w:div w:id="1133014820">
              <w:marLeft w:val="0"/>
              <w:marRight w:val="0"/>
              <w:marTop w:val="0"/>
              <w:marBottom w:val="0"/>
              <w:divBdr>
                <w:top w:val="none" w:sz="0" w:space="0" w:color="auto"/>
                <w:left w:val="none" w:sz="0" w:space="0" w:color="auto"/>
                <w:bottom w:val="none" w:sz="0" w:space="0" w:color="auto"/>
                <w:right w:val="none" w:sz="0" w:space="0" w:color="auto"/>
              </w:divBdr>
              <w:divsChild>
                <w:div w:id="1193491131">
                  <w:marLeft w:val="0"/>
                  <w:marRight w:val="0"/>
                  <w:marTop w:val="0"/>
                  <w:marBottom w:val="0"/>
                  <w:divBdr>
                    <w:top w:val="none" w:sz="0" w:space="0" w:color="auto"/>
                    <w:left w:val="none" w:sz="0" w:space="0" w:color="auto"/>
                    <w:bottom w:val="none" w:sz="0" w:space="0" w:color="auto"/>
                    <w:right w:val="none" w:sz="0" w:space="0" w:color="auto"/>
                  </w:divBdr>
                </w:div>
              </w:divsChild>
            </w:div>
            <w:div w:id="1134179608">
              <w:marLeft w:val="0"/>
              <w:marRight w:val="0"/>
              <w:marTop w:val="0"/>
              <w:marBottom w:val="0"/>
              <w:divBdr>
                <w:top w:val="none" w:sz="0" w:space="0" w:color="auto"/>
                <w:left w:val="none" w:sz="0" w:space="0" w:color="auto"/>
                <w:bottom w:val="none" w:sz="0" w:space="0" w:color="auto"/>
                <w:right w:val="none" w:sz="0" w:space="0" w:color="auto"/>
              </w:divBdr>
              <w:divsChild>
                <w:div w:id="163976769">
                  <w:marLeft w:val="0"/>
                  <w:marRight w:val="0"/>
                  <w:marTop w:val="0"/>
                  <w:marBottom w:val="0"/>
                  <w:divBdr>
                    <w:top w:val="none" w:sz="0" w:space="0" w:color="auto"/>
                    <w:left w:val="none" w:sz="0" w:space="0" w:color="auto"/>
                    <w:bottom w:val="none" w:sz="0" w:space="0" w:color="auto"/>
                    <w:right w:val="none" w:sz="0" w:space="0" w:color="auto"/>
                  </w:divBdr>
                </w:div>
              </w:divsChild>
            </w:div>
            <w:div w:id="1136142151">
              <w:marLeft w:val="0"/>
              <w:marRight w:val="0"/>
              <w:marTop w:val="0"/>
              <w:marBottom w:val="0"/>
              <w:divBdr>
                <w:top w:val="none" w:sz="0" w:space="0" w:color="auto"/>
                <w:left w:val="none" w:sz="0" w:space="0" w:color="auto"/>
                <w:bottom w:val="none" w:sz="0" w:space="0" w:color="auto"/>
                <w:right w:val="none" w:sz="0" w:space="0" w:color="auto"/>
              </w:divBdr>
              <w:divsChild>
                <w:div w:id="1110860068">
                  <w:marLeft w:val="0"/>
                  <w:marRight w:val="0"/>
                  <w:marTop w:val="0"/>
                  <w:marBottom w:val="0"/>
                  <w:divBdr>
                    <w:top w:val="none" w:sz="0" w:space="0" w:color="auto"/>
                    <w:left w:val="none" w:sz="0" w:space="0" w:color="auto"/>
                    <w:bottom w:val="none" w:sz="0" w:space="0" w:color="auto"/>
                    <w:right w:val="none" w:sz="0" w:space="0" w:color="auto"/>
                  </w:divBdr>
                </w:div>
              </w:divsChild>
            </w:div>
            <w:div w:id="1139226511">
              <w:marLeft w:val="0"/>
              <w:marRight w:val="0"/>
              <w:marTop w:val="0"/>
              <w:marBottom w:val="0"/>
              <w:divBdr>
                <w:top w:val="none" w:sz="0" w:space="0" w:color="auto"/>
                <w:left w:val="none" w:sz="0" w:space="0" w:color="auto"/>
                <w:bottom w:val="none" w:sz="0" w:space="0" w:color="auto"/>
                <w:right w:val="none" w:sz="0" w:space="0" w:color="auto"/>
              </w:divBdr>
              <w:divsChild>
                <w:div w:id="1658455672">
                  <w:marLeft w:val="0"/>
                  <w:marRight w:val="0"/>
                  <w:marTop w:val="0"/>
                  <w:marBottom w:val="0"/>
                  <w:divBdr>
                    <w:top w:val="none" w:sz="0" w:space="0" w:color="auto"/>
                    <w:left w:val="none" w:sz="0" w:space="0" w:color="auto"/>
                    <w:bottom w:val="none" w:sz="0" w:space="0" w:color="auto"/>
                    <w:right w:val="none" w:sz="0" w:space="0" w:color="auto"/>
                  </w:divBdr>
                </w:div>
              </w:divsChild>
            </w:div>
            <w:div w:id="1139569496">
              <w:marLeft w:val="0"/>
              <w:marRight w:val="0"/>
              <w:marTop w:val="0"/>
              <w:marBottom w:val="0"/>
              <w:divBdr>
                <w:top w:val="none" w:sz="0" w:space="0" w:color="auto"/>
                <w:left w:val="none" w:sz="0" w:space="0" w:color="auto"/>
                <w:bottom w:val="none" w:sz="0" w:space="0" w:color="auto"/>
                <w:right w:val="none" w:sz="0" w:space="0" w:color="auto"/>
              </w:divBdr>
              <w:divsChild>
                <w:div w:id="1767189382">
                  <w:marLeft w:val="0"/>
                  <w:marRight w:val="0"/>
                  <w:marTop w:val="0"/>
                  <w:marBottom w:val="0"/>
                  <w:divBdr>
                    <w:top w:val="none" w:sz="0" w:space="0" w:color="auto"/>
                    <w:left w:val="none" w:sz="0" w:space="0" w:color="auto"/>
                    <w:bottom w:val="none" w:sz="0" w:space="0" w:color="auto"/>
                    <w:right w:val="none" w:sz="0" w:space="0" w:color="auto"/>
                  </w:divBdr>
                </w:div>
              </w:divsChild>
            </w:div>
            <w:div w:id="1139880711">
              <w:marLeft w:val="0"/>
              <w:marRight w:val="0"/>
              <w:marTop w:val="300"/>
              <w:marBottom w:val="300"/>
              <w:divBdr>
                <w:top w:val="none" w:sz="0" w:space="0" w:color="auto"/>
                <w:left w:val="none" w:sz="0" w:space="0" w:color="auto"/>
                <w:bottom w:val="none" w:sz="0" w:space="0" w:color="auto"/>
                <w:right w:val="none" w:sz="0" w:space="0" w:color="auto"/>
              </w:divBdr>
            </w:div>
            <w:div w:id="1140152293">
              <w:marLeft w:val="0"/>
              <w:marRight w:val="0"/>
              <w:marTop w:val="0"/>
              <w:marBottom w:val="0"/>
              <w:divBdr>
                <w:top w:val="none" w:sz="0" w:space="0" w:color="auto"/>
                <w:left w:val="none" w:sz="0" w:space="0" w:color="auto"/>
                <w:bottom w:val="none" w:sz="0" w:space="0" w:color="auto"/>
                <w:right w:val="none" w:sz="0" w:space="0" w:color="auto"/>
              </w:divBdr>
              <w:divsChild>
                <w:div w:id="1569075759">
                  <w:marLeft w:val="0"/>
                  <w:marRight w:val="0"/>
                  <w:marTop w:val="0"/>
                  <w:marBottom w:val="0"/>
                  <w:divBdr>
                    <w:top w:val="none" w:sz="0" w:space="0" w:color="auto"/>
                    <w:left w:val="none" w:sz="0" w:space="0" w:color="auto"/>
                    <w:bottom w:val="none" w:sz="0" w:space="0" w:color="auto"/>
                    <w:right w:val="none" w:sz="0" w:space="0" w:color="auto"/>
                  </w:divBdr>
                </w:div>
              </w:divsChild>
            </w:div>
            <w:div w:id="1141843514">
              <w:marLeft w:val="0"/>
              <w:marRight w:val="0"/>
              <w:marTop w:val="0"/>
              <w:marBottom w:val="0"/>
              <w:divBdr>
                <w:top w:val="none" w:sz="0" w:space="0" w:color="auto"/>
                <w:left w:val="none" w:sz="0" w:space="0" w:color="auto"/>
                <w:bottom w:val="none" w:sz="0" w:space="0" w:color="auto"/>
                <w:right w:val="none" w:sz="0" w:space="0" w:color="auto"/>
              </w:divBdr>
              <w:divsChild>
                <w:div w:id="1154762976">
                  <w:marLeft w:val="0"/>
                  <w:marRight w:val="0"/>
                  <w:marTop w:val="0"/>
                  <w:marBottom w:val="0"/>
                  <w:divBdr>
                    <w:top w:val="none" w:sz="0" w:space="0" w:color="auto"/>
                    <w:left w:val="none" w:sz="0" w:space="0" w:color="auto"/>
                    <w:bottom w:val="none" w:sz="0" w:space="0" w:color="auto"/>
                    <w:right w:val="none" w:sz="0" w:space="0" w:color="auto"/>
                  </w:divBdr>
                </w:div>
              </w:divsChild>
            </w:div>
            <w:div w:id="1142239008">
              <w:marLeft w:val="0"/>
              <w:marRight w:val="0"/>
              <w:marTop w:val="300"/>
              <w:marBottom w:val="300"/>
              <w:divBdr>
                <w:top w:val="none" w:sz="0" w:space="0" w:color="auto"/>
                <w:left w:val="none" w:sz="0" w:space="0" w:color="auto"/>
                <w:bottom w:val="none" w:sz="0" w:space="0" w:color="auto"/>
                <w:right w:val="none" w:sz="0" w:space="0" w:color="auto"/>
              </w:divBdr>
            </w:div>
            <w:div w:id="1142304907">
              <w:marLeft w:val="0"/>
              <w:marRight w:val="0"/>
              <w:marTop w:val="0"/>
              <w:marBottom w:val="0"/>
              <w:divBdr>
                <w:top w:val="none" w:sz="0" w:space="0" w:color="auto"/>
                <w:left w:val="none" w:sz="0" w:space="0" w:color="auto"/>
                <w:bottom w:val="none" w:sz="0" w:space="0" w:color="auto"/>
                <w:right w:val="none" w:sz="0" w:space="0" w:color="auto"/>
              </w:divBdr>
              <w:divsChild>
                <w:div w:id="1828355249">
                  <w:marLeft w:val="0"/>
                  <w:marRight w:val="0"/>
                  <w:marTop w:val="0"/>
                  <w:marBottom w:val="0"/>
                  <w:divBdr>
                    <w:top w:val="none" w:sz="0" w:space="0" w:color="auto"/>
                    <w:left w:val="none" w:sz="0" w:space="0" w:color="auto"/>
                    <w:bottom w:val="none" w:sz="0" w:space="0" w:color="auto"/>
                    <w:right w:val="none" w:sz="0" w:space="0" w:color="auto"/>
                  </w:divBdr>
                </w:div>
              </w:divsChild>
            </w:div>
            <w:div w:id="1143161586">
              <w:marLeft w:val="0"/>
              <w:marRight w:val="0"/>
              <w:marTop w:val="0"/>
              <w:marBottom w:val="0"/>
              <w:divBdr>
                <w:top w:val="none" w:sz="0" w:space="0" w:color="auto"/>
                <w:left w:val="none" w:sz="0" w:space="0" w:color="auto"/>
                <w:bottom w:val="none" w:sz="0" w:space="0" w:color="auto"/>
                <w:right w:val="none" w:sz="0" w:space="0" w:color="auto"/>
              </w:divBdr>
              <w:divsChild>
                <w:div w:id="1124271333">
                  <w:marLeft w:val="0"/>
                  <w:marRight w:val="0"/>
                  <w:marTop w:val="0"/>
                  <w:marBottom w:val="0"/>
                  <w:divBdr>
                    <w:top w:val="none" w:sz="0" w:space="0" w:color="auto"/>
                    <w:left w:val="none" w:sz="0" w:space="0" w:color="auto"/>
                    <w:bottom w:val="none" w:sz="0" w:space="0" w:color="auto"/>
                    <w:right w:val="none" w:sz="0" w:space="0" w:color="auto"/>
                  </w:divBdr>
                </w:div>
              </w:divsChild>
            </w:div>
            <w:div w:id="1143237420">
              <w:marLeft w:val="0"/>
              <w:marRight w:val="0"/>
              <w:marTop w:val="0"/>
              <w:marBottom w:val="0"/>
              <w:divBdr>
                <w:top w:val="none" w:sz="0" w:space="0" w:color="auto"/>
                <w:left w:val="none" w:sz="0" w:space="0" w:color="auto"/>
                <w:bottom w:val="none" w:sz="0" w:space="0" w:color="auto"/>
                <w:right w:val="none" w:sz="0" w:space="0" w:color="auto"/>
              </w:divBdr>
              <w:divsChild>
                <w:div w:id="741412346">
                  <w:marLeft w:val="0"/>
                  <w:marRight w:val="0"/>
                  <w:marTop w:val="0"/>
                  <w:marBottom w:val="0"/>
                  <w:divBdr>
                    <w:top w:val="none" w:sz="0" w:space="0" w:color="auto"/>
                    <w:left w:val="none" w:sz="0" w:space="0" w:color="auto"/>
                    <w:bottom w:val="none" w:sz="0" w:space="0" w:color="auto"/>
                    <w:right w:val="none" w:sz="0" w:space="0" w:color="auto"/>
                  </w:divBdr>
                </w:div>
              </w:divsChild>
            </w:div>
            <w:div w:id="1144006041">
              <w:marLeft w:val="0"/>
              <w:marRight w:val="0"/>
              <w:marTop w:val="0"/>
              <w:marBottom w:val="0"/>
              <w:divBdr>
                <w:top w:val="none" w:sz="0" w:space="0" w:color="auto"/>
                <w:left w:val="none" w:sz="0" w:space="0" w:color="auto"/>
                <w:bottom w:val="none" w:sz="0" w:space="0" w:color="auto"/>
                <w:right w:val="none" w:sz="0" w:space="0" w:color="auto"/>
              </w:divBdr>
              <w:divsChild>
                <w:div w:id="1174539837">
                  <w:marLeft w:val="0"/>
                  <w:marRight w:val="0"/>
                  <w:marTop w:val="0"/>
                  <w:marBottom w:val="0"/>
                  <w:divBdr>
                    <w:top w:val="none" w:sz="0" w:space="0" w:color="auto"/>
                    <w:left w:val="none" w:sz="0" w:space="0" w:color="auto"/>
                    <w:bottom w:val="none" w:sz="0" w:space="0" w:color="auto"/>
                    <w:right w:val="none" w:sz="0" w:space="0" w:color="auto"/>
                  </w:divBdr>
                </w:div>
              </w:divsChild>
            </w:div>
            <w:div w:id="1146433550">
              <w:marLeft w:val="0"/>
              <w:marRight w:val="0"/>
              <w:marTop w:val="0"/>
              <w:marBottom w:val="0"/>
              <w:divBdr>
                <w:top w:val="none" w:sz="0" w:space="0" w:color="auto"/>
                <w:left w:val="none" w:sz="0" w:space="0" w:color="auto"/>
                <w:bottom w:val="none" w:sz="0" w:space="0" w:color="auto"/>
                <w:right w:val="none" w:sz="0" w:space="0" w:color="auto"/>
              </w:divBdr>
              <w:divsChild>
                <w:div w:id="1924029982">
                  <w:marLeft w:val="0"/>
                  <w:marRight w:val="0"/>
                  <w:marTop w:val="0"/>
                  <w:marBottom w:val="0"/>
                  <w:divBdr>
                    <w:top w:val="none" w:sz="0" w:space="0" w:color="auto"/>
                    <w:left w:val="none" w:sz="0" w:space="0" w:color="auto"/>
                    <w:bottom w:val="none" w:sz="0" w:space="0" w:color="auto"/>
                    <w:right w:val="none" w:sz="0" w:space="0" w:color="auto"/>
                  </w:divBdr>
                </w:div>
              </w:divsChild>
            </w:div>
            <w:div w:id="1147013055">
              <w:marLeft w:val="0"/>
              <w:marRight w:val="0"/>
              <w:marTop w:val="0"/>
              <w:marBottom w:val="0"/>
              <w:divBdr>
                <w:top w:val="none" w:sz="0" w:space="0" w:color="auto"/>
                <w:left w:val="none" w:sz="0" w:space="0" w:color="auto"/>
                <w:bottom w:val="none" w:sz="0" w:space="0" w:color="auto"/>
                <w:right w:val="none" w:sz="0" w:space="0" w:color="auto"/>
              </w:divBdr>
              <w:divsChild>
                <w:div w:id="1715889314">
                  <w:marLeft w:val="0"/>
                  <w:marRight w:val="0"/>
                  <w:marTop w:val="0"/>
                  <w:marBottom w:val="0"/>
                  <w:divBdr>
                    <w:top w:val="none" w:sz="0" w:space="0" w:color="auto"/>
                    <w:left w:val="none" w:sz="0" w:space="0" w:color="auto"/>
                    <w:bottom w:val="none" w:sz="0" w:space="0" w:color="auto"/>
                    <w:right w:val="none" w:sz="0" w:space="0" w:color="auto"/>
                  </w:divBdr>
                </w:div>
              </w:divsChild>
            </w:div>
            <w:div w:id="1147163237">
              <w:marLeft w:val="0"/>
              <w:marRight w:val="0"/>
              <w:marTop w:val="0"/>
              <w:marBottom w:val="0"/>
              <w:divBdr>
                <w:top w:val="none" w:sz="0" w:space="0" w:color="auto"/>
                <w:left w:val="none" w:sz="0" w:space="0" w:color="auto"/>
                <w:bottom w:val="none" w:sz="0" w:space="0" w:color="auto"/>
                <w:right w:val="none" w:sz="0" w:space="0" w:color="auto"/>
              </w:divBdr>
              <w:divsChild>
                <w:div w:id="795097397">
                  <w:marLeft w:val="0"/>
                  <w:marRight w:val="0"/>
                  <w:marTop w:val="0"/>
                  <w:marBottom w:val="0"/>
                  <w:divBdr>
                    <w:top w:val="none" w:sz="0" w:space="0" w:color="auto"/>
                    <w:left w:val="none" w:sz="0" w:space="0" w:color="auto"/>
                    <w:bottom w:val="none" w:sz="0" w:space="0" w:color="auto"/>
                    <w:right w:val="none" w:sz="0" w:space="0" w:color="auto"/>
                  </w:divBdr>
                </w:div>
              </w:divsChild>
            </w:div>
            <w:div w:id="1148789227">
              <w:marLeft w:val="0"/>
              <w:marRight w:val="0"/>
              <w:marTop w:val="0"/>
              <w:marBottom w:val="0"/>
              <w:divBdr>
                <w:top w:val="none" w:sz="0" w:space="0" w:color="auto"/>
                <w:left w:val="none" w:sz="0" w:space="0" w:color="auto"/>
                <w:bottom w:val="none" w:sz="0" w:space="0" w:color="auto"/>
                <w:right w:val="none" w:sz="0" w:space="0" w:color="auto"/>
              </w:divBdr>
              <w:divsChild>
                <w:div w:id="1115825653">
                  <w:marLeft w:val="0"/>
                  <w:marRight w:val="0"/>
                  <w:marTop w:val="0"/>
                  <w:marBottom w:val="0"/>
                  <w:divBdr>
                    <w:top w:val="none" w:sz="0" w:space="0" w:color="auto"/>
                    <w:left w:val="none" w:sz="0" w:space="0" w:color="auto"/>
                    <w:bottom w:val="none" w:sz="0" w:space="0" w:color="auto"/>
                    <w:right w:val="none" w:sz="0" w:space="0" w:color="auto"/>
                  </w:divBdr>
                </w:div>
              </w:divsChild>
            </w:div>
            <w:div w:id="1148860376">
              <w:marLeft w:val="0"/>
              <w:marRight w:val="0"/>
              <w:marTop w:val="0"/>
              <w:marBottom w:val="0"/>
              <w:divBdr>
                <w:top w:val="none" w:sz="0" w:space="0" w:color="auto"/>
                <w:left w:val="none" w:sz="0" w:space="0" w:color="auto"/>
                <w:bottom w:val="none" w:sz="0" w:space="0" w:color="auto"/>
                <w:right w:val="none" w:sz="0" w:space="0" w:color="auto"/>
              </w:divBdr>
              <w:divsChild>
                <w:div w:id="1884749829">
                  <w:marLeft w:val="0"/>
                  <w:marRight w:val="0"/>
                  <w:marTop w:val="0"/>
                  <w:marBottom w:val="0"/>
                  <w:divBdr>
                    <w:top w:val="none" w:sz="0" w:space="0" w:color="auto"/>
                    <w:left w:val="none" w:sz="0" w:space="0" w:color="auto"/>
                    <w:bottom w:val="none" w:sz="0" w:space="0" w:color="auto"/>
                    <w:right w:val="none" w:sz="0" w:space="0" w:color="auto"/>
                  </w:divBdr>
                </w:div>
              </w:divsChild>
            </w:div>
            <w:div w:id="1148978205">
              <w:marLeft w:val="0"/>
              <w:marRight w:val="0"/>
              <w:marTop w:val="0"/>
              <w:marBottom w:val="0"/>
              <w:divBdr>
                <w:top w:val="none" w:sz="0" w:space="0" w:color="auto"/>
                <w:left w:val="none" w:sz="0" w:space="0" w:color="auto"/>
                <w:bottom w:val="none" w:sz="0" w:space="0" w:color="auto"/>
                <w:right w:val="none" w:sz="0" w:space="0" w:color="auto"/>
              </w:divBdr>
              <w:divsChild>
                <w:div w:id="1751266526">
                  <w:marLeft w:val="0"/>
                  <w:marRight w:val="0"/>
                  <w:marTop w:val="0"/>
                  <w:marBottom w:val="0"/>
                  <w:divBdr>
                    <w:top w:val="none" w:sz="0" w:space="0" w:color="auto"/>
                    <w:left w:val="none" w:sz="0" w:space="0" w:color="auto"/>
                    <w:bottom w:val="none" w:sz="0" w:space="0" w:color="auto"/>
                    <w:right w:val="none" w:sz="0" w:space="0" w:color="auto"/>
                  </w:divBdr>
                </w:div>
              </w:divsChild>
            </w:div>
            <w:div w:id="1149127032">
              <w:marLeft w:val="0"/>
              <w:marRight w:val="0"/>
              <w:marTop w:val="0"/>
              <w:marBottom w:val="0"/>
              <w:divBdr>
                <w:top w:val="none" w:sz="0" w:space="0" w:color="auto"/>
                <w:left w:val="none" w:sz="0" w:space="0" w:color="auto"/>
                <w:bottom w:val="none" w:sz="0" w:space="0" w:color="auto"/>
                <w:right w:val="none" w:sz="0" w:space="0" w:color="auto"/>
              </w:divBdr>
              <w:divsChild>
                <w:div w:id="961544974">
                  <w:marLeft w:val="0"/>
                  <w:marRight w:val="0"/>
                  <w:marTop w:val="0"/>
                  <w:marBottom w:val="0"/>
                  <w:divBdr>
                    <w:top w:val="none" w:sz="0" w:space="0" w:color="auto"/>
                    <w:left w:val="none" w:sz="0" w:space="0" w:color="auto"/>
                    <w:bottom w:val="none" w:sz="0" w:space="0" w:color="auto"/>
                    <w:right w:val="none" w:sz="0" w:space="0" w:color="auto"/>
                  </w:divBdr>
                </w:div>
              </w:divsChild>
            </w:div>
            <w:div w:id="1149979169">
              <w:marLeft w:val="0"/>
              <w:marRight w:val="0"/>
              <w:marTop w:val="0"/>
              <w:marBottom w:val="0"/>
              <w:divBdr>
                <w:top w:val="none" w:sz="0" w:space="0" w:color="auto"/>
                <w:left w:val="none" w:sz="0" w:space="0" w:color="auto"/>
                <w:bottom w:val="none" w:sz="0" w:space="0" w:color="auto"/>
                <w:right w:val="none" w:sz="0" w:space="0" w:color="auto"/>
              </w:divBdr>
              <w:divsChild>
                <w:div w:id="517037451">
                  <w:marLeft w:val="0"/>
                  <w:marRight w:val="0"/>
                  <w:marTop w:val="0"/>
                  <w:marBottom w:val="0"/>
                  <w:divBdr>
                    <w:top w:val="none" w:sz="0" w:space="0" w:color="auto"/>
                    <w:left w:val="none" w:sz="0" w:space="0" w:color="auto"/>
                    <w:bottom w:val="none" w:sz="0" w:space="0" w:color="auto"/>
                    <w:right w:val="none" w:sz="0" w:space="0" w:color="auto"/>
                  </w:divBdr>
                </w:div>
              </w:divsChild>
            </w:div>
            <w:div w:id="1150898555">
              <w:marLeft w:val="0"/>
              <w:marRight w:val="0"/>
              <w:marTop w:val="0"/>
              <w:marBottom w:val="0"/>
              <w:divBdr>
                <w:top w:val="none" w:sz="0" w:space="0" w:color="auto"/>
                <w:left w:val="none" w:sz="0" w:space="0" w:color="auto"/>
                <w:bottom w:val="none" w:sz="0" w:space="0" w:color="auto"/>
                <w:right w:val="none" w:sz="0" w:space="0" w:color="auto"/>
              </w:divBdr>
              <w:divsChild>
                <w:div w:id="960257836">
                  <w:marLeft w:val="0"/>
                  <w:marRight w:val="0"/>
                  <w:marTop w:val="0"/>
                  <w:marBottom w:val="0"/>
                  <w:divBdr>
                    <w:top w:val="none" w:sz="0" w:space="0" w:color="auto"/>
                    <w:left w:val="none" w:sz="0" w:space="0" w:color="auto"/>
                    <w:bottom w:val="none" w:sz="0" w:space="0" w:color="auto"/>
                    <w:right w:val="none" w:sz="0" w:space="0" w:color="auto"/>
                  </w:divBdr>
                </w:div>
              </w:divsChild>
            </w:div>
            <w:div w:id="1153642777">
              <w:marLeft w:val="0"/>
              <w:marRight w:val="0"/>
              <w:marTop w:val="0"/>
              <w:marBottom w:val="0"/>
              <w:divBdr>
                <w:top w:val="none" w:sz="0" w:space="0" w:color="auto"/>
                <w:left w:val="none" w:sz="0" w:space="0" w:color="auto"/>
                <w:bottom w:val="none" w:sz="0" w:space="0" w:color="auto"/>
                <w:right w:val="none" w:sz="0" w:space="0" w:color="auto"/>
              </w:divBdr>
              <w:divsChild>
                <w:div w:id="254822974">
                  <w:marLeft w:val="0"/>
                  <w:marRight w:val="0"/>
                  <w:marTop w:val="0"/>
                  <w:marBottom w:val="0"/>
                  <w:divBdr>
                    <w:top w:val="none" w:sz="0" w:space="0" w:color="auto"/>
                    <w:left w:val="none" w:sz="0" w:space="0" w:color="auto"/>
                    <w:bottom w:val="none" w:sz="0" w:space="0" w:color="auto"/>
                    <w:right w:val="none" w:sz="0" w:space="0" w:color="auto"/>
                  </w:divBdr>
                </w:div>
              </w:divsChild>
            </w:div>
            <w:div w:id="1153982852">
              <w:marLeft w:val="0"/>
              <w:marRight w:val="0"/>
              <w:marTop w:val="300"/>
              <w:marBottom w:val="300"/>
              <w:divBdr>
                <w:top w:val="none" w:sz="0" w:space="0" w:color="auto"/>
                <w:left w:val="none" w:sz="0" w:space="0" w:color="auto"/>
                <w:bottom w:val="none" w:sz="0" w:space="0" w:color="auto"/>
                <w:right w:val="none" w:sz="0" w:space="0" w:color="auto"/>
              </w:divBdr>
            </w:div>
            <w:div w:id="1154950865">
              <w:marLeft w:val="0"/>
              <w:marRight w:val="0"/>
              <w:marTop w:val="0"/>
              <w:marBottom w:val="0"/>
              <w:divBdr>
                <w:top w:val="none" w:sz="0" w:space="0" w:color="auto"/>
                <w:left w:val="none" w:sz="0" w:space="0" w:color="auto"/>
                <w:bottom w:val="none" w:sz="0" w:space="0" w:color="auto"/>
                <w:right w:val="none" w:sz="0" w:space="0" w:color="auto"/>
              </w:divBdr>
              <w:divsChild>
                <w:div w:id="1398893661">
                  <w:marLeft w:val="0"/>
                  <w:marRight w:val="0"/>
                  <w:marTop w:val="0"/>
                  <w:marBottom w:val="0"/>
                  <w:divBdr>
                    <w:top w:val="none" w:sz="0" w:space="0" w:color="auto"/>
                    <w:left w:val="none" w:sz="0" w:space="0" w:color="auto"/>
                    <w:bottom w:val="none" w:sz="0" w:space="0" w:color="auto"/>
                    <w:right w:val="none" w:sz="0" w:space="0" w:color="auto"/>
                  </w:divBdr>
                </w:div>
              </w:divsChild>
            </w:div>
            <w:div w:id="1158837213">
              <w:marLeft w:val="0"/>
              <w:marRight w:val="0"/>
              <w:marTop w:val="300"/>
              <w:marBottom w:val="300"/>
              <w:divBdr>
                <w:top w:val="none" w:sz="0" w:space="0" w:color="auto"/>
                <w:left w:val="none" w:sz="0" w:space="0" w:color="auto"/>
                <w:bottom w:val="none" w:sz="0" w:space="0" w:color="auto"/>
                <w:right w:val="none" w:sz="0" w:space="0" w:color="auto"/>
              </w:divBdr>
            </w:div>
            <w:div w:id="1161390527">
              <w:marLeft w:val="0"/>
              <w:marRight w:val="0"/>
              <w:marTop w:val="0"/>
              <w:marBottom w:val="0"/>
              <w:divBdr>
                <w:top w:val="none" w:sz="0" w:space="0" w:color="auto"/>
                <w:left w:val="none" w:sz="0" w:space="0" w:color="auto"/>
                <w:bottom w:val="none" w:sz="0" w:space="0" w:color="auto"/>
                <w:right w:val="none" w:sz="0" w:space="0" w:color="auto"/>
              </w:divBdr>
              <w:divsChild>
                <w:div w:id="1745109325">
                  <w:marLeft w:val="0"/>
                  <w:marRight w:val="0"/>
                  <w:marTop w:val="0"/>
                  <w:marBottom w:val="0"/>
                  <w:divBdr>
                    <w:top w:val="none" w:sz="0" w:space="0" w:color="auto"/>
                    <w:left w:val="none" w:sz="0" w:space="0" w:color="auto"/>
                    <w:bottom w:val="none" w:sz="0" w:space="0" w:color="auto"/>
                    <w:right w:val="none" w:sz="0" w:space="0" w:color="auto"/>
                  </w:divBdr>
                </w:div>
              </w:divsChild>
            </w:div>
            <w:div w:id="1161509086">
              <w:marLeft w:val="0"/>
              <w:marRight w:val="0"/>
              <w:marTop w:val="0"/>
              <w:marBottom w:val="0"/>
              <w:divBdr>
                <w:top w:val="none" w:sz="0" w:space="0" w:color="auto"/>
                <w:left w:val="none" w:sz="0" w:space="0" w:color="auto"/>
                <w:bottom w:val="none" w:sz="0" w:space="0" w:color="auto"/>
                <w:right w:val="none" w:sz="0" w:space="0" w:color="auto"/>
              </w:divBdr>
              <w:divsChild>
                <w:div w:id="772213906">
                  <w:marLeft w:val="0"/>
                  <w:marRight w:val="0"/>
                  <w:marTop w:val="0"/>
                  <w:marBottom w:val="0"/>
                  <w:divBdr>
                    <w:top w:val="none" w:sz="0" w:space="0" w:color="auto"/>
                    <w:left w:val="none" w:sz="0" w:space="0" w:color="auto"/>
                    <w:bottom w:val="none" w:sz="0" w:space="0" w:color="auto"/>
                    <w:right w:val="none" w:sz="0" w:space="0" w:color="auto"/>
                  </w:divBdr>
                </w:div>
              </w:divsChild>
            </w:div>
            <w:div w:id="1161891646">
              <w:marLeft w:val="0"/>
              <w:marRight w:val="0"/>
              <w:marTop w:val="0"/>
              <w:marBottom w:val="0"/>
              <w:divBdr>
                <w:top w:val="none" w:sz="0" w:space="0" w:color="auto"/>
                <w:left w:val="none" w:sz="0" w:space="0" w:color="auto"/>
                <w:bottom w:val="none" w:sz="0" w:space="0" w:color="auto"/>
                <w:right w:val="none" w:sz="0" w:space="0" w:color="auto"/>
              </w:divBdr>
              <w:divsChild>
                <w:div w:id="1351763191">
                  <w:marLeft w:val="0"/>
                  <w:marRight w:val="0"/>
                  <w:marTop w:val="0"/>
                  <w:marBottom w:val="0"/>
                  <w:divBdr>
                    <w:top w:val="none" w:sz="0" w:space="0" w:color="auto"/>
                    <w:left w:val="none" w:sz="0" w:space="0" w:color="auto"/>
                    <w:bottom w:val="none" w:sz="0" w:space="0" w:color="auto"/>
                    <w:right w:val="none" w:sz="0" w:space="0" w:color="auto"/>
                  </w:divBdr>
                </w:div>
              </w:divsChild>
            </w:div>
            <w:div w:id="1163619119">
              <w:marLeft w:val="0"/>
              <w:marRight w:val="0"/>
              <w:marTop w:val="0"/>
              <w:marBottom w:val="0"/>
              <w:divBdr>
                <w:top w:val="none" w:sz="0" w:space="0" w:color="auto"/>
                <w:left w:val="none" w:sz="0" w:space="0" w:color="auto"/>
                <w:bottom w:val="none" w:sz="0" w:space="0" w:color="auto"/>
                <w:right w:val="none" w:sz="0" w:space="0" w:color="auto"/>
              </w:divBdr>
              <w:divsChild>
                <w:div w:id="623736185">
                  <w:marLeft w:val="0"/>
                  <w:marRight w:val="0"/>
                  <w:marTop w:val="0"/>
                  <w:marBottom w:val="0"/>
                  <w:divBdr>
                    <w:top w:val="none" w:sz="0" w:space="0" w:color="auto"/>
                    <w:left w:val="none" w:sz="0" w:space="0" w:color="auto"/>
                    <w:bottom w:val="none" w:sz="0" w:space="0" w:color="auto"/>
                    <w:right w:val="none" w:sz="0" w:space="0" w:color="auto"/>
                  </w:divBdr>
                </w:div>
              </w:divsChild>
            </w:div>
            <w:div w:id="1167591944">
              <w:marLeft w:val="0"/>
              <w:marRight w:val="0"/>
              <w:marTop w:val="0"/>
              <w:marBottom w:val="0"/>
              <w:divBdr>
                <w:top w:val="none" w:sz="0" w:space="0" w:color="auto"/>
                <w:left w:val="none" w:sz="0" w:space="0" w:color="auto"/>
                <w:bottom w:val="none" w:sz="0" w:space="0" w:color="auto"/>
                <w:right w:val="none" w:sz="0" w:space="0" w:color="auto"/>
              </w:divBdr>
              <w:divsChild>
                <w:div w:id="1490177011">
                  <w:marLeft w:val="0"/>
                  <w:marRight w:val="0"/>
                  <w:marTop w:val="0"/>
                  <w:marBottom w:val="0"/>
                  <w:divBdr>
                    <w:top w:val="none" w:sz="0" w:space="0" w:color="auto"/>
                    <w:left w:val="none" w:sz="0" w:space="0" w:color="auto"/>
                    <w:bottom w:val="none" w:sz="0" w:space="0" w:color="auto"/>
                    <w:right w:val="none" w:sz="0" w:space="0" w:color="auto"/>
                  </w:divBdr>
                </w:div>
              </w:divsChild>
            </w:div>
            <w:div w:id="1168015053">
              <w:marLeft w:val="0"/>
              <w:marRight w:val="0"/>
              <w:marTop w:val="0"/>
              <w:marBottom w:val="0"/>
              <w:divBdr>
                <w:top w:val="none" w:sz="0" w:space="0" w:color="auto"/>
                <w:left w:val="none" w:sz="0" w:space="0" w:color="auto"/>
                <w:bottom w:val="none" w:sz="0" w:space="0" w:color="auto"/>
                <w:right w:val="none" w:sz="0" w:space="0" w:color="auto"/>
              </w:divBdr>
              <w:divsChild>
                <w:div w:id="1664579294">
                  <w:marLeft w:val="0"/>
                  <w:marRight w:val="0"/>
                  <w:marTop w:val="0"/>
                  <w:marBottom w:val="0"/>
                  <w:divBdr>
                    <w:top w:val="none" w:sz="0" w:space="0" w:color="auto"/>
                    <w:left w:val="none" w:sz="0" w:space="0" w:color="auto"/>
                    <w:bottom w:val="none" w:sz="0" w:space="0" w:color="auto"/>
                    <w:right w:val="none" w:sz="0" w:space="0" w:color="auto"/>
                  </w:divBdr>
                </w:div>
              </w:divsChild>
            </w:div>
            <w:div w:id="1168984113">
              <w:marLeft w:val="0"/>
              <w:marRight w:val="0"/>
              <w:marTop w:val="0"/>
              <w:marBottom w:val="0"/>
              <w:divBdr>
                <w:top w:val="none" w:sz="0" w:space="0" w:color="auto"/>
                <w:left w:val="none" w:sz="0" w:space="0" w:color="auto"/>
                <w:bottom w:val="none" w:sz="0" w:space="0" w:color="auto"/>
                <w:right w:val="none" w:sz="0" w:space="0" w:color="auto"/>
              </w:divBdr>
              <w:divsChild>
                <w:div w:id="998576284">
                  <w:marLeft w:val="0"/>
                  <w:marRight w:val="0"/>
                  <w:marTop w:val="0"/>
                  <w:marBottom w:val="0"/>
                  <w:divBdr>
                    <w:top w:val="none" w:sz="0" w:space="0" w:color="auto"/>
                    <w:left w:val="none" w:sz="0" w:space="0" w:color="auto"/>
                    <w:bottom w:val="none" w:sz="0" w:space="0" w:color="auto"/>
                    <w:right w:val="none" w:sz="0" w:space="0" w:color="auto"/>
                  </w:divBdr>
                </w:div>
              </w:divsChild>
            </w:div>
            <w:div w:id="1169296382">
              <w:marLeft w:val="0"/>
              <w:marRight w:val="0"/>
              <w:marTop w:val="0"/>
              <w:marBottom w:val="0"/>
              <w:divBdr>
                <w:top w:val="none" w:sz="0" w:space="0" w:color="auto"/>
                <w:left w:val="none" w:sz="0" w:space="0" w:color="auto"/>
                <w:bottom w:val="none" w:sz="0" w:space="0" w:color="auto"/>
                <w:right w:val="none" w:sz="0" w:space="0" w:color="auto"/>
              </w:divBdr>
              <w:divsChild>
                <w:div w:id="1822497659">
                  <w:marLeft w:val="0"/>
                  <w:marRight w:val="0"/>
                  <w:marTop w:val="0"/>
                  <w:marBottom w:val="0"/>
                  <w:divBdr>
                    <w:top w:val="none" w:sz="0" w:space="0" w:color="auto"/>
                    <w:left w:val="none" w:sz="0" w:space="0" w:color="auto"/>
                    <w:bottom w:val="none" w:sz="0" w:space="0" w:color="auto"/>
                    <w:right w:val="none" w:sz="0" w:space="0" w:color="auto"/>
                  </w:divBdr>
                </w:div>
              </w:divsChild>
            </w:div>
            <w:div w:id="1169439479">
              <w:marLeft w:val="0"/>
              <w:marRight w:val="0"/>
              <w:marTop w:val="0"/>
              <w:marBottom w:val="0"/>
              <w:divBdr>
                <w:top w:val="none" w:sz="0" w:space="0" w:color="auto"/>
                <w:left w:val="none" w:sz="0" w:space="0" w:color="auto"/>
                <w:bottom w:val="none" w:sz="0" w:space="0" w:color="auto"/>
                <w:right w:val="none" w:sz="0" w:space="0" w:color="auto"/>
              </w:divBdr>
              <w:divsChild>
                <w:div w:id="718015534">
                  <w:marLeft w:val="0"/>
                  <w:marRight w:val="0"/>
                  <w:marTop w:val="0"/>
                  <w:marBottom w:val="0"/>
                  <w:divBdr>
                    <w:top w:val="none" w:sz="0" w:space="0" w:color="auto"/>
                    <w:left w:val="none" w:sz="0" w:space="0" w:color="auto"/>
                    <w:bottom w:val="none" w:sz="0" w:space="0" w:color="auto"/>
                    <w:right w:val="none" w:sz="0" w:space="0" w:color="auto"/>
                  </w:divBdr>
                </w:div>
              </w:divsChild>
            </w:div>
            <w:div w:id="1171018816">
              <w:marLeft w:val="0"/>
              <w:marRight w:val="0"/>
              <w:marTop w:val="0"/>
              <w:marBottom w:val="0"/>
              <w:divBdr>
                <w:top w:val="none" w:sz="0" w:space="0" w:color="auto"/>
                <w:left w:val="none" w:sz="0" w:space="0" w:color="auto"/>
                <w:bottom w:val="none" w:sz="0" w:space="0" w:color="auto"/>
                <w:right w:val="none" w:sz="0" w:space="0" w:color="auto"/>
              </w:divBdr>
              <w:divsChild>
                <w:div w:id="1743984186">
                  <w:marLeft w:val="0"/>
                  <w:marRight w:val="0"/>
                  <w:marTop w:val="0"/>
                  <w:marBottom w:val="0"/>
                  <w:divBdr>
                    <w:top w:val="none" w:sz="0" w:space="0" w:color="auto"/>
                    <w:left w:val="none" w:sz="0" w:space="0" w:color="auto"/>
                    <w:bottom w:val="none" w:sz="0" w:space="0" w:color="auto"/>
                    <w:right w:val="none" w:sz="0" w:space="0" w:color="auto"/>
                  </w:divBdr>
                </w:div>
              </w:divsChild>
            </w:div>
            <w:div w:id="1171947091">
              <w:marLeft w:val="0"/>
              <w:marRight w:val="0"/>
              <w:marTop w:val="0"/>
              <w:marBottom w:val="0"/>
              <w:divBdr>
                <w:top w:val="none" w:sz="0" w:space="0" w:color="auto"/>
                <w:left w:val="none" w:sz="0" w:space="0" w:color="auto"/>
                <w:bottom w:val="none" w:sz="0" w:space="0" w:color="auto"/>
                <w:right w:val="none" w:sz="0" w:space="0" w:color="auto"/>
              </w:divBdr>
              <w:divsChild>
                <w:div w:id="1785611521">
                  <w:marLeft w:val="0"/>
                  <w:marRight w:val="0"/>
                  <w:marTop w:val="0"/>
                  <w:marBottom w:val="0"/>
                  <w:divBdr>
                    <w:top w:val="none" w:sz="0" w:space="0" w:color="auto"/>
                    <w:left w:val="none" w:sz="0" w:space="0" w:color="auto"/>
                    <w:bottom w:val="none" w:sz="0" w:space="0" w:color="auto"/>
                    <w:right w:val="none" w:sz="0" w:space="0" w:color="auto"/>
                  </w:divBdr>
                </w:div>
              </w:divsChild>
            </w:div>
            <w:div w:id="1173959509">
              <w:marLeft w:val="0"/>
              <w:marRight w:val="0"/>
              <w:marTop w:val="0"/>
              <w:marBottom w:val="0"/>
              <w:divBdr>
                <w:top w:val="none" w:sz="0" w:space="0" w:color="auto"/>
                <w:left w:val="none" w:sz="0" w:space="0" w:color="auto"/>
                <w:bottom w:val="none" w:sz="0" w:space="0" w:color="auto"/>
                <w:right w:val="none" w:sz="0" w:space="0" w:color="auto"/>
              </w:divBdr>
              <w:divsChild>
                <w:div w:id="629362071">
                  <w:marLeft w:val="0"/>
                  <w:marRight w:val="0"/>
                  <w:marTop w:val="0"/>
                  <w:marBottom w:val="0"/>
                  <w:divBdr>
                    <w:top w:val="none" w:sz="0" w:space="0" w:color="auto"/>
                    <w:left w:val="none" w:sz="0" w:space="0" w:color="auto"/>
                    <w:bottom w:val="none" w:sz="0" w:space="0" w:color="auto"/>
                    <w:right w:val="none" w:sz="0" w:space="0" w:color="auto"/>
                  </w:divBdr>
                </w:div>
              </w:divsChild>
            </w:div>
            <w:div w:id="1174295876">
              <w:marLeft w:val="0"/>
              <w:marRight w:val="0"/>
              <w:marTop w:val="0"/>
              <w:marBottom w:val="0"/>
              <w:divBdr>
                <w:top w:val="none" w:sz="0" w:space="0" w:color="auto"/>
                <w:left w:val="none" w:sz="0" w:space="0" w:color="auto"/>
                <w:bottom w:val="none" w:sz="0" w:space="0" w:color="auto"/>
                <w:right w:val="none" w:sz="0" w:space="0" w:color="auto"/>
              </w:divBdr>
              <w:divsChild>
                <w:div w:id="278341456">
                  <w:marLeft w:val="0"/>
                  <w:marRight w:val="0"/>
                  <w:marTop w:val="0"/>
                  <w:marBottom w:val="0"/>
                  <w:divBdr>
                    <w:top w:val="none" w:sz="0" w:space="0" w:color="auto"/>
                    <w:left w:val="none" w:sz="0" w:space="0" w:color="auto"/>
                    <w:bottom w:val="none" w:sz="0" w:space="0" w:color="auto"/>
                    <w:right w:val="none" w:sz="0" w:space="0" w:color="auto"/>
                  </w:divBdr>
                </w:div>
              </w:divsChild>
            </w:div>
            <w:div w:id="1175223898">
              <w:marLeft w:val="0"/>
              <w:marRight w:val="0"/>
              <w:marTop w:val="300"/>
              <w:marBottom w:val="300"/>
              <w:divBdr>
                <w:top w:val="none" w:sz="0" w:space="0" w:color="auto"/>
                <w:left w:val="none" w:sz="0" w:space="0" w:color="auto"/>
                <w:bottom w:val="none" w:sz="0" w:space="0" w:color="auto"/>
                <w:right w:val="none" w:sz="0" w:space="0" w:color="auto"/>
              </w:divBdr>
            </w:div>
            <w:div w:id="1177621097">
              <w:marLeft w:val="0"/>
              <w:marRight w:val="0"/>
              <w:marTop w:val="0"/>
              <w:marBottom w:val="0"/>
              <w:divBdr>
                <w:top w:val="none" w:sz="0" w:space="0" w:color="auto"/>
                <w:left w:val="none" w:sz="0" w:space="0" w:color="auto"/>
                <w:bottom w:val="none" w:sz="0" w:space="0" w:color="auto"/>
                <w:right w:val="none" w:sz="0" w:space="0" w:color="auto"/>
              </w:divBdr>
              <w:divsChild>
                <w:div w:id="1456026966">
                  <w:marLeft w:val="0"/>
                  <w:marRight w:val="0"/>
                  <w:marTop w:val="0"/>
                  <w:marBottom w:val="0"/>
                  <w:divBdr>
                    <w:top w:val="none" w:sz="0" w:space="0" w:color="auto"/>
                    <w:left w:val="none" w:sz="0" w:space="0" w:color="auto"/>
                    <w:bottom w:val="none" w:sz="0" w:space="0" w:color="auto"/>
                    <w:right w:val="none" w:sz="0" w:space="0" w:color="auto"/>
                  </w:divBdr>
                </w:div>
              </w:divsChild>
            </w:div>
            <w:div w:id="1178236015">
              <w:marLeft w:val="0"/>
              <w:marRight w:val="0"/>
              <w:marTop w:val="0"/>
              <w:marBottom w:val="0"/>
              <w:divBdr>
                <w:top w:val="none" w:sz="0" w:space="0" w:color="auto"/>
                <w:left w:val="none" w:sz="0" w:space="0" w:color="auto"/>
                <w:bottom w:val="none" w:sz="0" w:space="0" w:color="auto"/>
                <w:right w:val="none" w:sz="0" w:space="0" w:color="auto"/>
              </w:divBdr>
              <w:divsChild>
                <w:div w:id="1193417591">
                  <w:marLeft w:val="0"/>
                  <w:marRight w:val="0"/>
                  <w:marTop w:val="0"/>
                  <w:marBottom w:val="0"/>
                  <w:divBdr>
                    <w:top w:val="none" w:sz="0" w:space="0" w:color="auto"/>
                    <w:left w:val="none" w:sz="0" w:space="0" w:color="auto"/>
                    <w:bottom w:val="none" w:sz="0" w:space="0" w:color="auto"/>
                    <w:right w:val="none" w:sz="0" w:space="0" w:color="auto"/>
                  </w:divBdr>
                </w:div>
              </w:divsChild>
            </w:div>
            <w:div w:id="1179546371">
              <w:marLeft w:val="0"/>
              <w:marRight w:val="0"/>
              <w:marTop w:val="0"/>
              <w:marBottom w:val="0"/>
              <w:divBdr>
                <w:top w:val="none" w:sz="0" w:space="0" w:color="auto"/>
                <w:left w:val="none" w:sz="0" w:space="0" w:color="auto"/>
                <w:bottom w:val="none" w:sz="0" w:space="0" w:color="auto"/>
                <w:right w:val="none" w:sz="0" w:space="0" w:color="auto"/>
              </w:divBdr>
              <w:divsChild>
                <w:div w:id="1396733819">
                  <w:marLeft w:val="0"/>
                  <w:marRight w:val="0"/>
                  <w:marTop w:val="0"/>
                  <w:marBottom w:val="0"/>
                  <w:divBdr>
                    <w:top w:val="none" w:sz="0" w:space="0" w:color="auto"/>
                    <w:left w:val="none" w:sz="0" w:space="0" w:color="auto"/>
                    <w:bottom w:val="none" w:sz="0" w:space="0" w:color="auto"/>
                    <w:right w:val="none" w:sz="0" w:space="0" w:color="auto"/>
                  </w:divBdr>
                </w:div>
              </w:divsChild>
            </w:div>
            <w:div w:id="1180194714">
              <w:marLeft w:val="0"/>
              <w:marRight w:val="0"/>
              <w:marTop w:val="0"/>
              <w:marBottom w:val="0"/>
              <w:divBdr>
                <w:top w:val="none" w:sz="0" w:space="0" w:color="auto"/>
                <w:left w:val="none" w:sz="0" w:space="0" w:color="auto"/>
                <w:bottom w:val="none" w:sz="0" w:space="0" w:color="auto"/>
                <w:right w:val="none" w:sz="0" w:space="0" w:color="auto"/>
              </w:divBdr>
              <w:divsChild>
                <w:div w:id="574824665">
                  <w:marLeft w:val="0"/>
                  <w:marRight w:val="0"/>
                  <w:marTop w:val="0"/>
                  <w:marBottom w:val="0"/>
                  <w:divBdr>
                    <w:top w:val="none" w:sz="0" w:space="0" w:color="auto"/>
                    <w:left w:val="none" w:sz="0" w:space="0" w:color="auto"/>
                    <w:bottom w:val="none" w:sz="0" w:space="0" w:color="auto"/>
                    <w:right w:val="none" w:sz="0" w:space="0" w:color="auto"/>
                  </w:divBdr>
                </w:div>
              </w:divsChild>
            </w:div>
            <w:div w:id="1180269883">
              <w:marLeft w:val="0"/>
              <w:marRight w:val="0"/>
              <w:marTop w:val="0"/>
              <w:marBottom w:val="0"/>
              <w:divBdr>
                <w:top w:val="none" w:sz="0" w:space="0" w:color="auto"/>
                <w:left w:val="none" w:sz="0" w:space="0" w:color="auto"/>
                <w:bottom w:val="none" w:sz="0" w:space="0" w:color="auto"/>
                <w:right w:val="none" w:sz="0" w:space="0" w:color="auto"/>
              </w:divBdr>
              <w:divsChild>
                <w:div w:id="768039714">
                  <w:marLeft w:val="0"/>
                  <w:marRight w:val="0"/>
                  <w:marTop w:val="0"/>
                  <w:marBottom w:val="0"/>
                  <w:divBdr>
                    <w:top w:val="none" w:sz="0" w:space="0" w:color="auto"/>
                    <w:left w:val="none" w:sz="0" w:space="0" w:color="auto"/>
                    <w:bottom w:val="none" w:sz="0" w:space="0" w:color="auto"/>
                    <w:right w:val="none" w:sz="0" w:space="0" w:color="auto"/>
                  </w:divBdr>
                </w:div>
              </w:divsChild>
            </w:div>
            <w:div w:id="1185094855">
              <w:marLeft w:val="0"/>
              <w:marRight w:val="0"/>
              <w:marTop w:val="0"/>
              <w:marBottom w:val="0"/>
              <w:divBdr>
                <w:top w:val="none" w:sz="0" w:space="0" w:color="auto"/>
                <w:left w:val="none" w:sz="0" w:space="0" w:color="auto"/>
                <w:bottom w:val="none" w:sz="0" w:space="0" w:color="auto"/>
                <w:right w:val="none" w:sz="0" w:space="0" w:color="auto"/>
              </w:divBdr>
              <w:divsChild>
                <w:div w:id="1596982294">
                  <w:marLeft w:val="0"/>
                  <w:marRight w:val="0"/>
                  <w:marTop w:val="0"/>
                  <w:marBottom w:val="0"/>
                  <w:divBdr>
                    <w:top w:val="none" w:sz="0" w:space="0" w:color="auto"/>
                    <w:left w:val="none" w:sz="0" w:space="0" w:color="auto"/>
                    <w:bottom w:val="none" w:sz="0" w:space="0" w:color="auto"/>
                    <w:right w:val="none" w:sz="0" w:space="0" w:color="auto"/>
                  </w:divBdr>
                </w:div>
              </w:divsChild>
            </w:div>
            <w:div w:id="1185242043">
              <w:marLeft w:val="0"/>
              <w:marRight w:val="0"/>
              <w:marTop w:val="0"/>
              <w:marBottom w:val="0"/>
              <w:divBdr>
                <w:top w:val="none" w:sz="0" w:space="0" w:color="auto"/>
                <w:left w:val="none" w:sz="0" w:space="0" w:color="auto"/>
                <w:bottom w:val="none" w:sz="0" w:space="0" w:color="auto"/>
                <w:right w:val="none" w:sz="0" w:space="0" w:color="auto"/>
              </w:divBdr>
              <w:divsChild>
                <w:div w:id="1519612451">
                  <w:marLeft w:val="0"/>
                  <w:marRight w:val="0"/>
                  <w:marTop w:val="0"/>
                  <w:marBottom w:val="0"/>
                  <w:divBdr>
                    <w:top w:val="none" w:sz="0" w:space="0" w:color="auto"/>
                    <w:left w:val="none" w:sz="0" w:space="0" w:color="auto"/>
                    <w:bottom w:val="none" w:sz="0" w:space="0" w:color="auto"/>
                    <w:right w:val="none" w:sz="0" w:space="0" w:color="auto"/>
                  </w:divBdr>
                </w:div>
              </w:divsChild>
            </w:div>
            <w:div w:id="1186360177">
              <w:marLeft w:val="0"/>
              <w:marRight w:val="0"/>
              <w:marTop w:val="0"/>
              <w:marBottom w:val="0"/>
              <w:divBdr>
                <w:top w:val="none" w:sz="0" w:space="0" w:color="auto"/>
                <w:left w:val="none" w:sz="0" w:space="0" w:color="auto"/>
                <w:bottom w:val="none" w:sz="0" w:space="0" w:color="auto"/>
                <w:right w:val="none" w:sz="0" w:space="0" w:color="auto"/>
              </w:divBdr>
              <w:divsChild>
                <w:div w:id="1828863596">
                  <w:marLeft w:val="0"/>
                  <w:marRight w:val="0"/>
                  <w:marTop w:val="0"/>
                  <w:marBottom w:val="0"/>
                  <w:divBdr>
                    <w:top w:val="none" w:sz="0" w:space="0" w:color="auto"/>
                    <w:left w:val="none" w:sz="0" w:space="0" w:color="auto"/>
                    <w:bottom w:val="none" w:sz="0" w:space="0" w:color="auto"/>
                    <w:right w:val="none" w:sz="0" w:space="0" w:color="auto"/>
                  </w:divBdr>
                </w:div>
              </w:divsChild>
            </w:div>
            <w:div w:id="1186360511">
              <w:marLeft w:val="0"/>
              <w:marRight w:val="0"/>
              <w:marTop w:val="0"/>
              <w:marBottom w:val="0"/>
              <w:divBdr>
                <w:top w:val="none" w:sz="0" w:space="0" w:color="auto"/>
                <w:left w:val="none" w:sz="0" w:space="0" w:color="auto"/>
                <w:bottom w:val="none" w:sz="0" w:space="0" w:color="auto"/>
                <w:right w:val="none" w:sz="0" w:space="0" w:color="auto"/>
              </w:divBdr>
              <w:divsChild>
                <w:div w:id="1194340888">
                  <w:marLeft w:val="0"/>
                  <w:marRight w:val="0"/>
                  <w:marTop w:val="0"/>
                  <w:marBottom w:val="0"/>
                  <w:divBdr>
                    <w:top w:val="none" w:sz="0" w:space="0" w:color="auto"/>
                    <w:left w:val="none" w:sz="0" w:space="0" w:color="auto"/>
                    <w:bottom w:val="none" w:sz="0" w:space="0" w:color="auto"/>
                    <w:right w:val="none" w:sz="0" w:space="0" w:color="auto"/>
                  </w:divBdr>
                </w:div>
              </w:divsChild>
            </w:div>
            <w:div w:id="1186673591">
              <w:marLeft w:val="0"/>
              <w:marRight w:val="0"/>
              <w:marTop w:val="0"/>
              <w:marBottom w:val="0"/>
              <w:divBdr>
                <w:top w:val="none" w:sz="0" w:space="0" w:color="auto"/>
                <w:left w:val="none" w:sz="0" w:space="0" w:color="auto"/>
                <w:bottom w:val="none" w:sz="0" w:space="0" w:color="auto"/>
                <w:right w:val="none" w:sz="0" w:space="0" w:color="auto"/>
              </w:divBdr>
              <w:divsChild>
                <w:div w:id="630088476">
                  <w:marLeft w:val="0"/>
                  <w:marRight w:val="0"/>
                  <w:marTop w:val="0"/>
                  <w:marBottom w:val="0"/>
                  <w:divBdr>
                    <w:top w:val="none" w:sz="0" w:space="0" w:color="auto"/>
                    <w:left w:val="none" w:sz="0" w:space="0" w:color="auto"/>
                    <w:bottom w:val="none" w:sz="0" w:space="0" w:color="auto"/>
                    <w:right w:val="none" w:sz="0" w:space="0" w:color="auto"/>
                  </w:divBdr>
                </w:div>
              </w:divsChild>
            </w:div>
            <w:div w:id="1188761691">
              <w:marLeft w:val="0"/>
              <w:marRight w:val="0"/>
              <w:marTop w:val="300"/>
              <w:marBottom w:val="300"/>
              <w:divBdr>
                <w:top w:val="none" w:sz="0" w:space="0" w:color="auto"/>
                <w:left w:val="none" w:sz="0" w:space="0" w:color="auto"/>
                <w:bottom w:val="none" w:sz="0" w:space="0" w:color="auto"/>
                <w:right w:val="none" w:sz="0" w:space="0" w:color="auto"/>
              </w:divBdr>
            </w:div>
            <w:div w:id="1189761143">
              <w:marLeft w:val="0"/>
              <w:marRight w:val="0"/>
              <w:marTop w:val="0"/>
              <w:marBottom w:val="0"/>
              <w:divBdr>
                <w:top w:val="none" w:sz="0" w:space="0" w:color="auto"/>
                <w:left w:val="none" w:sz="0" w:space="0" w:color="auto"/>
                <w:bottom w:val="none" w:sz="0" w:space="0" w:color="auto"/>
                <w:right w:val="none" w:sz="0" w:space="0" w:color="auto"/>
              </w:divBdr>
              <w:divsChild>
                <w:div w:id="276300358">
                  <w:marLeft w:val="0"/>
                  <w:marRight w:val="0"/>
                  <w:marTop w:val="0"/>
                  <w:marBottom w:val="0"/>
                  <w:divBdr>
                    <w:top w:val="none" w:sz="0" w:space="0" w:color="auto"/>
                    <w:left w:val="none" w:sz="0" w:space="0" w:color="auto"/>
                    <w:bottom w:val="none" w:sz="0" w:space="0" w:color="auto"/>
                    <w:right w:val="none" w:sz="0" w:space="0" w:color="auto"/>
                  </w:divBdr>
                </w:div>
              </w:divsChild>
            </w:div>
            <w:div w:id="1190531125">
              <w:marLeft w:val="0"/>
              <w:marRight w:val="0"/>
              <w:marTop w:val="300"/>
              <w:marBottom w:val="300"/>
              <w:divBdr>
                <w:top w:val="none" w:sz="0" w:space="0" w:color="auto"/>
                <w:left w:val="none" w:sz="0" w:space="0" w:color="auto"/>
                <w:bottom w:val="none" w:sz="0" w:space="0" w:color="auto"/>
                <w:right w:val="none" w:sz="0" w:space="0" w:color="auto"/>
              </w:divBdr>
            </w:div>
            <w:div w:id="1190606829">
              <w:marLeft w:val="0"/>
              <w:marRight w:val="0"/>
              <w:marTop w:val="0"/>
              <w:marBottom w:val="0"/>
              <w:divBdr>
                <w:top w:val="none" w:sz="0" w:space="0" w:color="auto"/>
                <w:left w:val="none" w:sz="0" w:space="0" w:color="auto"/>
                <w:bottom w:val="none" w:sz="0" w:space="0" w:color="auto"/>
                <w:right w:val="none" w:sz="0" w:space="0" w:color="auto"/>
              </w:divBdr>
              <w:divsChild>
                <w:div w:id="1090272866">
                  <w:marLeft w:val="0"/>
                  <w:marRight w:val="0"/>
                  <w:marTop w:val="0"/>
                  <w:marBottom w:val="0"/>
                  <w:divBdr>
                    <w:top w:val="none" w:sz="0" w:space="0" w:color="auto"/>
                    <w:left w:val="none" w:sz="0" w:space="0" w:color="auto"/>
                    <w:bottom w:val="none" w:sz="0" w:space="0" w:color="auto"/>
                    <w:right w:val="none" w:sz="0" w:space="0" w:color="auto"/>
                  </w:divBdr>
                </w:div>
              </w:divsChild>
            </w:div>
            <w:div w:id="1191379433">
              <w:marLeft w:val="0"/>
              <w:marRight w:val="0"/>
              <w:marTop w:val="300"/>
              <w:marBottom w:val="300"/>
              <w:divBdr>
                <w:top w:val="none" w:sz="0" w:space="0" w:color="auto"/>
                <w:left w:val="none" w:sz="0" w:space="0" w:color="auto"/>
                <w:bottom w:val="none" w:sz="0" w:space="0" w:color="auto"/>
                <w:right w:val="none" w:sz="0" w:space="0" w:color="auto"/>
              </w:divBdr>
            </w:div>
            <w:div w:id="1194422984">
              <w:marLeft w:val="0"/>
              <w:marRight w:val="0"/>
              <w:marTop w:val="0"/>
              <w:marBottom w:val="0"/>
              <w:divBdr>
                <w:top w:val="none" w:sz="0" w:space="0" w:color="auto"/>
                <w:left w:val="none" w:sz="0" w:space="0" w:color="auto"/>
                <w:bottom w:val="none" w:sz="0" w:space="0" w:color="auto"/>
                <w:right w:val="none" w:sz="0" w:space="0" w:color="auto"/>
              </w:divBdr>
              <w:divsChild>
                <w:div w:id="1980184325">
                  <w:marLeft w:val="0"/>
                  <w:marRight w:val="0"/>
                  <w:marTop w:val="0"/>
                  <w:marBottom w:val="0"/>
                  <w:divBdr>
                    <w:top w:val="none" w:sz="0" w:space="0" w:color="auto"/>
                    <w:left w:val="none" w:sz="0" w:space="0" w:color="auto"/>
                    <w:bottom w:val="none" w:sz="0" w:space="0" w:color="auto"/>
                    <w:right w:val="none" w:sz="0" w:space="0" w:color="auto"/>
                  </w:divBdr>
                </w:div>
              </w:divsChild>
            </w:div>
            <w:div w:id="1194732025">
              <w:marLeft w:val="0"/>
              <w:marRight w:val="0"/>
              <w:marTop w:val="0"/>
              <w:marBottom w:val="0"/>
              <w:divBdr>
                <w:top w:val="none" w:sz="0" w:space="0" w:color="auto"/>
                <w:left w:val="none" w:sz="0" w:space="0" w:color="auto"/>
                <w:bottom w:val="none" w:sz="0" w:space="0" w:color="auto"/>
                <w:right w:val="none" w:sz="0" w:space="0" w:color="auto"/>
              </w:divBdr>
              <w:divsChild>
                <w:div w:id="1732999091">
                  <w:marLeft w:val="0"/>
                  <w:marRight w:val="0"/>
                  <w:marTop w:val="0"/>
                  <w:marBottom w:val="0"/>
                  <w:divBdr>
                    <w:top w:val="none" w:sz="0" w:space="0" w:color="auto"/>
                    <w:left w:val="none" w:sz="0" w:space="0" w:color="auto"/>
                    <w:bottom w:val="none" w:sz="0" w:space="0" w:color="auto"/>
                    <w:right w:val="none" w:sz="0" w:space="0" w:color="auto"/>
                  </w:divBdr>
                </w:div>
              </w:divsChild>
            </w:div>
            <w:div w:id="1195384251">
              <w:marLeft w:val="0"/>
              <w:marRight w:val="0"/>
              <w:marTop w:val="0"/>
              <w:marBottom w:val="0"/>
              <w:divBdr>
                <w:top w:val="none" w:sz="0" w:space="0" w:color="auto"/>
                <w:left w:val="none" w:sz="0" w:space="0" w:color="auto"/>
                <w:bottom w:val="none" w:sz="0" w:space="0" w:color="auto"/>
                <w:right w:val="none" w:sz="0" w:space="0" w:color="auto"/>
              </w:divBdr>
              <w:divsChild>
                <w:div w:id="1057046217">
                  <w:marLeft w:val="0"/>
                  <w:marRight w:val="0"/>
                  <w:marTop w:val="0"/>
                  <w:marBottom w:val="0"/>
                  <w:divBdr>
                    <w:top w:val="none" w:sz="0" w:space="0" w:color="auto"/>
                    <w:left w:val="none" w:sz="0" w:space="0" w:color="auto"/>
                    <w:bottom w:val="none" w:sz="0" w:space="0" w:color="auto"/>
                    <w:right w:val="none" w:sz="0" w:space="0" w:color="auto"/>
                  </w:divBdr>
                </w:div>
              </w:divsChild>
            </w:div>
            <w:div w:id="1196893563">
              <w:marLeft w:val="0"/>
              <w:marRight w:val="0"/>
              <w:marTop w:val="0"/>
              <w:marBottom w:val="0"/>
              <w:divBdr>
                <w:top w:val="none" w:sz="0" w:space="0" w:color="auto"/>
                <w:left w:val="none" w:sz="0" w:space="0" w:color="auto"/>
                <w:bottom w:val="none" w:sz="0" w:space="0" w:color="auto"/>
                <w:right w:val="none" w:sz="0" w:space="0" w:color="auto"/>
              </w:divBdr>
              <w:divsChild>
                <w:div w:id="403987060">
                  <w:marLeft w:val="0"/>
                  <w:marRight w:val="0"/>
                  <w:marTop w:val="0"/>
                  <w:marBottom w:val="0"/>
                  <w:divBdr>
                    <w:top w:val="none" w:sz="0" w:space="0" w:color="auto"/>
                    <w:left w:val="none" w:sz="0" w:space="0" w:color="auto"/>
                    <w:bottom w:val="none" w:sz="0" w:space="0" w:color="auto"/>
                    <w:right w:val="none" w:sz="0" w:space="0" w:color="auto"/>
                  </w:divBdr>
                </w:div>
              </w:divsChild>
            </w:div>
            <w:div w:id="1197428730">
              <w:marLeft w:val="0"/>
              <w:marRight w:val="0"/>
              <w:marTop w:val="0"/>
              <w:marBottom w:val="0"/>
              <w:divBdr>
                <w:top w:val="none" w:sz="0" w:space="0" w:color="auto"/>
                <w:left w:val="none" w:sz="0" w:space="0" w:color="auto"/>
                <w:bottom w:val="none" w:sz="0" w:space="0" w:color="auto"/>
                <w:right w:val="none" w:sz="0" w:space="0" w:color="auto"/>
              </w:divBdr>
              <w:divsChild>
                <w:div w:id="309333195">
                  <w:marLeft w:val="0"/>
                  <w:marRight w:val="0"/>
                  <w:marTop w:val="0"/>
                  <w:marBottom w:val="0"/>
                  <w:divBdr>
                    <w:top w:val="none" w:sz="0" w:space="0" w:color="auto"/>
                    <w:left w:val="none" w:sz="0" w:space="0" w:color="auto"/>
                    <w:bottom w:val="none" w:sz="0" w:space="0" w:color="auto"/>
                    <w:right w:val="none" w:sz="0" w:space="0" w:color="auto"/>
                  </w:divBdr>
                </w:div>
              </w:divsChild>
            </w:div>
            <w:div w:id="1197548075">
              <w:marLeft w:val="0"/>
              <w:marRight w:val="0"/>
              <w:marTop w:val="0"/>
              <w:marBottom w:val="0"/>
              <w:divBdr>
                <w:top w:val="none" w:sz="0" w:space="0" w:color="auto"/>
                <w:left w:val="none" w:sz="0" w:space="0" w:color="auto"/>
                <w:bottom w:val="none" w:sz="0" w:space="0" w:color="auto"/>
                <w:right w:val="none" w:sz="0" w:space="0" w:color="auto"/>
              </w:divBdr>
              <w:divsChild>
                <w:div w:id="1121458740">
                  <w:marLeft w:val="0"/>
                  <w:marRight w:val="0"/>
                  <w:marTop w:val="0"/>
                  <w:marBottom w:val="0"/>
                  <w:divBdr>
                    <w:top w:val="none" w:sz="0" w:space="0" w:color="auto"/>
                    <w:left w:val="none" w:sz="0" w:space="0" w:color="auto"/>
                    <w:bottom w:val="none" w:sz="0" w:space="0" w:color="auto"/>
                    <w:right w:val="none" w:sz="0" w:space="0" w:color="auto"/>
                  </w:divBdr>
                </w:div>
              </w:divsChild>
            </w:div>
            <w:div w:id="1198087012">
              <w:marLeft w:val="0"/>
              <w:marRight w:val="0"/>
              <w:marTop w:val="0"/>
              <w:marBottom w:val="0"/>
              <w:divBdr>
                <w:top w:val="none" w:sz="0" w:space="0" w:color="auto"/>
                <w:left w:val="none" w:sz="0" w:space="0" w:color="auto"/>
                <w:bottom w:val="none" w:sz="0" w:space="0" w:color="auto"/>
                <w:right w:val="none" w:sz="0" w:space="0" w:color="auto"/>
              </w:divBdr>
              <w:divsChild>
                <w:div w:id="1257400222">
                  <w:marLeft w:val="0"/>
                  <w:marRight w:val="0"/>
                  <w:marTop w:val="0"/>
                  <w:marBottom w:val="0"/>
                  <w:divBdr>
                    <w:top w:val="none" w:sz="0" w:space="0" w:color="auto"/>
                    <w:left w:val="none" w:sz="0" w:space="0" w:color="auto"/>
                    <w:bottom w:val="none" w:sz="0" w:space="0" w:color="auto"/>
                    <w:right w:val="none" w:sz="0" w:space="0" w:color="auto"/>
                  </w:divBdr>
                </w:div>
              </w:divsChild>
            </w:div>
            <w:div w:id="1198927791">
              <w:marLeft w:val="0"/>
              <w:marRight w:val="0"/>
              <w:marTop w:val="0"/>
              <w:marBottom w:val="0"/>
              <w:divBdr>
                <w:top w:val="none" w:sz="0" w:space="0" w:color="auto"/>
                <w:left w:val="none" w:sz="0" w:space="0" w:color="auto"/>
                <w:bottom w:val="none" w:sz="0" w:space="0" w:color="auto"/>
                <w:right w:val="none" w:sz="0" w:space="0" w:color="auto"/>
              </w:divBdr>
              <w:divsChild>
                <w:div w:id="1008604053">
                  <w:marLeft w:val="0"/>
                  <w:marRight w:val="0"/>
                  <w:marTop w:val="0"/>
                  <w:marBottom w:val="0"/>
                  <w:divBdr>
                    <w:top w:val="none" w:sz="0" w:space="0" w:color="auto"/>
                    <w:left w:val="none" w:sz="0" w:space="0" w:color="auto"/>
                    <w:bottom w:val="none" w:sz="0" w:space="0" w:color="auto"/>
                    <w:right w:val="none" w:sz="0" w:space="0" w:color="auto"/>
                  </w:divBdr>
                </w:div>
              </w:divsChild>
            </w:div>
            <w:div w:id="1201893642">
              <w:marLeft w:val="0"/>
              <w:marRight w:val="0"/>
              <w:marTop w:val="300"/>
              <w:marBottom w:val="300"/>
              <w:divBdr>
                <w:top w:val="none" w:sz="0" w:space="0" w:color="auto"/>
                <w:left w:val="none" w:sz="0" w:space="0" w:color="auto"/>
                <w:bottom w:val="none" w:sz="0" w:space="0" w:color="auto"/>
                <w:right w:val="none" w:sz="0" w:space="0" w:color="auto"/>
              </w:divBdr>
            </w:div>
            <w:div w:id="1203133257">
              <w:marLeft w:val="0"/>
              <w:marRight w:val="0"/>
              <w:marTop w:val="0"/>
              <w:marBottom w:val="0"/>
              <w:divBdr>
                <w:top w:val="none" w:sz="0" w:space="0" w:color="auto"/>
                <w:left w:val="none" w:sz="0" w:space="0" w:color="auto"/>
                <w:bottom w:val="none" w:sz="0" w:space="0" w:color="auto"/>
                <w:right w:val="none" w:sz="0" w:space="0" w:color="auto"/>
              </w:divBdr>
              <w:divsChild>
                <w:div w:id="1346321294">
                  <w:marLeft w:val="0"/>
                  <w:marRight w:val="0"/>
                  <w:marTop w:val="0"/>
                  <w:marBottom w:val="0"/>
                  <w:divBdr>
                    <w:top w:val="none" w:sz="0" w:space="0" w:color="auto"/>
                    <w:left w:val="none" w:sz="0" w:space="0" w:color="auto"/>
                    <w:bottom w:val="none" w:sz="0" w:space="0" w:color="auto"/>
                    <w:right w:val="none" w:sz="0" w:space="0" w:color="auto"/>
                  </w:divBdr>
                </w:div>
              </w:divsChild>
            </w:div>
            <w:div w:id="1203522117">
              <w:marLeft w:val="0"/>
              <w:marRight w:val="0"/>
              <w:marTop w:val="0"/>
              <w:marBottom w:val="0"/>
              <w:divBdr>
                <w:top w:val="none" w:sz="0" w:space="0" w:color="auto"/>
                <w:left w:val="none" w:sz="0" w:space="0" w:color="auto"/>
                <w:bottom w:val="none" w:sz="0" w:space="0" w:color="auto"/>
                <w:right w:val="none" w:sz="0" w:space="0" w:color="auto"/>
              </w:divBdr>
              <w:divsChild>
                <w:div w:id="2133478821">
                  <w:marLeft w:val="0"/>
                  <w:marRight w:val="0"/>
                  <w:marTop w:val="0"/>
                  <w:marBottom w:val="0"/>
                  <w:divBdr>
                    <w:top w:val="none" w:sz="0" w:space="0" w:color="auto"/>
                    <w:left w:val="none" w:sz="0" w:space="0" w:color="auto"/>
                    <w:bottom w:val="none" w:sz="0" w:space="0" w:color="auto"/>
                    <w:right w:val="none" w:sz="0" w:space="0" w:color="auto"/>
                  </w:divBdr>
                </w:div>
              </w:divsChild>
            </w:div>
            <w:div w:id="1203907152">
              <w:marLeft w:val="0"/>
              <w:marRight w:val="0"/>
              <w:marTop w:val="0"/>
              <w:marBottom w:val="0"/>
              <w:divBdr>
                <w:top w:val="none" w:sz="0" w:space="0" w:color="auto"/>
                <w:left w:val="none" w:sz="0" w:space="0" w:color="auto"/>
                <w:bottom w:val="none" w:sz="0" w:space="0" w:color="auto"/>
                <w:right w:val="none" w:sz="0" w:space="0" w:color="auto"/>
              </w:divBdr>
              <w:divsChild>
                <w:div w:id="1913851743">
                  <w:marLeft w:val="0"/>
                  <w:marRight w:val="0"/>
                  <w:marTop w:val="0"/>
                  <w:marBottom w:val="0"/>
                  <w:divBdr>
                    <w:top w:val="none" w:sz="0" w:space="0" w:color="auto"/>
                    <w:left w:val="none" w:sz="0" w:space="0" w:color="auto"/>
                    <w:bottom w:val="none" w:sz="0" w:space="0" w:color="auto"/>
                    <w:right w:val="none" w:sz="0" w:space="0" w:color="auto"/>
                  </w:divBdr>
                </w:div>
              </w:divsChild>
            </w:div>
            <w:div w:id="1204711340">
              <w:marLeft w:val="0"/>
              <w:marRight w:val="0"/>
              <w:marTop w:val="300"/>
              <w:marBottom w:val="300"/>
              <w:divBdr>
                <w:top w:val="none" w:sz="0" w:space="0" w:color="auto"/>
                <w:left w:val="none" w:sz="0" w:space="0" w:color="auto"/>
                <w:bottom w:val="none" w:sz="0" w:space="0" w:color="auto"/>
                <w:right w:val="none" w:sz="0" w:space="0" w:color="auto"/>
              </w:divBdr>
            </w:div>
            <w:div w:id="1204825428">
              <w:marLeft w:val="0"/>
              <w:marRight w:val="0"/>
              <w:marTop w:val="0"/>
              <w:marBottom w:val="0"/>
              <w:divBdr>
                <w:top w:val="none" w:sz="0" w:space="0" w:color="auto"/>
                <w:left w:val="none" w:sz="0" w:space="0" w:color="auto"/>
                <w:bottom w:val="none" w:sz="0" w:space="0" w:color="auto"/>
                <w:right w:val="none" w:sz="0" w:space="0" w:color="auto"/>
              </w:divBdr>
              <w:divsChild>
                <w:div w:id="643509787">
                  <w:marLeft w:val="0"/>
                  <w:marRight w:val="0"/>
                  <w:marTop w:val="0"/>
                  <w:marBottom w:val="0"/>
                  <w:divBdr>
                    <w:top w:val="none" w:sz="0" w:space="0" w:color="auto"/>
                    <w:left w:val="none" w:sz="0" w:space="0" w:color="auto"/>
                    <w:bottom w:val="none" w:sz="0" w:space="0" w:color="auto"/>
                    <w:right w:val="none" w:sz="0" w:space="0" w:color="auto"/>
                  </w:divBdr>
                </w:div>
              </w:divsChild>
            </w:div>
            <w:div w:id="1210459132">
              <w:marLeft w:val="0"/>
              <w:marRight w:val="0"/>
              <w:marTop w:val="0"/>
              <w:marBottom w:val="0"/>
              <w:divBdr>
                <w:top w:val="none" w:sz="0" w:space="0" w:color="auto"/>
                <w:left w:val="none" w:sz="0" w:space="0" w:color="auto"/>
                <w:bottom w:val="none" w:sz="0" w:space="0" w:color="auto"/>
                <w:right w:val="none" w:sz="0" w:space="0" w:color="auto"/>
              </w:divBdr>
              <w:divsChild>
                <w:div w:id="1128202695">
                  <w:marLeft w:val="0"/>
                  <w:marRight w:val="0"/>
                  <w:marTop w:val="0"/>
                  <w:marBottom w:val="0"/>
                  <w:divBdr>
                    <w:top w:val="none" w:sz="0" w:space="0" w:color="auto"/>
                    <w:left w:val="none" w:sz="0" w:space="0" w:color="auto"/>
                    <w:bottom w:val="none" w:sz="0" w:space="0" w:color="auto"/>
                    <w:right w:val="none" w:sz="0" w:space="0" w:color="auto"/>
                  </w:divBdr>
                </w:div>
              </w:divsChild>
            </w:div>
            <w:div w:id="1210610819">
              <w:marLeft w:val="0"/>
              <w:marRight w:val="0"/>
              <w:marTop w:val="0"/>
              <w:marBottom w:val="0"/>
              <w:divBdr>
                <w:top w:val="none" w:sz="0" w:space="0" w:color="auto"/>
                <w:left w:val="none" w:sz="0" w:space="0" w:color="auto"/>
                <w:bottom w:val="none" w:sz="0" w:space="0" w:color="auto"/>
                <w:right w:val="none" w:sz="0" w:space="0" w:color="auto"/>
              </w:divBdr>
              <w:divsChild>
                <w:div w:id="161547780">
                  <w:marLeft w:val="0"/>
                  <w:marRight w:val="0"/>
                  <w:marTop w:val="0"/>
                  <w:marBottom w:val="0"/>
                  <w:divBdr>
                    <w:top w:val="none" w:sz="0" w:space="0" w:color="auto"/>
                    <w:left w:val="none" w:sz="0" w:space="0" w:color="auto"/>
                    <w:bottom w:val="none" w:sz="0" w:space="0" w:color="auto"/>
                    <w:right w:val="none" w:sz="0" w:space="0" w:color="auto"/>
                  </w:divBdr>
                </w:div>
              </w:divsChild>
            </w:div>
            <w:div w:id="1212309368">
              <w:marLeft w:val="0"/>
              <w:marRight w:val="0"/>
              <w:marTop w:val="0"/>
              <w:marBottom w:val="0"/>
              <w:divBdr>
                <w:top w:val="none" w:sz="0" w:space="0" w:color="auto"/>
                <w:left w:val="none" w:sz="0" w:space="0" w:color="auto"/>
                <w:bottom w:val="none" w:sz="0" w:space="0" w:color="auto"/>
                <w:right w:val="none" w:sz="0" w:space="0" w:color="auto"/>
              </w:divBdr>
              <w:divsChild>
                <w:div w:id="1032460625">
                  <w:marLeft w:val="0"/>
                  <w:marRight w:val="0"/>
                  <w:marTop w:val="0"/>
                  <w:marBottom w:val="0"/>
                  <w:divBdr>
                    <w:top w:val="none" w:sz="0" w:space="0" w:color="auto"/>
                    <w:left w:val="none" w:sz="0" w:space="0" w:color="auto"/>
                    <w:bottom w:val="none" w:sz="0" w:space="0" w:color="auto"/>
                    <w:right w:val="none" w:sz="0" w:space="0" w:color="auto"/>
                  </w:divBdr>
                </w:div>
              </w:divsChild>
            </w:div>
            <w:div w:id="1213150913">
              <w:marLeft w:val="0"/>
              <w:marRight w:val="0"/>
              <w:marTop w:val="0"/>
              <w:marBottom w:val="0"/>
              <w:divBdr>
                <w:top w:val="none" w:sz="0" w:space="0" w:color="auto"/>
                <w:left w:val="none" w:sz="0" w:space="0" w:color="auto"/>
                <w:bottom w:val="none" w:sz="0" w:space="0" w:color="auto"/>
                <w:right w:val="none" w:sz="0" w:space="0" w:color="auto"/>
              </w:divBdr>
              <w:divsChild>
                <w:div w:id="1084649752">
                  <w:marLeft w:val="0"/>
                  <w:marRight w:val="0"/>
                  <w:marTop w:val="0"/>
                  <w:marBottom w:val="0"/>
                  <w:divBdr>
                    <w:top w:val="none" w:sz="0" w:space="0" w:color="auto"/>
                    <w:left w:val="none" w:sz="0" w:space="0" w:color="auto"/>
                    <w:bottom w:val="none" w:sz="0" w:space="0" w:color="auto"/>
                    <w:right w:val="none" w:sz="0" w:space="0" w:color="auto"/>
                  </w:divBdr>
                </w:div>
              </w:divsChild>
            </w:div>
            <w:div w:id="1213884480">
              <w:marLeft w:val="0"/>
              <w:marRight w:val="0"/>
              <w:marTop w:val="0"/>
              <w:marBottom w:val="0"/>
              <w:divBdr>
                <w:top w:val="none" w:sz="0" w:space="0" w:color="auto"/>
                <w:left w:val="none" w:sz="0" w:space="0" w:color="auto"/>
                <w:bottom w:val="none" w:sz="0" w:space="0" w:color="auto"/>
                <w:right w:val="none" w:sz="0" w:space="0" w:color="auto"/>
              </w:divBdr>
              <w:divsChild>
                <w:div w:id="243732439">
                  <w:marLeft w:val="0"/>
                  <w:marRight w:val="0"/>
                  <w:marTop w:val="0"/>
                  <w:marBottom w:val="0"/>
                  <w:divBdr>
                    <w:top w:val="none" w:sz="0" w:space="0" w:color="auto"/>
                    <w:left w:val="none" w:sz="0" w:space="0" w:color="auto"/>
                    <w:bottom w:val="none" w:sz="0" w:space="0" w:color="auto"/>
                    <w:right w:val="none" w:sz="0" w:space="0" w:color="auto"/>
                  </w:divBdr>
                </w:div>
              </w:divsChild>
            </w:div>
            <w:div w:id="1214345589">
              <w:marLeft w:val="0"/>
              <w:marRight w:val="0"/>
              <w:marTop w:val="0"/>
              <w:marBottom w:val="0"/>
              <w:divBdr>
                <w:top w:val="none" w:sz="0" w:space="0" w:color="auto"/>
                <w:left w:val="none" w:sz="0" w:space="0" w:color="auto"/>
                <w:bottom w:val="none" w:sz="0" w:space="0" w:color="auto"/>
                <w:right w:val="none" w:sz="0" w:space="0" w:color="auto"/>
              </w:divBdr>
              <w:divsChild>
                <w:div w:id="1850296494">
                  <w:marLeft w:val="0"/>
                  <w:marRight w:val="0"/>
                  <w:marTop w:val="0"/>
                  <w:marBottom w:val="0"/>
                  <w:divBdr>
                    <w:top w:val="none" w:sz="0" w:space="0" w:color="auto"/>
                    <w:left w:val="none" w:sz="0" w:space="0" w:color="auto"/>
                    <w:bottom w:val="none" w:sz="0" w:space="0" w:color="auto"/>
                    <w:right w:val="none" w:sz="0" w:space="0" w:color="auto"/>
                  </w:divBdr>
                </w:div>
              </w:divsChild>
            </w:div>
            <w:div w:id="1215194145">
              <w:marLeft w:val="0"/>
              <w:marRight w:val="0"/>
              <w:marTop w:val="300"/>
              <w:marBottom w:val="300"/>
              <w:divBdr>
                <w:top w:val="none" w:sz="0" w:space="0" w:color="auto"/>
                <w:left w:val="none" w:sz="0" w:space="0" w:color="auto"/>
                <w:bottom w:val="none" w:sz="0" w:space="0" w:color="auto"/>
                <w:right w:val="none" w:sz="0" w:space="0" w:color="auto"/>
              </w:divBdr>
            </w:div>
            <w:div w:id="1215699843">
              <w:marLeft w:val="0"/>
              <w:marRight w:val="0"/>
              <w:marTop w:val="0"/>
              <w:marBottom w:val="0"/>
              <w:divBdr>
                <w:top w:val="none" w:sz="0" w:space="0" w:color="auto"/>
                <w:left w:val="none" w:sz="0" w:space="0" w:color="auto"/>
                <w:bottom w:val="none" w:sz="0" w:space="0" w:color="auto"/>
                <w:right w:val="none" w:sz="0" w:space="0" w:color="auto"/>
              </w:divBdr>
              <w:divsChild>
                <w:div w:id="1240402636">
                  <w:marLeft w:val="0"/>
                  <w:marRight w:val="0"/>
                  <w:marTop w:val="0"/>
                  <w:marBottom w:val="0"/>
                  <w:divBdr>
                    <w:top w:val="none" w:sz="0" w:space="0" w:color="auto"/>
                    <w:left w:val="none" w:sz="0" w:space="0" w:color="auto"/>
                    <w:bottom w:val="none" w:sz="0" w:space="0" w:color="auto"/>
                    <w:right w:val="none" w:sz="0" w:space="0" w:color="auto"/>
                  </w:divBdr>
                </w:div>
              </w:divsChild>
            </w:div>
            <w:div w:id="1216233585">
              <w:marLeft w:val="0"/>
              <w:marRight w:val="0"/>
              <w:marTop w:val="300"/>
              <w:marBottom w:val="300"/>
              <w:divBdr>
                <w:top w:val="none" w:sz="0" w:space="0" w:color="auto"/>
                <w:left w:val="none" w:sz="0" w:space="0" w:color="auto"/>
                <w:bottom w:val="none" w:sz="0" w:space="0" w:color="auto"/>
                <w:right w:val="none" w:sz="0" w:space="0" w:color="auto"/>
              </w:divBdr>
            </w:div>
            <w:div w:id="1219169481">
              <w:marLeft w:val="0"/>
              <w:marRight w:val="0"/>
              <w:marTop w:val="0"/>
              <w:marBottom w:val="0"/>
              <w:divBdr>
                <w:top w:val="none" w:sz="0" w:space="0" w:color="auto"/>
                <w:left w:val="none" w:sz="0" w:space="0" w:color="auto"/>
                <w:bottom w:val="none" w:sz="0" w:space="0" w:color="auto"/>
                <w:right w:val="none" w:sz="0" w:space="0" w:color="auto"/>
              </w:divBdr>
              <w:divsChild>
                <w:div w:id="1011682357">
                  <w:marLeft w:val="0"/>
                  <w:marRight w:val="0"/>
                  <w:marTop w:val="0"/>
                  <w:marBottom w:val="0"/>
                  <w:divBdr>
                    <w:top w:val="none" w:sz="0" w:space="0" w:color="auto"/>
                    <w:left w:val="none" w:sz="0" w:space="0" w:color="auto"/>
                    <w:bottom w:val="none" w:sz="0" w:space="0" w:color="auto"/>
                    <w:right w:val="none" w:sz="0" w:space="0" w:color="auto"/>
                  </w:divBdr>
                </w:div>
              </w:divsChild>
            </w:div>
            <w:div w:id="1222134227">
              <w:marLeft w:val="0"/>
              <w:marRight w:val="0"/>
              <w:marTop w:val="300"/>
              <w:marBottom w:val="300"/>
              <w:divBdr>
                <w:top w:val="none" w:sz="0" w:space="0" w:color="auto"/>
                <w:left w:val="none" w:sz="0" w:space="0" w:color="auto"/>
                <w:bottom w:val="none" w:sz="0" w:space="0" w:color="auto"/>
                <w:right w:val="none" w:sz="0" w:space="0" w:color="auto"/>
              </w:divBdr>
            </w:div>
            <w:div w:id="1222524357">
              <w:marLeft w:val="0"/>
              <w:marRight w:val="0"/>
              <w:marTop w:val="0"/>
              <w:marBottom w:val="0"/>
              <w:divBdr>
                <w:top w:val="none" w:sz="0" w:space="0" w:color="auto"/>
                <w:left w:val="none" w:sz="0" w:space="0" w:color="auto"/>
                <w:bottom w:val="none" w:sz="0" w:space="0" w:color="auto"/>
                <w:right w:val="none" w:sz="0" w:space="0" w:color="auto"/>
              </w:divBdr>
              <w:divsChild>
                <w:div w:id="329334430">
                  <w:marLeft w:val="0"/>
                  <w:marRight w:val="0"/>
                  <w:marTop w:val="0"/>
                  <w:marBottom w:val="0"/>
                  <w:divBdr>
                    <w:top w:val="none" w:sz="0" w:space="0" w:color="auto"/>
                    <w:left w:val="none" w:sz="0" w:space="0" w:color="auto"/>
                    <w:bottom w:val="none" w:sz="0" w:space="0" w:color="auto"/>
                    <w:right w:val="none" w:sz="0" w:space="0" w:color="auto"/>
                  </w:divBdr>
                </w:div>
              </w:divsChild>
            </w:div>
            <w:div w:id="1223516778">
              <w:marLeft w:val="0"/>
              <w:marRight w:val="0"/>
              <w:marTop w:val="0"/>
              <w:marBottom w:val="0"/>
              <w:divBdr>
                <w:top w:val="none" w:sz="0" w:space="0" w:color="auto"/>
                <w:left w:val="none" w:sz="0" w:space="0" w:color="auto"/>
                <w:bottom w:val="none" w:sz="0" w:space="0" w:color="auto"/>
                <w:right w:val="none" w:sz="0" w:space="0" w:color="auto"/>
              </w:divBdr>
              <w:divsChild>
                <w:div w:id="197087973">
                  <w:marLeft w:val="0"/>
                  <w:marRight w:val="0"/>
                  <w:marTop w:val="0"/>
                  <w:marBottom w:val="0"/>
                  <w:divBdr>
                    <w:top w:val="none" w:sz="0" w:space="0" w:color="auto"/>
                    <w:left w:val="none" w:sz="0" w:space="0" w:color="auto"/>
                    <w:bottom w:val="none" w:sz="0" w:space="0" w:color="auto"/>
                    <w:right w:val="none" w:sz="0" w:space="0" w:color="auto"/>
                  </w:divBdr>
                </w:div>
              </w:divsChild>
            </w:div>
            <w:div w:id="1224101630">
              <w:marLeft w:val="0"/>
              <w:marRight w:val="0"/>
              <w:marTop w:val="0"/>
              <w:marBottom w:val="0"/>
              <w:divBdr>
                <w:top w:val="none" w:sz="0" w:space="0" w:color="auto"/>
                <w:left w:val="none" w:sz="0" w:space="0" w:color="auto"/>
                <w:bottom w:val="none" w:sz="0" w:space="0" w:color="auto"/>
                <w:right w:val="none" w:sz="0" w:space="0" w:color="auto"/>
              </w:divBdr>
              <w:divsChild>
                <w:div w:id="203254790">
                  <w:marLeft w:val="0"/>
                  <w:marRight w:val="0"/>
                  <w:marTop w:val="0"/>
                  <w:marBottom w:val="0"/>
                  <w:divBdr>
                    <w:top w:val="none" w:sz="0" w:space="0" w:color="auto"/>
                    <w:left w:val="none" w:sz="0" w:space="0" w:color="auto"/>
                    <w:bottom w:val="none" w:sz="0" w:space="0" w:color="auto"/>
                    <w:right w:val="none" w:sz="0" w:space="0" w:color="auto"/>
                  </w:divBdr>
                </w:div>
              </w:divsChild>
            </w:div>
            <w:div w:id="1225721353">
              <w:marLeft w:val="0"/>
              <w:marRight w:val="0"/>
              <w:marTop w:val="0"/>
              <w:marBottom w:val="0"/>
              <w:divBdr>
                <w:top w:val="none" w:sz="0" w:space="0" w:color="auto"/>
                <w:left w:val="none" w:sz="0" w:space="0" w:color="auto"/>
                <w:bottom w:val="none" w:sz="0" w:space="0" w:color="auto"/>
                <w:right w:val="none" w:sz="0" w:space="0" w:color="auto"/>
              </w:divBdr>
              <w:divsChild>
                <w:div w:id="105929923">
                  <w:marLeft w:val="0"/>
                  <w:marRight w:val="0"/>
                  <w:marTop w:val="0"/>
                  <w:marBottom w:val="0"/>
                  <w:divBdr>
                    <w:top w:val="none" w:sz="0" w:space="0" w:color="auto"/>
                    <w:left w:val="none" w:sz="0" w:space="0" w:color="auto"/>
                    <w:bottom w:val="none" w:sz="0" w:space="0" w:color="auto"/>
                    <w:right w:val="none" w:sz="0" w:space="0" w:color="auto"/>
                  </w:divBdr>
                </w:div>
              </w:divsChild>
            </w:div>
            <w:div w:id="1227183607">
              <w:marLeft w:val="0"/>
              <w:marRight w:val="0"/>
              <w:marTop w:val="0"/>
              <w:marBottom w:val="0"/>
              <w:divBdr>
                <w:top w:val="none" w:sz="0" w:space="0" w:color="auto"/>
                <w:left w:val="none" w:sz="0" w:space="0" w:color="auto"/>
                <w:bottom w:val="none" w:sz="0" w:space="0" w:color="auto"/>
                <w:right w:val="none" w:sz="0" w:space="0" w:color="auto"/>
              </w:divBdr>
              <w:divsChild>
                <w:div w:id="560095324">
                  <w:marLeft w:val="0"/>
                  <w:marRight w:val="0"/>
                  <w:marTop w:val="0"/>
                  <w:marBottom w:val="0"/>
                  <w:divBdr>
                    <w:top w:val="none" w:sz="0" w:space="0" w:color="auto"/>
                    <w:left w:val="none" w:sz="0" w:space="0" w:color="auto"/>
                    <w:bottom w:val="none" w:sz="0" w:space="0" w:color="auto"/>
                    <w:right w:val="none" w:sz="0" w:space="0" w:color="auto"/>
                  </w:divBdr>
                </w:div>
              </w:divsChild>
            </w:div>
            <w:div w:id="1227953219">
              <w:marLeft w:val="0"/>
              <w:marRight w:val="0"/>
              <w:marTop w:val="0"/>
              <w:marBottom w:val="0"/>
              <w:divBdr>
                <w:top w:val="none" w:sz="0" w:space="0" w:color="auto"/>
                <w:left w:val="none" w:sz="0" w:space="0" w:color="auto"/>
                <w:bottom w:val="none" w:sz="0" w:space="0" w:color="auto"/>
                <w:right w:val="none" w:sz="0" w:space="0" w:color="auto"/>
              </w:divBdr>
              <w:divsChild>
                <w:div w:id="1582594922">
                  <w:marLeft w:val="0"/>
                  <w:marRight w:val="0"/>
                  <w:marTop w:val="0"/>
                  <w:marBottom w:val="0"/>
                  <w:divBdr>
                    <w:top w:val="none" w:sz="0" w:space="0" w:color="auto"/>
                    <w:left w:val="none" w:sz="0" w:space="0" w:color="auto"/>
                    <w:bottom w:val="none" w:sz="0" w:space="0" w:color="auto"/>
                    <w:right w:val="none" w:sz="0" w:space="0" w:color="auto"/>
                  </w:divBdr>
                </w:div>
              </w:divsChild>
            </w:div>
            <w:div w:id="1229221253">
              <w:marLeft w:val="0"/>
              <w:marRight w:val="0"/>
              <w:marTop w:val="0"/>
              <w:marBottom w:val="0"/>
              <w:divBdr>
                <w:top w:val="none" w:sz="0" w:space="0" w:color="auto"/>
                <w:left w:val="none" w:sz="0" w:space="0" w:color="auto"/>
                <w:bottom w:val="none" w:sz="0" w:space="0" w:color="auto"/>
                <w:right w:val="none" w:sz="0" w:space="0" w:color="auto"/>
              </w:divBdr>
              <w:divsChild>
                <w:div w:id="564293541">
                  <w:marLeft w:val="0"/>
                  <w:marRight w:val="0"/>
                  <w:marTop w:val="0"/>
                  <w:marBottom w:val="0"/>
                  <w:divBdr>
                    <w:top w:val="none" w:sz="0" w:space="0" w:color="auto"/>
                    <w:left w:val="none" w:sz="0" w:space="0" w:color="auto"/>
                    <w:bottom w:val="none" w:sz="0" w:space="0" w:color="auto"/>
                    <w:right w:val="none" w:sz="0" w:space="0" w:color="auto"/>
                  </w:divBdr>
                </w:div>
              </w:divsChild>
            </w:div>
            <w:div w:id="1230118785">
              <w:marLeft w:val="0"/>
              <w:marRight w:val="0"/>
              <w:marTop w:val="300"/>
              <w:marBottom w:val="300"/>
              <w:divBdr>
                <w:top w:val="none" w:sz="0" w:space="0" w:color="auto"/>
                <w:left w:val="none" w:sz="0" w:space="0" w:color="auto"/>
                <w:bottom w:val="none" w:sz="0" w:space="0" w:color="auto"/>
                <w:right w:val="none" w:sz="0" w:space="0" w:color="auto"/>
              </w:divBdr>
            </w:div>
            <w:div w:id="1233203023">
              <w:marLeft w:val="0"/>
              <w:marRight w:val="0"/>
              <w:marTop w:val="0"/>
              <w:marBottom w:val="0"/>
              <w:divBdr>
                <w:top w:val="none" w:sz="0" w:space="0" w:color="auto"/>
                <w:left w:val="none" w:sz="0" w:space="0" w:color="auto"/>
                <w:bottom w:val="none" w:sz="0" w:space="0" w:color="auto"/>
                <w:right w:val="none" w:sz="0" w:space="0" w:color="auto"/>
              </w:divBdr>
              <w:divsChild>
                <w:div w:id="1012563638">
                  <w:marLeft w:val="0"/>
                  <w:marRight w:val="0"/>
                  <w:marTop w:val="0"/>
                  <w:marBottom w:val="0"/>
                  <w:divBdr>
                    <w:top w:val="none" w:sz="0" w:space="0" w:color="auto"/>
                    <w:left w:val="none" w:sz="0" w:space="0" w:color="auto"/>
                    <w:bottom w:val="none" w:sz="0" w:space="0" w:color="auto"/>
                    <w:right w:val="none" w:sz="0" w:space="0" w:color="auto"/>
                  </w:divBdr>
                </w:div>
              </w:divsChild>
            </w:div>
            <w:div w:id="1233660064">
              <w:marLeft w:val="0"/>
              <w:marRight w:val="0"/>
              <w:marTop w:val="0"/>
              <w:marBottom w:val="0"/>
              <w:divBdr>
                <w:top w:val="none" w:sz="0" w:space="0" w:color="auto"/>
                <w:left w:val="none" w:sz="0" w:space="0" w:color="auto"/>
                <w:bottom w:val="none" w:sz="0" w:space="0" w:color="auto"/>
                <w:right w:val="none" w:sz="0" w:space="0" w:color="auto"/>
              </w:divBdr>
              <w:divsChild>
                <w:div w:id="473717998">
                  <w:marLeft w:val="0"/>
                  <w:marRight w:val="0"/>
                  <w:marTop w:val="0"/>
                  <w:marBottom w:val="0"/>
                  <w:divBdr>
                    <w:top w:val="none" w:sz="0" w:space="0" w:color="auto"/>
                    <w:left w:val="none" w:sz="0" w:space="0" w:color="auto"/>
                    <w:bottom w:val="none" w:sz="0" w:space="0" w:color="auto"/>
                    <w:right w:val="none" w:sz="0" w:space="0" w:color="auto"/>
                  </w:divBdr>
                </w:div>
              </w:divsChild>
            </w:div>
            <w:div w:id="1235166698">
              <w:marLeft w:val="0"/>
              <w:marRight w:val="0"/>
              <w:marTop w:val="0"/>
              <w:marBottom w:val="0"/>
              <w:divBdr>
                <w:top w:val="none" w:sz="0" w:space="0" w:color="auto"/>
                <w:left w:val="none" w:sz="0" w:space="0" w:color="auto"/>
                <w:bottom w:val="none" w:sz="0" w:space="0" w:color="auto"/>
                <w:right w:val="none" w:sz="0" w:space="0" w:color="auto"/>
              </w:divBdr>
              <w:divsChild>
                <w:div w:id="353842855">
                  <w:marLeft w:val="0"/>
                  <w:marRight w:val="0"/>
                  <w:marTop w:val="0"/>
                  <w:marBottom w:val="0"/>
                  <w:divBdr>
                    <w:top w:val="none" w:sz="0" w:space="0" w:color="auto"/>
                    <w:left w:val="none" w:sz="0" w:space="0" w:color="auto"/>
                    <w:bottom w:val="none" w:sz="0" w:space="0" w:color="auto"/>
                    <w:right w:val="none" w:sz="0" w:space="0" w:color="auto"/>
                  </w:divBdr>
                </w:div>
              </w:divsChild>
            </w:div>
            <w:div w:id="1235820979">
              <w:marLeft w:val="0"/>
              <w:marRight w:val="0"/>
              <w:marTop w:val="300"/>
              <w:marBottom w:val="300"/>
              <w:divBdr>
                <w:top w:val="none" w:sz="0" w:space="0" w:color="auto"/>
                <w:left w:val="none" w:sz="0" w:space="0" w:color="auto"/>
                <w:bottom w:val="none" w:sz="0" w:space="0" w:color="auto"/>
                <w:right w:val="none" w:sz="0" w:space="0" w:color="auto"/>
              </w:divBdr>
            </w:div>
            <w:div w:id="1236089529">
              <w:marLeft w:val="0"/>
              <w:marRight w:val="0"/>
              <w:marTop w:val="0"/>
              <w:marBottom w:val="0"/>
              <w:divBdr>
                <w:top w:val="none" w:sz="0" w:space="0" w:color="auto"/>
                <w:left w:val="none" w:sz="0" w:space="0" w:color="auto"/>
                <w:bottom w:val="none" w:sz="0" w:space="0" w:color="auto"/>
                <w:right w:val="none" w:sz="0" w:space="0" w:color="auto"/>
              </w:divBdr>
              <w:divsChild>
                <w:div w:id="47269248">
                  <w:marLeft w:val="0"/>
                  <w:marRight w:val="0"/>
                  <w:marTop w:val="0"/>
                  <w:marBottom w:val="0"/>
                  <w:divBdr>
                    <w:top w:val="none" w:sz="0" w:space="0" w:color="auto"/>
                    <w:left w:val="none" w:sz="0" w:space="0" w:color="auto"/>
                    <w:bottom w:val="none" w:sz="0" w:space="0" w:color="auto"/>
                    <w:right w:val="none" w:sz="0" w:space="0" w:color="auto"/>
                  </w:divBdr>
                </w:div>
              </w:divsChild>
            </w:div>
            <w:div w:id="1237745305">
              <w:marLeft w:val="0"/>
              <w:marRight w:val="0"/>
              <w:marTop w:val="0"/>
              <w:marBottom w:val="0"/>
              <w:divBdr>
                <w:top w:val="none" w:sz="0" w:space="0" w:color="auto"/>
                <w:left w:val="none" w:sz="0" w:space="0" w:color="auto"/>
                <w:bottom w:val="none" w:sz="0" w:space="0" w:color="auto"/>
                <w:right w:val="none" w:sz="0" w:space="0" w:color="auto"/>
              </w:divBdr>
              <w:divsChild>
                <w:div w:id="833645497">
                  <w:marLeft w:val="0"/>
                  <w:marRight w:val="0"/>
                  <w:marTop w:val="0"/>
                  <w:marBottom w:val="0"/>
                  <w:divBdr>
                    <w:top w:val="none" w:sz="0" w:space="0" w:color="auto"/>
                    <w:left w:val="none" w:sz="0" w:space="0" w:color="auto"/>
                    <w:bottom w:val="none" w:sz="0" w:space="0" w:color="auto"/>
                    <w:right w:val="none" w:sz="0" w:space="0" w:color="auto"/>
                  </w:divBdr>
                </w:div>
              </w:divsChild>
            </w:div>
            <w:div w:id="1238200813">
              <w:marLeft w:val="0"/>
              <w:marRight w:val="0"/>
              <w:marTop w:val="0"/>
              <w:marBottom w:val="0"/>
              <w:divBdr>
                <w:top w:val="none" w:sz="0" w:space="0" w:color="auto"/>
                <w:left w:val="none" w:sz="0" w:space="0" w:color="auto"/>
                <w:bottom w:val="none" w:sz="0" w:space="0" w:color="auto"/>
                <w:right w:val="none" w:sz="0" w:space="0" w:color="auto"/>
              </w:divBdr>
              <w:divsChild>
                <w:div w:id="1122118991">
                  <w:marLeft w:val="0"/>
                  <w:marRight w:val="0"/>
                  <w:marTop w:val="0"/>
                  <w:marBottom w:val="0"/>
                  <w:divBdr>
                    <w:top w:val="none" w:sz="0" w:space="0" w:color="auto"/>
                    <w:left w:val="none" w:sz="0" w:space="0" w:color="auto"/>
                    <w:bottom w:val="none" w:sz="0" w:space="0" w:color="auto"/>
                    <w:right w:val="none" w:sz="0" w:space="0" w:color="auto"/>
                  </w:divBdr>
                </w:div>
              </w:divsChild>
            </w:div>
            <w:div w:id="1238711331">
              <w:marLeft w:val="0"/>
              <w:marRight w:val="0"/>
              <w:marTop w:val="0"/>
              <w:marBottom w:val="0"/>
              <w:divBdr>
                <w:top w:val="none" w:sz="0" w:space="0" w:color="auto"/>
                <w:left w:val="none" w:sz="0" w:space="0" w:color="auto"/>
                <w:bottom w:val="none" w:sz="0" w:space="0" w:color="auto"/>
                <w:right w:val="none" w:sz="0" w:space="0" w:color="auto"/>
              </w:divBdr>
              <w:divsChild>
                <w:div w:id="648249091">
                  <w:marLeft w:val="0"/>
                  <w:marRight w:val="0"/>
                  <w:marTop w:val="0"/>
                  <w:marBottom w:val="0"/>
                  <w:divBdr>
                    <w:top w:val="none" w:sz="0" w:space="0" w:color="auto"/>
                    <w:left w:val="none" w:sz="0" w:space="0" w:color="auto"/>
                    <w:bottom w:val="none" w:sz="0" w:space="0" w:color="auto"/>
                    <w:right w:val="none" w:sz="0" w:space="0" w:color="auto"/>
                  </w:divBdr>
                </w:div>
              </w:divsChild>
            </w:div>
            <w:div w:id="1241449892">
              <w:marLeft w:val="0"/>
              <w:marRight w:val="0"/>
              <w:marTop w:val="0"/>
              <w:marBottom w:val="0"/>
              <w:divBdr>
                <w:top w:val="none" w:sz="0" w:space="0" w:color="auto"/>
                <w:left w:val="none" w:sz="0" w:space="0" w:color="auto"/>
                <w:bottom w:val="none" w:sz="0" w:space="0" w:color="auto"/>
                <w:right w:val="none" w:sz="0" w:space="0" w:color="auto"/>
              </w:divBdr>
              <w:divsChild>
                <w:div w:id="1163230826">
                  <w:marLeft w:val="0"/>
                  <w:marRight w:val="0"/>
                  <w:marTop w:val="0"/>
                  <w:marBottom w:val="0"/>
                  <w:divBdr>
                    <w:top w:val="none" w:sz="0" w:space="0" w:color="auto"/>
                    <w:left w:val="none" w:sz="0" w:space="0" w:color="auto"/>
                    <w:bottom w:val="none" w:sz="0" w:space="0" w:color="auto"/>
                    <w:right w:val="none" w:sz="0" w:space="0" w:color="auto"/>
                  </w:divBdr>
                </w:div>
              </w:divsChild>
            </w:div>
            <w:div w:id="1242985972">
              <w:marLeft w:val="0"/>
              <w:marRight w:val="0"/>
              <w:marTop w:val="300"/>
              <w:marBottom w:val="300"/>
              <w:divBdr>
                <w:top w:val="none" w:sz="0" w:space="0" w:color="auto"/>
                <w:left w:val="none" w:sz="0" w:space="0" w:color="auto"/>
                <w:bottom w:val="none" w:sz="0" w:space="0" w:color="auto"/>
                <w:right w:val="none" w:sz="0" w:space="0" w:color="auto"/>
              </w:divBdr>
            </w:div>
            <w:div w:id="1243099987">
              <w:marLeft w:val="0"/>
              <w:marRight w:val="0"/>
              <w:marTop w:val="0"/>
              <w:marBottom w:val="0"/>
              <w:divBdr>
                <w:top w:val="none" w:sz="0" w:space="0" w:color="auto"/>
                <w:left w:val="none" w:sz="0" w:space="0" w:color="auto"/>
                <w:bottom w:val="none" w:sz="0" w:space="0" w:color="auto"/>
                <w:right w:val="none" w:sz="0" w:space="0" w:color="auto"/>
              </w:divBdr>
              <w:divsChild>
                <w:div w:id="466898124">
                  <w:marLeft w:val="0"/>
                  <w:marRight w:val="0"/>
                  <w:marTop w:val="0"/>
                  <w:marBottom w:val="0"/>
                  <w:divBdr>
                    <w:top w:val="none" w:sz="0" w:space="0" w:color="auto"/>
                    <w:left w:val="none" w:sz="0" w:space="0" w:color="auto"/>
                    <w:bottom w:val="none" w:sz="0" w:space="0" w:color="auto"/>
                    <w:right w:val="none" w:sz="0" w:space="0" w:color="auto"/>
                  </w:divBdr>
                </w:div>
              </w:divsChild>
            </w:div>
            <w:div w:id="1244341512">
              <w:marLeft w:val="0"/>
              <w:marRight w:val="0"/>
              <w:marTop w:val="300"/>
              <w:marBottom w:val="300"/>
              <w:divBdr>
                <w:top w:val="none" w:sz="0" w:space="0" w:color="auto"/>
                <w:left w:val="none" w:sz="0" w:space="0" w:color="auto"/>
                <w:bottom w:val="none" w:sz="0" w:space="0" w:color="auto"/>
                <w:right w:val="none" w:sz="0" w:space="0" w:color="auto"/>
              </w:divBdr>
            </w:div>
            <w:div w:id="1244487171">
              <w:marLeft w:val="0"/>
              <w:marRight w:val="0"/>
              <w:marTop w:val="0"/>
              <w:marBottom w:val="0"/>
              <w:divBdr>
                <w:top w:val="none" w:sz="0" w:space="0" w:color="auto"/>
                <w:left w:val="none" w:sz="0" w:space="0" w:color="auto"/>
                <w:bottom w:val="none" w:sz="0" w:space="0" w:color="auto"/>
                <w:right w:val="none" w:sz="0" w:space="0" w:color="auto"/>
              </w:divBdr>
              <w:divsChild>
                <w:div w:id="829752576">
                  <w:marLeft w:val="0"/>
                  <w:marRight w:val="0"/>
                  <w:marTop w:val="0"/>
                  <w:marBottom w:val="0"/>
                  <w:divBdr>
                    <w:top w:val="none" w:sz="0" w:space="0" w:color="auto"/>
                    <w:left w:val="none" w:sz="0" w:space="0" w:color="auto"/>
                    <w:bottom w:val="none" w:sz="0" w:space="0" w:color="auto"/>
                    <w:right w:val="none" w:sz="0" w:space="0" w:color="auto"/>
                  </w:divBdr>
                </w:div>
              </w:divsChild>
            </w:div>
            <w:div w:id="1246456393">
              <w:marLeft w:val="0"/>
              <w:marRight w:val="0"/>
              <w:marTop w:val="0"/>
              <w:marBottom w:val="0"/>
              <w:divBdr>
                <w:top w:val="none" w:sz="0" w:space="0" w:color="auto"/>
                <w:left w:val="none" w:sz="0" w:space="0" w:color="auto"/>
                <w:bottom w:val="none" w:sz="0" w:space="0" w:color="auto"/>
                <w:right w:val="none" w:sz="0" w:space="0" w:color="auto"/>
              </w:divBdr>
              <w:divsChild>
                <w:div w:id="1826235440">
                  <w:marLeft w:val="0"/>
                  <w:marRight w:val="0"/>
                  <w:marTop w:val="0"/>
                  <w:marBottom w:val="0"/>
                  <w:divBdr>
                    <w:top w:val="none" w:sz="0" w:space="0" w:color="auto"/>
                    <w:left w:val="none" w:sz="0" w:space="0" w:color="auto"/>
                    <w:bottom w:val="none" w:sz="0" w:space="0" w:color="auto"/>
                    <w:right w:val="none" w:sz="0" w:space="0" w:color="auto"/>
                  </w:divBdr>
                </w:div>
              </w:divsChild>
            </w:div>
            <w:div w:id="1246573094">
              <w:marLeft w:val="0"/>
              <w:marRight w:val="0"/>
              <w:marTop w:val="0"/>
              <w:marBottom w:val="0"/>
              <w:divBdr>
                <w:top w:val="none" w:sz="0" w:space="0" w:color="auto"/>
                <w:left w:val="none" w:sz="0" w:space="0" w:color="auto"/>
                <w:bottom w:val="none" w:sz="0" w:space="0" w:color="auto"/>
                <w:right w:val="none" w:sz="0" w:space="0" w:color="auto"/>
              </w:divBdr>
              <w:divsChild>
                <w:div w:id="1379891914">
                  <w:marLeft w:val="0"/>
                  <w:marRight w:val="0"/>
                  <w:marTop w:val="0"/>
                  <w:marBottom w:val="0"/>
                  <w:divBdr>
                    <w:top w:val="none" w:sz="0" w:space="0" w:color="auto"/>
                    <w:left w:val="none" w:sz="0" w:space="0" w:color="auto"/>
                    <w:bottom w:val="none" w:sz="0" w:space="0" w:color="auto"/>
                    <w:right w:val="none" w:sz="0" w:space="0" w:color="auto"/>
                  </w:divBdr>
                </w:div>
              </w:divsChild>
            </w:div>
            <w:div w:id="1247766079">
              <w:marLeft w:val="0"/>
              <w:marRight w:val="0"/>
              <w:marTop w:val="0"/>
              <w:marBottom w:val="0"/>
              <w:divBdr>
                <w:top w:val="none" w:sz="0" w:space="0" w:color="auto"/>
                <w:left w:val="none" w:sz="0" w:space="0" w:color="auto"/>
                <w:bottom w:val="none" w:sz="0" w:space="0" w:color="auto"/>
                <w:right w:val="none" w:sz="0" w:space="0" w:color="auto"/>
              </w:divBdr>
              <w:divsChild>
                <w:div w:id="546263164">
                  <w:marLeft w:val="0"/>
                  <w:marRight w:val="0"/>
                  <w:marTop w:val="0"/>
                  <w:marBottom w:val="0"/>
                  <w:divBdr>
                    <w:top w:val="none" w:sz="0" w:space="0" w:color="auto"/>
                    <w:left w:val="none" w:sz="0" w:space="0" w:color="auto"/>
                    <w:bottom w:val="none" w:sz="0" w:space="0" w:color="auto"/>
                    <w:right w:val="none" w:sz="0" w:space="0" w:color="auto"/>
                  </w:divBdr>
                </w:div>
              </w:divsChild>
            </w:div>
            <w:div w:id="1247806183">
              <w:marLeft w:val="0"/>
              <w:marRight w:val="0"/>
              <w:marTop w:val="0"/>
              <w:marBottom w:val="0"/>
              <w:divBdr>
                <w:top w:val="none" w:sz="0" w:space="0" w:color="auto"/>
                <w:left w:val="none" w:sz="0" w:space="0" w:color="auto"/>
                <w:bottom w:val="none" w:sz="0" w:space="0" w:color="auto"/>
                <w:right w:val="none" w:sz="0" w:space="0" w:color="auto"/>
              </w:divBdr>
              <w:divsChild>
                <w:div w:id="1201820773">
                  <w:marLeft w:val="0"/>
                  <w:marRight w:val="0"/>
                  <w:marTop w:val="0"/>
                  <w:marBottom w:val="0"/>
                  <w:divBdr>
                    <w:top w:val="none" w:sz="0" w:space="0" w:color="auto"/>
                    <w:left w:val="none" w:sz="0" w:space="0" w:color="auto"/>
                    <w:bottom w:val="none" w:sz="0" w:space="0" w:color="auto"/>
                    <w:right w:val="none" w:sz="0" w:space="0" w:color="auto"/>
                  </w:divBdr>
                </w:div>
              </w:divsChild>
            </w:div>
            <w:div w:id="1250655893">
              <w:marLeft w:val="0"/>
              <w:marRight w:val="0"/>
              <w:marTop w:val="0"/>
              <w:marBottom w:val="0"/>
              <w:divBdr>
                <w:top w:val="none" w:sz="0" w:space="0" w:color="auto"/>
                <w:left w:val="none" w:sz="0" w:space="0" w:color="auto"/>
                <w:bottom w:val="none" w:sz="0" w:space="0" w:color="auto"/>
                <w:right w:val="none" w:sz="0" w:space="0" w:color="auto"/>
              </w:divBdr>
              <w:divsChild>
                <w:div w:id="1544906874">
                  <w:marLeft w:val="0"/>
                  <w:marRight w:val="0"/>
                  <w:marTop w:val="0"/>
                  <w:marBottom w:val="0"/>
                  <w:divBdr>
                    <w:top w:val="none" w:sz="0" w:space="0" w:color="auto"/>
                    <w:left w:val="none" w:sz="0" w:space="0" w:color="auto"/>
                    <w:bottom w:val="none" w:sz="0" w:space="0" w:color="auto"/>
                    <w:right w:val="none" w:sz="0" w:space="0" w:color="auto"/>
                  </w:divBdr>
                </w:div>
              </w:divsChild>
            </w:div>
            <w:div w:id="1250695454">
              <w:marLeft w:val="0"/>
              <w:marRight w:val="0"/>
              <w:marTop w:val="0"/>
              <w:marBottom w:val="0"/>
              <w:divBdr>
                <w:top w:val="none" w:sz="0" w:space="0" w:color="auto"/>
                <w:left w:val="none" w:sz="0" w:space="0" w:color="auto"/>
                <w:bottom w:val="none" w:sz="0" w:space="0" w:color="auto"/>
                <w:right w:val="none" w:sz="0" w:space="0" w:color="auto"/>
              </w:divBdr>
              <w:divsChild>
                <w:div w:id="903104102">
                  <w:marLeft w:val="0"/>
                  <w:marRight w:val="0"/>
                  <w:marTop w:val="0"/>
                  <w:marBottom w:val="0"/>
                  <w:divBdr>
                    <w:top w:val="none" w:sz="0" w:space="0" w:color="auto"/>
                    <w:left w:val="none" w:sz="0" w:space="0" w:color="auto"/>
                    <w:bottom w:val="none" w:sz="0" w:space="0" w:color="auto"/>
                    <w:right w:val="none" w:sz="0" w:space="0" w:color="auto"/>
                  </w:divBdr>
                </w:div>
              </w:divsChild>
            </w:div>
            <w:div w:id="1251768049">
              <w:marLeft w:val="0"/>
              <w:marRight w:val="0"/>
              <w:marTop w:val="0"/>
              <w:marBottom w:val="0"/>
              <w:divBdr>
                <w:top w:val="none" w:sz="0" w:space="0" w:color="auto"/>
                <w:left w:val="none" w:sz="0" w:space="0" w:color="auto"/>
                <w:bottom w:val="none" w:sz="0" w:space="0" w:color="auto"/>
                <w:right w:val="none" w:sz="0" w:space="0" w:color="auto"/>
              </w:divBdr>
              <w:divsChild>
                <w:div w:id="398870435">
                  <w:marLeft w:val="0"/>
                  <w:marRight w:val="0"/>
                  <w:marTop w:val="0"/>
                  <w:marBottom w:val="0"/>
                  <w:divBdr>
                    <w:top w:val="none" w:sz="0" w:space="0" w:color="auto"/>
                    <w:left w:val="none" w:sz="0" w:space="0" w:color="auto"/>
                    <w:bottom w:val="none" w:sz="0" w:space="0" w:color="auto"/>
                    <w:right w:val="none" w:sz="0" w:space="0" w:color="auto"/>
                  </w:divBdr>
                </w:div>
              </w:divsChild>
            </w:div>
            <w:div w:id="1252161691">
              <w:marLeft w:val="0"/>
              <w:marRight w:val="0"/>
              <w:marTop w:val="0"/>
              <w:marBottom w:val="0"/>
              <w:divBdr>
                <w:top w:val="none" w:sz="0" w:space="0" w:color="auto"/>
                <w:left w:val="none" w:sz="0" w:space="0" w:color="auto"/>
                <w:bottom w:val="none" w:sz="0" w:space="0" w:color="auto"/>
                <w:right w:val="none" w:sz="0" w:space="0" w:color="auto"/>
              </w:divBdr>
              <w:divsChild>
                <w:div w:id="2115050453">
                  <w:marLeft w:val="0"/>
                  <w:marRight w:val="0"/>
                  <w:marTop w:val="0"/>
                  <w:marBottom w:val="0"/>
                  <w:divBdr>
                    <w:top w:val="none" w:sz="0" w:space="0" w:color="auto"/>
                    <w:left w:val="none" w:sz="0" w:space="0" w:color="auto"/>
                    <w:bottom w:val="none" w:sz="0" w:space="0" w:color="auto"/>
                    <w:right w:val="none" w:sz="0" w:space="0" w:color="auto"/>
                  </w:divBdr>
                </w:div>
              </w:divsChild>
            </w:div>
            <w:div w:id="1255630752">
              <w:marLeft w:val="0"/>
              <w:marRight w:val="0"/>
              <w:marTop w:val="300"/>
              <w:marBottom w:val="300"/>
              <w:divBdr>
                <w:top w:val="none" w:sz="0" w:space="0" w:color="auto"/>
                <w:left w:val="none" w:sz="0" w:space="0" w:color="auto"/>
                <w:bottom w:val="none" w:sz="0" w:space="0" w:color="auto"/>
                <w:right w:val="none" w:sz="0" w:space="0" w:color="auto"/>
              </w:divBdr>
            </w:div>
            <w:div w:id="1259872041">
              <w:marLeft w:val="0"/>
              <w:marRight w:val="0"/>
              <w:marTop w:val="0"/>
              <w:marBottom w:val="0"/>
              <w:divBdr>
                <w:top w:val="none" w:sz="0" w:space="0" w:color="auto"/>
                <w:left w:val="none" w:sz="0" w:space="0" w:color="auto"/>
                <w:bottom w:val="none" w:sz="0" w:space="0" w:color="auto"/>
                <w:right w:val="none" w:sz="0" w:space="0" w:color="auto"/>
              </w:divBdr>
              <w:divsChild>
                <w:div w:id="707872868">
                  <w:marLeft w:val="0"/>
                  <w:marRight w:val="0"/>
                  <w:marTop w:val="0"/>
                  <w:marBottom w:val="0"/>
                  <w:divBdr>
                    <w:top w:val="none" w:sz="0" w:space="0" w:color="auto"/>
                    <w:left w:val="none" w:sz="0" w:space="0" w:color="auto"/>
                    <w:bottom w:val="none" w:sz="0" w:space="0" w:color="auto"/>
                    <w:right w:val="none" w:sz="0" w:space="0" w:color="auto"/>
                  </w:divBdr>
                </w:div>
              </w:divsChild>
            </w:div>
            <w:div w:id="1261528012">
              <w:marLeft w:val="0"/>
              <w:marRight w:val="0"/>
              <w:marTop w:val="0"/>
              <w:marBottom w:val="0"/>
              <w:divBdr>
                <w:top w:val="none" w:sz="0" w:space="0" w:color="auto"/>
                <w:left w:val="none" w:sz="0" w:space="0" w:color="auto"/>
                <w:bottom w:val="none" w:sz="0" w:space="0" w:color="auto"/>
                <w:right w:val="none" w:sz="0" w:space="0" w:color="auto"/>
              </w:divBdr>
              <w:divsChild>
                <w:div w:id="794103968">
                  <w:marLeft w:val="0"/>
                  <w:marRight w:val="0"/>
                  <w:marTop w:val="0"/>
                  <w:marBottom w:val="0"/>
                  <w:divBdr>
                    <w:top w:val="none" w:sz="0" w:space="0" w:color="auto"/>
                    <w:left w:val="none" w:sz="0" w:space="0" w:color="auto"/>
                    <w:bottom w:val="none" w:sz="0" w:space="0" w:color="auto"/>
                    <w:right w:val="none" w:sz="0" w:space="0" w:color="auto"/>
                  </w:divBdr>
                </w:div>
              </w:divsChild>
            </w:div>
            <w:div w:id="1261722034">
              <w:marLeft w:val="0"/>
              <w:marRight w:val="0"/>
              <w:marTop w:val="0"/>
              <w:marBottom w:val="0"/>
              <w:divBdr>
                <w:top w:val="none" w:sz="0" w:space="0" w:color="auto"/>
                <w:left w:val="none" w:sz="0" w:space="0" w:color="auto"/>
                <w:bottom w:val="none" w:sz="0" w:space="0" w:color="auto"/>
                <w:right w:val="none" w:sz="0" w:space="0" w:color="auto"/>
              </w:divBdr>
              <w:divsChild>
                <w:div w:id="172841825">
                  <w:marLeft w:val="0"/>
                  <w:marRight w:val="0"/>
                  <w:marTop w:val="0"/>
                  <w:marBottom w:val="0"/>
                  <w:divBdr>
                    <w:top w:val="none" w:sz="0" w:space="0" w:color="auto"/>
                    <w:left w:val="none" w:sz="0" w:space="0" w:color="auto"/>
                    <w:bottom w:val="none" w:sz="0" w:space="0" w:color="auto"/>
                    <w:right w:val="none" w:sz="0" w:space="0" w:color="auto"/>
                  </w:divBdr>
                </w:div>
              </w:divsChild>
            </w:div>
            <w:div w:id="1262836627">
              <w:marLeft w:val="0"/>
              <w:marRight w:val="0"/>
              <w:marTop w:val="0"/>
              <w:marBottom w:val="0"/>
              <w:divBdr>
                <w:top w:val="none" w:sz="0" w:space="0" w:color="auto"/>
                <w:left w:val="none" w:sz="0" w:space="0" w:color="auto"/>
                <w:bottom w:val="none" w:sz="0" w:space="0" w:color="auto"/>
                <w:right w:val="none" w:sz="0" w:space="0" w:color="auto"/>
              </w:divBdr>
              <w:divsChild>
                <w:div w:id="536938782">
                  <w:marLeft w:val="0"/>
                  <w:marRight w:val="0"/>
                  <w:marTop w:val="0"/>
                  <w:marBottom w:val="0"/>
                  <w:divBdr>
                    <w:top w:val="none" w:sz="0" w:space="0" w:color="auto"/>
                    <w:left w:val="none" w:sz="0" w:space="0" w:color="auto"/>
                    <w:bottom w:val="none" w:sz="0" w:space="0" w:color="auto"/>
                    <w:right w:val="none" w:sz="0" w:space="0" w:color="auto"/>
                  </w:divBdr>
                </w:div>
              </w:divsChild>
            </w:div>
            <w:div w:id="1264611654">
              <w:marLeft w:val="0"/>
              <w:marRight w:val="0"/>
              <w:marTop w:val="0"/>
              <w:marBottom w:val="0"/>
              <w:divBdr>
                <w:top w:val="none" w:sz="0" w:space="0" w:color="auto"/>
                <w:left w:val="none" w:sz="0" w:space="0" w:color="auto"/>
                <w:bottom w:val="none" w:sz="0" w:space="0" w:color="auto"/>
                <w:right w:val="none" w:sz="0" w:space="0" w:color="auto"/>
              </w:divBdr>
              <w:divsChild>
                <w:div w:id="718552247">
                  <w:marLeft w:val="0"/>
                  <w:marRight w:val="0"/>
                  <w:marTop w:val="0"/>
                  <w:marBottom w:val="0"/>
                  <w:divBdr>
                    <w:top w:val="none" w:sz="0" w:space="0" w:color="auto"/>
                    <w:left w:val="none" w:sz="0" w:space="0" w:color="auto"/>
                    <w:bottom w:val="none" w:sz="0" w:space="0" w:color="auto"/>
                    <w:right w:val="none" w:sz="0" w:space="0" w:color="auto"/>
                  </w:divBdr>
                </w:div>
              </w:divsChild>
            </w:div>
            <w:div w:id="1264921045">
              <w:marLeft w:val="0"/>
              <w:marRight w:val="0"/>
              <w:marTop w:val="0"/>
              <w:marBottom w:val="0"/>
              <w:divBdr>
                <w:top w:val="none" w:sz="0" w:space="0" w:color="auto"/>
                <w:left w:val="none" w:sz="0" w:space="0" w:color="auto"/>
                <w:bottom w:val="none" w:sz="0" w:space="0" w:color="auto"/>
                <w:right w:val="none" w:sz="0" w:space="0" w:color="auto"/>
              </w:divBdr>
              <w:divsChild>
                <w:div w:id="1625388312">
                  <w:marLeft w:val="0"/>
                  <w:marRight w:val="0"/>
                  <w:marTop w:val="0"/>
                  <w:marBottom w:val="0"/>
                  <w:divBdr>
                    <w:top w:val="none" w:sz="0" w:space="0" w:color="auto"/>
                    <w:left w:val="none" w:sz="0" w:space="0" w:color="auto"/>
                    <w:bottom w:val="none" w:sz="0" w:space="0" w:color="auto"/>
                    <w:right w:val="none" w:sz="0" w:space="0" w:color="auto"/>
                  </w:divBdr>
                </w:div>
              </w:divsChild>
            </w:div>
            <w:div w:id="1266764050">
              <w:marLeft w:val="0"/>
              <w:marRight w:val="0"/>
              <w:marTop w:val="0"/>
              <w:marBottom w:val="0"/>
              <w:divBdr>
                <w:top w:val="none" w:sz="0" w:space="0" w:color="auto"/>
                <w:left w:val="none" w:sz="0" w:space="0" w:color="auto"/>
                <w:bottom w:val="none" w:sz="0" w:space="0" w:color="auto"/>
                <w:right w:val="none" w:sz="0" w:space="0" w:color="auto"/>
              </w:divBdr>
              <w:divsChild>
                <w:div w:id="879823681">
                  <w:marLeft w:val="0"/>
                  <w:marRight w:val="0"/>
                  <w:marTop w:val="0"/>
                  <w:marBottom w:val="0"/>
                  <w:divBdr>
                    <w:top w:val="none" w:sz="0" w:space="0" w:color="auto"/>
                    <w:left w:val="none" w:sz="0" w:space="0" w:color="auto"/>
                    <w:bottom w:val="none" w:sz="0" w:space="0" w:color="auto"/>
                    <w:right w:val="none" w:sz="0" w:space="0" w:color="auto"/>
                  </w:divBdr>
                </w:div>
              </w:divsChild>
            </w:div>
            <w:div w:id="1268081342">
              <w:marLeft w:val="0"/>
              <w:marRight w:val="0"/>
              <w:marTop w:val="300"/>
              <w:marBottom w:val="300"/>
              <w:divBdr>
                <w:top w:val="none" w:sz="0" w:space="0" w:color="auto"/>
                <w:left w:val="none" w:sz="0" w:space="0" w:color="auto"/>
                <w:bottom w:val="none" w:sz="0" w:space="0" w:color="auto"/>
                <w:right w:val="none" w:sz="0" w:space="0" w:color="auto"/>
              </w:divBdr>
            </w:div>
            <w:div w:id="1269268055">
              <w:marLeft w:val="0"/>
              <w:marRight w:val="0"/>
              <w:marTop w:val="0"/>
              <w:marBottom w:val="0"/>
              <w:divBdr>
                <w:top w:val="none" w:sz="0" w:space="0" w:color="auto"/>
                <w:left w:val="none" w:sz="0" w:space="0" w:color="auto"/>
                <w:bottom w:val="none" w:sz="0" w:space="0" w:color="auto"/>
                <w:right w:val="none" w:sz="0" w:space="0" w:color="auto"/>
              </w:divBdr>
              <w:divsChild>
                <w:div w:id="746851914">
                  <w:marLeft w:val="0"/>
                  <w:marRight w:val="0"/>
                  <w:marTop w:val="0"/>
                  <w:marBottom w:val="0"/>
                  <w:divBdr>
                    <w:top w:val="none" w:sz="0" w:space="0" w:color="auto"/>
                    <w:left w:val="none" w:sz="0" w:space="0" w:color="auto"/>
                    <w:bottom w:val="none" w:sz="0" w:space="0" w:color="auto"/>
                    <w:right w:val="none" w:sz="0" w:space="0" w:color="auto"/>
                  </w:divBdr>
                </w:div>
              </w:divsChild>
            </w:div>
            <w:div w:id="1270503137">
              <w:marLeft w:val="0"/>
              <w:marRight w:val="0"/>
              <w:marTop w:val="0"/>
              <w:marBottom w:val="0"/>
              <w:divBdr>
                <w:top w:val="none" w:sz="0" w:space="0" w:color="auto"/>
                <w:left w:val="none" w:sz="0" w:space="0" w:color="auto"/>
                <w:bottom w:val="none" w:sz="0" w:space="0" w:color="auto"/>
                <w:right w:val="none" w:sz="0" w:space="0" w:color="auto"/>
              </w:divBdr>
              <w:divsChild>
                <w:div w:id="1531722504">
                  <w:marLeft w:val="0"/>
                  <w:marRight w:val="0"/>
                  <w:marTop w:val="0"/>
                  <w:marBottom w:val="0"/>
                  <w:divBdr>
                    <w:top w:val="none" w:sz="0" w:space="0" w:color="auto"/>
                    <w:left w:val="none" w:sz="0" w:space="0" w:color="auto"/>
                    <w:bottom w:val="none" w:sz="0" w:space="0" w:color="auto"/>
                    <w:right w:val="none" w:sz="0" w:space="0" w:color="auto"/>
                  </w:divBdr>
                </w:div>
              </w:divsChild>
            </w:div>
            <w:div w:id="1271162832">
              <w:marLeft w:val="0"/>
              <w:marRight w:val="0"/>
              <w:marTop w:val="0"/>
              <w:marBottom w:val="0"/>
              <w:divBdr>
                <w:top w:val="none" w:sz="0" w:space="0" w:color="auto"/>
                <w:left w:val="none" w:sz="0" w:space="0" w:color="auto"/>
                <w:bottom w:val="none" w:sz="0" w:space="0" w:color="auto"/>
                <w:right w:val="none" w:sz="0" w:space="0" w:color="auto"/>
              </w:divBdr>
              <w:divsChild>
                <w:div w:id="1629582406">
                  <w:marLeft w:val="0"/>
                  <w:marRight w:val="0"/>
                  <w:marTop w:val="0"/>
                  <w:marBottom w:val="0"/>
                  <w:divBdr>
                    <w:top w:val="none" w:sz="0" w:space="0" w:color="auto"/>
                    <w:left w:val="none" w:sz="0" w:space="0" w:color="auto"/>
                    <w:bottom w:val="none" w:sz="0" w:space="0" w:color="auto"/>
                    <w:right w:val="none" w:sz="0" w:space="0" w:color="auto"/>
                  </w:divBdr>
                </w:div>
              </w:divsChild>
            </w:div>
            <w:div w:id="1271626008">
              <w:marLeft w:val="0"/>
              <w:marRight w:val="0"/>
              <w:marTop w:val="300"/>
              <w:marBottom w:val="300"/>
              <w:divBdr>
                <w:top w:val="none" w:sz="0" w:space="0" w:color="auto"/>
                <w:left w:val="none" w:sz="0" w:space="0" w:color="auto"/>
                <w:bottom w:val="none" w:sz="0" w:space="0" w:color="auto"/>
                <w:right w:val="none" w:sz="0" w:space="0" w:color="auto"/>
              </w:divBdr>
            </w:div>
            <w:div w:id="1273711492">
              <w:marLeft w:val="0"/>
              <w:marRight w:val="0"/>
              <w:marTop w:val="0"/>
              <w:marBottom w:val="0"/>
              <w:divBdr>
                <w:top w:val="none" w:sz="0" w:space="0" w:color="auto"/>
                <w:left w:val="none" w:sz="0" w:space="0" w:color="auto"/>
                <w:bottom w:val="none" w:sz="0" w:space="0" w:color="auto"/>
                <w:right w:val="none" w:sz="0" w:space="0" w:color="auto"/>
              </w:divBdr>
              <w:divsChild>
                <w:div w:id="125898024">
                  <w:marLeft w:val="0"/>
                  <w:marRight w:val="0"/>
                  <w:marTop w:val="0"/>
                  <w:marBottom w:val="0"/>
                  <w:divBdr>
                    <w:top w:val="none" w:sz="0" w:space="0" w:color="auto"/>
                    <w:left w:val="none" w:sz="0" w:space="0" w:color="auto"/>
                    <w:bottom w:val="none" w:sz="0" w:space="0" w:color="auto"/>
                    <w:right w:val="none" w:sz="0" w:space="0" w:color="auto"/>
                  </w:divBdr>
                </w:div>
              </w:divsChild>
            </w:div>
            <w:div w:id="1274440607">
              <w:marLeft w:val="0"/>
              <w:marRight w:val="0"/>
              <w:marTop w:val="0"/>
              <w:marBottom w:val="0"/>
              <w:divBdr>
                <w:top w:val="none" w:sz="0" w:space="0" w:color="auto"/>
                <w:left w:val="none" w:sz="0" w:space="0" w:color="auto"/>
                <w:bottom w:val="none" w:sz="0" w:space="0" w:color="auto"/>
                <w:right w:val="none" w:sz="0" w:space="0" w:color="auto"/>
              </w:divBdr>
              <w:divsChild>
                <w:div w:id="1538472539">
                  <w:marLeft w:val="0"/>
                  <w:marRight w:val="0"/>
                  <w:marTop w:val="0"/>
                  <w:marBottom w:val="0"/>
                  <w:divBdr>
                    <w:top w:val="none" w:sz="0" w:space="0" w:color="auto"/>
                    <w:left w:val="none" w:sz="0" w:space="0" w:color="auto"/>
                    <w:bottom w:val="none" w:sz="0" w:space="0" w:color="auto"/>
                    <w:right w:val="none" w:sz="0" w:space="0" w:color="auto"/>
                  </w:divBdr>
                </w:div>
              </w:divsChild>
            </w:div>
            <w:div w:id="1274551276">
              <w:marLeft w:val="0"/>
              <w:marRight w:val="0"/>
              <w:marTop w:val="0"/>
              <w:marBottom w:val="0"/>
              <w:divBdr>
                <w:top w:val="none" w:sz="0" w:space="0" w:color="auto"/>
                <w:left w:val="none" w:sz="0" w:space="0" w:color="auto"/>
                <w:bottom w:val="none" w:sz="0" w:space="0" w:color="auto"/>
                <w:right w:val="none" w:sz="0" w:space="0" w:color="auto"/>
              </w:divBdr>
              <w:divsChild>
                <w:div w:id="1465199644">
                  <w:marLeft w:val="0"/>
                  <w:marRight w:val="0"/>
                  <w:marTop w:val="0"/>
                  <w:marBottom w:val="0"/>
                  <w:divBdr>
                    <w:top w:val="none" w:sz="0" w:space="0" w:color="auto"/>
                    <w:left w:val="none" w:sz="0" w:space="0" w:color="auto"/>
                    <w:bottom w:val="none" w:sz="0" w:space="0" w:color="auto"/>
                    <w:right w:val="none" w:sz="0" w:space="0" w:color="auto"/>
                  </w:divBdr>
                </w:div>
              </w:divsChild>
            </w:div>
            <w:div w:id="1276137898">
              <w:marLeft w:val="0"/>
              <w:marRight w:val="0"/>
              <w:marTop w:val="0"/>
              <w:marBottom w:val="0"/>
              <w:divBdr>
                <w:top w:val="none" w:sz="0" w:space="0" w:color="auto"/>
                <w:left w:val="none" w:sz="0" w:space="0" w:color="auto"/>
                <w:bottom w:val="none" w:sz="0" w:space="0" w:color="auto"/>
                <w:right w:val="none" w:sz="0" w:space="0" w:color="auto"/>
              </w:divBdr>
              <w:divsChild>
                <w:div w:id="63378215">
                  <w:marLeft w:val="0"/>
                  <w:marRight w:val="0"/>
                  <w:marTop w:val="0"/>
                  <w:marBottom w:val="0"/>
                  <w:divBdr>
                    <w:top w:val="none" w:sz="0" w:space="0" w:color="auto"/>
                    <w:left w:val="none" w:sz="0" w:space="0" w:color="auto"/>
                    <w:bottom w:val="none" w:sz="0" w:space="0" w:color="auto"/>
                    <w:right w:val="none" w:sz="0" w:space="0" w:color="auto"/>
                  </w:divBdr>
                </w:div>
              </w:divsChild>
            </w:div>
            <w:div w:id="1276643037">
              <w:marLeft w:val="0"/>
              <w:marRight w:val="0"/>
              <w:marTop w:val="0"/>
              <w:marBottom w:val="0"/>
              <w:divBdr>
                <w:top w:val="none" w:sz="0" w:space="0" w:color="auto"/>
                <w:left w:val="none" w:sz="0" w:space="0" w:color="auto"/>
                <w:bottom w:val="none" w:sz="0" w:space="0" w:color="auto"/>
                <w:right w:val="none" w:sz="0" w:space="0" w:color="auto"/>
              </w:divBdr>
              <w:divsChild>
                <w:div w:id="426197799">
                  <w:marLeft w:val="0"/>
                  <w:marRight w:val="0"/>
                  <w:marTop w:val="0"/>
                  <w:marBottom w:val="0"/>
                  <w:divBdr>
                    <w:top w:val="none" w:sz="0" w:space="0" w:color="auto"/>
                    <w:left w:val="none" w:sz="0" w:space="0" w:color="auto"/>
                    <w:bottom w:val="none" w:sz="0" w:space="0" w:color="auto"/>
                    <w:right w:val="none" w:sz="0" w:space="0" w:color="auto"/>
                  </w:divBdr>
                </w:div>
              </w:divsChild>
            </w:div>
            <w:div w:id="1276785963">
              <w:marLeft w:val="0"/>
              <w:marRight w:val="0"/>
              <w:marTop w:val="0"/>
              <w:marBottom w:val="0"/>
              <w:divBdr>
                <w:top w:val="none" w:sz="0" w:space="0" w:color="auto"/>
                <w:left w:val="none" w:sz="0" w:space="0" w:color="auto"/>
                <w:bottom w:val="none" w:sz="0" w:space="0" w:color="auto"/>
                <w:right w:val="none" w:sz="0" w:space="0" w:color="auto"/>
              </w:divBdr>
              <w:divsChild>
                <w:div w:id="81148077">
                  <w:marLeft w:val="0"/>
                  <w:marRight w:val="0"/>
                  <w:marTop w:val="0"/>
                  <w:marBottom w:val="0"/>
                  <w:divBdr>
                    <w:top w:val="none" w:sz="0" w:space="0" w:color="auto"/>
                    <w:left w:val="none" w:sz="0" w:space="0" w:color="auto"/>
                    <w:bottom w:val="none" w:sz="0" w:space="0" w:color="auto"/>
                    <w:right w:val="none" w:sz="0" w:space="0" w:color="auto"/>
                  </w:divBdr>
                </w:div>
              </w:divsChild>
            </w:div>
            <w:div w:id="1282885752">
              <w:marLeft w:val="0"/>
              <w:marRight w:val="0"/>
              <w:marTop w:val="300"/>
              <w:marBottom w:val="300"/>
              <w:divBdr>
                <w:top w:val="none" w:sz="0" w:space="0" w:color="auto"/>
                <w:left w:val="none" w:sz="0" w:space="0" w:color="auto"/>
                <w:bottom w:val="none" w:sz="0" w:space="0" w:color="auto"/>
                <w:right w:val="none" w:sz="0" w:space="0" w:color="auto"/>
              </w:divBdr>
            </w:div>
            <w:div w:id="1284337794">
              <w:marLeft w:val="0"/>
              <w:marRight w:val="0"/>
              <w:marTop w:val="0"/>
              <w:marBottom w:val="0"/>
              <w:divBdr>
                <w:top w:val="none" w:sz="0" w:space="0" w:color="auto"/>
                <w:left w:val="none" w:sz="0" w:space="0" w:color="auto"/>
                <w:bottom w:val="none" w:sz="0" w:space="0" w:color="auto"/>
                <w:right w:val="none" w:sz="0" w:space="0" w:color="auto"/>
              </w:divBdr>
              <w:divsChild>
                <w:div w:id="1935743697">
                  <w:marLeft w:val="0"/>
                  <w:marRight w:val="0"/>
                  <w:marTop w:val="0"/>
                  <w:marBottom w:val="0"/>
                  <w:divBdr>
                    <w:top w:val="none" w:sz="0" w:space="0" w:color="auto"/>
                    <w:left w:val="none" w:sz="0" w:space="0" w:color="auto"/>
                    <w:bottom w:val="none" w:sz="0" w:space="0" w:color="auto"/>
                    <w:right w:val="none" w:sz="0" w:space="0" w:color="auto"/>
                  </w:divBdr>
                </w:div>
              </w:divsChild>
            </w:div>
            <w:div w:id="1284464414">
              <w:marLeft w:val="0"/>
              <w:marRight w:val="0"/>
              <w:marTop w:val="300"/>
              <w:marBottom w:val="300"/>
              <w:divBdr>
                <w:top w:val="none" w:sz="0" w:space="0" w:color="auto"/>
                <w:left w:val="none" w:sz="0" w:space="0" w:color="auto"/>
                <w:bottom w:val="none" w:sz="0" w:space="0" w:color="auto"/>
                <w:right w:val="none" w:sz="0" w:space="0" w:color="auto"/>
              </w:divBdr>
            </w:div>
            <w:div w:id="1285187804">
              <w:marLeft w:val="0"/>
              <w:marRight w:val="0"/>
              <w:marTop w:val="0"/>
              <w:marBottom w:val="0"/>
              <w:divBdr>
                <w:top w:val="none" w:sz="0" w:space="0" w:color="auto"/>
                <w:left w:val="none" w:sz="0" w:space="0" w:color="auto"/>
                <w:bottom w:val="none" w:sz="0" w:space="0" w:color="auto"/>
                <w:right w:val="none" w:sz="0" w:space="0" w:color="auto"/>
              </w:divBdr>
              <w:divsChild>
                <w:div w:id="2130394759">
                  <w:marLeft w:val="0"/>
                  <w:marRight w:val="0"/>
                  <w:marTop w:val="0"/>
                  <w:marBottom w:val="0"/>
                  <w:divBdr>
                    <w:top w:val="none" w:sz="0" w:space="0" w:color="auto"/>
                    <w:left w:val="none" w:sz="0" w:space="0" w:color="auto"/>
                    <w:bottom w:val="none" w:sz="0" w:space="0" w:color="auto"/>
                    <w:right w:val="none" w:sz="0" w:space="0" w:color="auto"/>
                  </w:divBdr>
                </w:div>
              </w:divsChild>
            </w:div>
            <w:div w:id="1287202179">
              <w:marLeft w:val="0"/>
              <w:marRight w:val="0"/>
              <w:marTop w:val="300"/>
              <w:marBottom w:val="300"/>
              <w:divBdr>
                <w:top w:val="none" w:sz="0" w:space="0" w:color="auto"/>
                <w:left w:val="none" w:sz="0" w:space="0" w:color="auto"/>
                <w:bottom w:val="none" w:sz="0" w:space="0" w:color="auto"/>
                <w:right w:val="none" w:sz="0" w:space="0" w:color="auto"/>
              </w:divBdr>
            </w:div>
            <w:div w:id="1287540835">
              <w:marLeft w:val="0"/>
              <w:marRight w:val="0"/>
              <w:marTop w:val="0"/>
              <w:marBottom w:val="0"/>
              <w:divBdr>
                <w:top w:val="none" w:sz="0" w:space="0" w:color="auto"/>
                <w:left w:val="none" w:sz="0" w:space="0" w:color="auto"/>
                <w:bottom w:val="none" w:sz="0" w:space="0" w:color="auto"/>
                <w:right w:val="none" w:sz="0" w:space="0" w:color="auto"/>
              </w:divBdr>
              <w:divsChild>
                <w:div w:id="847477414">
                  <w:marLeft w:val="0"/>
                  <w:marRight w:val="0"/>
                  <w:marTop w:val="0"/>
                  <w:marBottom w:val="0"/>
                  <w:divBdr>
                    <w:top w:val="none" w:sz="0" w:space="0" w:color="auto"/>
                    <w:left w:val="none" w:sz="0" w:space="0" w:color="auto"/>
                    <w:bottom w:val="none" w:sz="0" w:space="0" w:color="auto"/>
                    <w:right w:val="none" w:sz="0" w:space="0" w:color="auto"/>
                  </w:divBdr>
                </w:div>
              </w:divsChild>
            </w:div>
            <w:div w:id="1288120304">
              <w:marLeft w:val="0"/>
              <w:marRight w:val="0"/>
              <w:marTop w:val="0"/>
              <w:marBottom w:val="0"/>
              <w:divBdr>
                <w:top w:val="none" w:sz="0" w:space="0" w:color="auto"/>
                <w:left w:val="none" w:sz="0" w:space="0" w:color="auto"/>
                <w:bottom w:val="none" w:sz="0" w:space="0" w:color="auto"/>
                <w:right w:val="none" w:sz="0" w:space="0" w:color="auto"/>
              </w:divBdr>
              <w:divsChild>
                <w:div w:id="1484733066">
                  <w:marLeft w:val="0"/>
                  <w:marRight w:val="0"/>
                  <w:marTop w:val="0"/>
                  <w:marBottom w:val="0"/>
                  <w:divBdr>
                    <w:top w:val="none" w:sz="0" w:space="0" w:color="auto"/>
                    <w:left w:val="none" w:sz="0" w:space="0" w:color="auto"/>
                    <w:bottom w:val="none" w:sz="0" w:space="0" w:color="auto"/>
                    <w:right w:val="none" w:sz="0" w:space="0" w:color="auto"/>
                  </w:divBdr>
                </w:div>
              </w:divsChild>
            </w:div>
            <w:div w:id="1288505591">
              <w:marLeft w:val="0"/>
              <w:marRight w:val="0"/>
              <w:marTop w:val="0"/>
              <w:marBottom w:val="0"/>
              <w:divBdr>
                <w:top w:val="none" w:sz="0" w:space="0" w:color="auto"/>
                <w:left w:val="none" w:sz="0" w:space="0" w:color="auto"/>
                <w:bottom w:val="none" w:sz="0" w:space="0" w:color="auto"/>
                <w:right w:val="none" w:sz="0" w:space="0" w:color="auto"/>
              </w:divBdr>
              <w:divsChild>
                <w:div w:id="930435463">
                  <w:marLeft w:val="0"/>
                  <w:marRight w:val="0"/>
                  <w:marTop w:val="0"/>
                  <w:marBottom w:val="0"/>
                  <w:divBdr>
                    <w:top w:val="none" w:sz="0" w:space="0" w:color="auto"/>
                    <w:left w:val="none" w:sz="0" w:space="0" w:color="auto"/>
                    <w:bottom w:val="none" w:sz="0" w:space="0" w:color="auto"/>
                    <w:right w:val="none" w:sz="0" w:space="0" w:color="auto"/>
                  </w:divBdr>
                </w:div>
              </w:divsChild>
            </w:div>
            <w:div w:id="1289553947">
              <w:marLeft w:val="0"/>
              <w:marRight w:val="0"/>
              <w:marTop w:val="300"/>
              <w:marBottom w:val="300"/>
              <w:divBdr>
                <w:top w:val="none" w:sz="0" w:space="0" w:color="auto"/>
                <w:left w:val="none" w:sz="0" w:space="0" w:color="auto"/>
                <w:bottom w:val="none" w:sz="0" w:space="0" w:color="auto"/>
                <w:right w:val="none" w:sz="0" w:space="0" w:color="auto"/>
              </w:divBdr>
            </w:div>
            <w:div w:id="1289623234">
              <w:marLeft w:val="0"/>
              <w:marRight w:val="0"/>
              <w:marTop w:val="0"/>
              <w:marBottom w:val="0"/>
              <w:divBdr>
                <w:top w:val="none" w:sz="0" w:space="0" w:color="auto"/>
                <w:left w:val="none" w:sz="0" w:space="0" w:color="auto"/>
                <w:bottom w:val="none" w:sz="0" w:space="0" w:color="auto"/>
                <w:right w:val="none" w:sz="0" w:space="0" w:color="auto"/>
              </w:divBdr>
              <w:divsChild>
                <w:div w:id="176039574">
                  <w:marLeft w:val="0"/>
                  <w:marRight w:val="0"/>
                  <w:marTop w:val="0"/>
                  <w:marBottom w:val="0"/>
                  <w:divBdr>
                    <w:top w:val="none" w:sz="0" w:space="0" w:color="auto"/>
                    <w:left w:val="none" w:sz="0" w:space="0" w:color="auto"/>
                    <w:bottom w:val="none" w:sz="0" w:space="0" w:color="auto"/>
                    <w:right w:val="none" w:sz="0" w:space="0" w:color="auto"/>
                  </w:divBdr>
                </w:div>
              </w:divsChild>
            </w:div>
            <w:div w:id="1291327955">
              <w:marLeft w:val="0"/>
              <w:marRight w:val="0"/>
              <w:marTop w:val="0"/>
              <w:marBottom w:val="0"/>
              <w:divBdr>
                <w:top w:val="none" w:sz="0" w:space="0" w:color="auto"/>
                <w:left w:val="none" w:sz="0" w:space="0" w:color="auto"/>
                <w:bottom w:val="none" w:sz="0" w:space="0" w:color="auto"/>
                <w:right w:val="none" w:sz="0" w:space="0" w:color="auto"/>
              </w:divBdr>
              <w:divsChild>
                <w:div w:id="1059983780">
                  <w:marLeft w:val="0"/>
                  <w:marRight w:val="0"/>
                  <w:marTop w:val="0"/>
                  <w:marBottom w:val="0"/>
                  <w:divBdr>
                    <w:top w:val="none" w:sz="0" w:space="0" w:color="auto"/>
                    <w:left w:val="none" w:sz="0" w:space="0" w:color="auto"/>
                    <w:bottom w:val="none" w:sz="0" w:space="0" w:color="auto"/>
                    <w:right w:val="none" w:sz="0" w:space="0" w:color="auto"/>
                  </w:divBdr>
                </w:div>
              </w:divsChild>
            </w:div>
            <w:div w:id="1294210059">
              <w:marLeft w:val="0"/>
              <w:marRight w:val="0"/>
              <w:marTop w:val="0"/>
              <w:marBottom w:val="0"/>
              <w:divBdr>
                <w:top w:val="none" w:sz="0" w:space="0" w:color="auto"/>
                <w:left w:val="none" w:sz="0" w:space="0" w:color="auto"/>
                <w:bottom w:val="none" w:sz="0" w:space="0" w:color="auto"/>
                <w:right w:val="none" w:sz="0" w:space="0" w:color="auto"/>
              </w:divBdr>
              <w:divsChild>
                <w:div w:id="1288001564">
                  <w:marLeft w:val="0"/>
                  <w:marRight w:val="0"/>
                  <w:marTop w:val="0"/>
                  <w:marBottom w:val="0"/>
                  <w:divBdr>
                    <w:top w:val="none" w:sz="0" w:space="0" w:color="auto"/>
                    <w:left w:val="none" w:sz="0" w:space="0" w:color="auto"/>
                    <w:bottom w:val="none" w:sz="0" w:space="0" w:color="auto"/>
                    <w:right w:val="none" w:sz="0" w:space="0" w:color="auto"/>
                  </w:divBdr>
                </w:div>
              </w:divsChild>
            </w:div>
            <w:div w:id="1295212879">
              <w:marLeft w:val="0"/>
              <w:marRight w:val="0"/>
              <w:marTop w:val="0"/>
              <w:marBottom w:val="0"/>
              <w:divBdr>
                <w:top w:val="none" w:sz="0" w:space="0" w:color="auto"/>
                <w:left w:val="none" w:sz="0" w:space="0" w:color="auto"/>
                <w:bottom w:val="none" w:sz="0" w:space="0" w:color="auto"/>
                <w:right w:val="none" w:sz="0" w:space="0" w:color="auto"/>
              </w:divBdr>
              <w:divsChild>
                <w:div w:id="2016032684">
                  <w:marLeft w:val="0"/>
                  <w:marRight w:val="0"/>
                  <w:marTop w:val="0"/>
                  <w:marBottom w:val="0"/>
                  <w:divBdr>
                    <w:top w:val="none" w:sz="0" w:space="0" w:color="auto"/>
                    <w:left w:val="none" w:sz="0" w:space="0" w:color="auto"/>
                    <w:bottom w:val="none" w:sz="0" w:space="0" w:color="auto"/>
                    <w:right w:val="none" w:sz="0" w:space="0" w:color="auto"/>
                  </w:divBdr>
                </w:div>
              </w:divsChild>
            </w:div>
            <w:div w:id="1295335048">
              <w:marLeft w:val="0"/>
              <w:marRight w:val="0"/>
              <w:marTop w:val="0"/>
              <w:marBottom w:val="0"/>
              <w:divBdr>
                <w:top w:val="none" w:sz="0" w:space="0" w:color="auto"/>
                <w:left w:val="none" w:sz="0" w:space="0" w:color="auto"/>
                <w:bottom w:val="none" w:sz="0" w:space="0" w:color="auto"/>
                <w:right w:val="none" w:sz="0" w:space="0" w:color="auto"/>
              </w:divBdr>
              <w:divsChild>
                <w:div w:id="273946858">
                  <w:marLeft w:val="0"/>
                  <w:marRight w:val="0"/>
                  <w:marTop w:val="0"/>
                  <w:marBottom w:val="0"/>
                  <w:divBdr>
                    <w:top w:val="none" w:sz="0" w:space="0" w:color="auto"/>
                    <w:left w:val="none" w:sz="0" w:space="0" w:color="auto"/>
                    <w:bottom w:val="none" w:sz="0" w:space="0" w:color="auto"/>
                    <w:right w:val="none" w:sz="0" w:space="0" w:color="auto"/>
                  </w:divBdr>
                </w:div>
              </w:divsChild>
            </w:div>
            <w:div w:id="1295451525">
              <w:marLeft w:val="0"/>
              <w:marRight w:val="0"/>
              <w:marTop w:val="0"/>
              <w:marBottom w:val="0"/>
              <w:divBdr>
                <w:top w:val="none" w:sz="0" w:space="0" w:color="auto"/>
                <w:left w:val="none" w:sz="0" w:space="0" w:color="auto"/>
                <w:bottom w:val="none" w:sz="0" w:space="0" w:color="auto"/>
                <w:right w:val="none" w:sz="0" w:space="0" w:color="auto"/>
              </w:divBdr>
              <w:divsChild>
                <w:div w:id="1979797478">
                  <w:marLeft w:val="0"/>
                  <w:marRight w:val="0"/>
                  <w:marTop w:val="0"/>
                  <w:marBottom w:val="0"/>
                  <w:divBdr>
                    <w:top w:val="none" w:sz="0" w:space="0" w:color="auto"/>
                    <w:left w:val="none" w:sz="0" w:space="0" w:color="auto"/>
                    <w:bottom w:val="none" w:sz="0" w:space="0" w:color="auto"/>
                    <w:right w:val="none" w:sz="0" w:space="0" w:color="auto"/>
                  </w:divBdr>
                </w:div>
              </w:divsChild>
            </w:div>
            <w:div w:id="1299456074">
              <w:marLeft w:val="0"/>
              <w:marRight w:val="0"/>
              <w:marTop w:val="0"/>
              <w:marBottom w:val="0"/>
              <w:divBdr>
                <w:top w:val="none" w:sz="0" w:space="0" w:color="auto"/>
                <w:left w:val="none" w:sz="0" w:space="0" w:color="auto"/>
                <w:bottom w:val="none" w:sz="0" w:space="0" w:color="auto"/>
                <w:right w:val="none" w:sz="0" w:space="0" w:color="auto"/>
              </w:divBdr>
              <w:divsChild>
                <w:div w:id="452554154">
                  <w:marLeft w:val="0"/>
                  <w:marRight w:val="0"/>
                  <w:marTop w:val="0"/>
                  <w:marBottom w:val="0"/>
                  <w:divBdr>
                    <w:top w:val="none" w:sz="0" w:space="0" w:color="auto"/>
                    <w:left w:val="none" w:sz="0" w:space="0" w:color="auto"/>
                    <w:bottom w:val="none" w:sz="0" w:space="0" w:color="auto"/>
                    <w:right w:val="none" w:sz="0" w:space="0" w:color="auto"/>
                  </w:divBdr>
                </w:div>
              </w:divsChild>
            </w:div>
            <w:div w:id="1301500075">
              <w:marLeft w:val="0"/>
              <w:marRight w:val="0"/>
              <w:marTop w:val="0"/>
              <w:marBottom w:val="0"/>
              <w:divBdr>
                <w:top w:val="none" w:sz="0" w:space="0" w:color="auto"/>
                <w:left w:val="none" w:sz="0" w:space="0" w:color="auto"/>
                <w:bottom w:val="none" w:sz="0" w:space="0" w:color="auto"/>
                <w:right w:val="none" w:sz="0" w:space="0" w:color="auto"/>
              </w:divBdr>
              <w:divsChild>
                <w:div w:id="2057004411">
                  <w:marLeft w:val="0"/>
                  <w:marRight w:val="0"/>
                  <w:marTop w:val="0"/>
                  <w:marBottom w:val="0"/>
                  <w:divBdr>
                    <w:top w:val="none" w:sz="0" w:space="0" w:color="auto"/>
                    <w:left w:val="none" w:sz="0" w:space="0" w:color="auto"/>
                    <w:bottom w:val="none" w:sz="0" w:space="0" w:color="auto"/>
                    <w:right w:val="none" w:sz="0" w:space="0" w:color="auto"/>
                  </w:divBdr>
                </w:div>
              </w:divsChild>
            </w:div>
            <w:div w:id="1302804497">
              <w:marLeft w:val="0"/>
              <w:marRight w:val="0"/>
              <w:marTop w:val="0"/>
              <w:marBottom w:val="0"/>
              <w:divBdr>
                <w:top w:val="none" w:sz="0" w:space="0" w:color="auto"/>
                <w:left w:val="none" w:sz="0" w:space="0" w:color="auto"/>
                <w:bottom w:val="none" w:sz="0" w:space="0" w:color="auto"/>
                <w:right w:val="none" w:sz="0" w:space="0" w:color="auto"/>
              </w:divBdr>
              <w:divsChild>
                <w:div w:id="930433661">
                  <w:marLeft w:val="0"/>
                  <w:marRight w:val="0"/>
                  <w:marTop w:val="0"/>
                  <w:marBottom w:val="0"/>
                  <w:divBdr>
                    <w:top w:val="none" w:sz="0" w:space="0" w:color="auto"/>
                    <w:left w:val="none" w:sz="0" w:space="0" w:color="auto"/>
                    <w:bottom w:val="none" w:sz="0" w:space="0" w:color="auto"/>
                    <w:right w:val="none" w:sz="0" w:space="0" w:color="auto"/>
                  </w:divBdr>
                </w:div>
              </w:divsChild>
            </w:div>
            <w:div w:id="1303462933">
              <w:marLeft w:val="0"/>
              <w:marRight w:val="0"/>
              <w:marTop w:val="0"/>
              <w:marBottom w:val="0"/>
              <w:divBdr>
                <w:top w:val="none" w:sz="0" w:space="0" w:color="auto"/>
                <w:left w:val="none" w:sz="0" w:space="0" w:color="auto"/>
                <w:bottom w:val="none" w:sz="0" w:space="0" w:color="auto"/>
                <w:right w:val="none" w:sz="0" w:space="0" w:color="auto"/>
              </w:divBdr>
              <w:divsChild>
                <w:div w:id="180820662">
                  <w:marLeft w:val="0"/>
                  <w:marRight w:val="0"/>
                  <w:marTop w:val="0"/>
                  <w:marBottom w:val="0"/>
                  <w:divBdr>
                    <w:top w:val="none" w:sz="0" w:space="0" w:color="auto"/>
                    <w:left w:val="none" w:sz="0" w:space="0" w:color="auto"/>
                    <w:bottom w:val="none" w:sz="0" w:space="0" w:color="auto"/>
                    <w:right w:val="none" w:sz="0" w:space="0" w:color="auto"/>
                  </w:divBdr>
                </w:div>
              </w:divsChild>
            </w:div>
            <w:div w:id="1303583200">
              <w:marLeft w:val="0"/>
              <w:marRight w:val="0"/>
              <w:marTop w:val="0"/>
              <w:marBottom w:val="0"/>
              <w:divBdr>
                <w:top w:val="none" w:sz="0" w:space="0" w:color="auto"/>
                <w:left w:val="none" w:sz="0" w:space="0" w:color="auto"/>
                <w:bottom w:val="none" w:sz="0" w:space="0" w:color="auto"/>
                <w:right w:val="none" w:sz="0" w:space="0" w:color="auto"/>
              </w:divBdr>
              <w:divsChild>
                <w:div w:id="193618839">
                  <w:marLeft w:val="0"/>
                  <w:marRight w:val="0"/>
                  <w:marTop w:val="0"/>
                  <w:marBottom w:val="0"/>
                  <w:divBdr>
                    <w:top w:val="none" w:sz="0" w:space="0" w:color="auto"/>
                    <w:left w:val="none" w:sz="0" w:space="0" w:color="auto"/>
                    <w:bottom w:val="none" w:sz="0" w:space="0" w:color="auto"/>
                    <w:right w:val="none" w:sz="0" w:space="0" w:color="auto"/>
                  </w:divBdr>
                </w:div>
              </w:divsChild>
            </w:div>
            <w:div w:id="1304041816">
              <w:marLeft w:val="0"/>
              <w:marRight w:val="0"/>
              <w:marTop w:val="300"/>
              <w:marBottom w:val="300"/>
              <w:divBdr>
                <w:top w:val="none" w:sz="0" w:space="0" w:color="auto"/>
                <w:left w:val="none" w:sz="0" w:space="0" w:color="auto"/>
                <w:bottom w:val="none" w:sz="0" w:space="0" w:color="auto"/>
                <w:right w:val="none" w:sz="0" w:space="0" w:color="auto"/>
              </w:divBdr>
            </w:div>
            <w:div w:id="1304694521">
              <w:marLeft w:val="0"/>
              <w:marRight w:val="0"/>
              <w:marTop w:val="0"/>
              <w:marBottom w:val="0"/>
              <w:divBdr>
                <w:top w:val="none" w:sz="0" w:space="0" w:color="auto"/>
                <w:left w:val="none" w:sz="0" w:space="0" w:color="auto"/>
                <w:bottom w:val="none" w:sz="0" w:space="0" w:color="auto"/>
                <w:right w:val="none" w:sz="0" w:space="0" w:color="auto"/>
              </w:divBdr>
              <w:divsChild>
                <w:div w:id="687223226">
                  <w:marLeft w:val="0"/>
                  <w:marRight w:val="0"/>
                  <w:marTop w:val="0"/>
                  <w:marBottom w:val="0"/>
                  <w:divBdr>
                    <w:top w:val="none" w:sz="0" w:space="0" w:color="auto"/>
                    <w:left w:val="none" w:sz="0" w:space="0" w:color="auto"/>
                    <w:bottom w:val="none" w:sz="0" w:space="0" w:color="auto"/>
                    <w:right w:val="none" w:sz="0" w:space="0" w:color="auto"/>
                  </w:divBdr>
                </w:div>
              </w:divsChild>
            </w:div>
            <w:div w:id="1304887803">
              <w:marLeft w:val="0"/>
              <w:marRight w:val="0"/>
              <w:marTop w:val="0"/>
              <w:marBottom w:val="0"/>
              <w:divBdr>
                <w:top w:val="none" w:sz="0" w:space="0" w:color="auto"/>
                <w:left w:val="none" w:sz="0" w:space="0" w:color="auto"/>
                <w:bottom w:val="none" w:sz="0" w:space="0" w:color="auto"/>
                <w:right w:val="none" w:sz="0" w:space="0" w:color="auto"/>
              </w:divBdr>
              <w:divsChild>
                <w:div w:id="130944363">
                  <w:marLeft w:val="0"/>
                  <w:marRight w:val="0"/>
                  <w:marTop w:val="0"/>
                  <w:marBottom w:val="0"/>
                  <w:divBdr>
                    <w:top w:val="none" w:sz="0" w:space="0" w:color="auto"/>
                    <w:left w:val="none" w:sz="0" w:space="0" w:color="auto"/>
                    <w:bottom w:val="none" w:sz="0" w:space="0" w:color="auto"/>
                    <w:right w:val="none" w:sz="0" w:space="0" w:color="auto"/>
                  </w:divBdr>
                </w:div>
              </w:divsChild>
            </w:div>
            <w:div w:id="1307007858">
              <w:marLeft w:val="0"/>
              <w:marRight w:val="0"/>
              <w:marTop w:val="300"/>
              <w:marBottom w:val="300"/>
              <w:divBdr>
                <w:top w:val="none" w:sz="0" w:space="0" w:color="auto"/>
                <w:left w:val="none" w:sz="0" w:space="0" w:color="auto"/>
                <w:bottom w:val="none" w:sz="0" w:space="0" w:color="auto"/>
                <w:right w:val="none" w:sz="0" w:space="0" w:color="auto"/>
              </w:divBdr>
            </w:div>
            <w:div w:id="1307934456">
              <w:marLeft w:val="0"/>
              <w:marRight w:val="0"/>
              <w:marTop w:val="0"/>
              <w:marBottom w:val="0"/>
              <w:divBdr>
                <w:top w:val="none" w:sz="0" w:space="0" w:color="auto"/>
                <w:left w:val="none" w:sz="0" w:space="0" w:color="auto"/>
                <w:bottom w:val="none" w:sz="0" w:space="0" w:color="auto"/>
                <w:right w:val="none" w:sz="0" w:space="0" w:color="auto"/>
              </w:divBdr>
              <w:divsChild>
                <w:div w:id="37895321">
                  <w:marLeft w:val="0"/>
                  <w:marRight w:val="0"/>
                  <w:marTop w:val="0"/>
                  <w:marBottom w:val="0"/>
                  <w:divBdr>
                    <w:top w:val="none" w:sz="0" w:space="0" w:color="auto"/>
                    <w:left w:val="none" w:sz="0" w:space="0" w:color="auto"/>
                    <w:bottom w:val="none" w:sz="0" w:space="0" w:color="auto"/>
                    <w:right w:val="none" w:sz="0" w:space="0" w:color="auto"/>
                  </w:divBdr>
                </w:div>
              </w:divsChild>
            </w:div>
            <w:div w:id="1308515655">
              <w:marLeft w:val="0"/>
              <w:marRight w:val="0"/>
              <w:marTop w:val="300"/>
              <w:marBottom w:val="300"/>
              <w:divBdr>
                <w:top w:val="none" w:sz="0" w:space="0" w:color="auto"/>
                <w:left w:val="none" w:sz="0" w:space="0" w:color="auto"/>
                <w:bottom w:val="none" w:sz="0" w:space="0" w:color="auto"/>
                <w:right w:val="none" w:sz="0" w:space="0" w:color="auto"/>
              </w:divBdr>
            </w:div>
            <w:div w:id="1309672017">
              <w:marLeft w:val="0"/>
              <w:marRight w:val="0"/>
              <w:marTop w:val="0"/>
              <w:marBottom w:val="0"/>
              <w:divBdr>
                <w:top w:val="none" w:sz="0" w:space="0" w:color="auto"/>
                <w:left w:val="none" w:sz="0" w:space="0" w:color="auto"/>
                <w:bottom w:val="none" w:sz="0" w:space="0" w:color="auto"/>
                <w:right w:val="none" w:sz="0" w:space="0" w:color="auto"/>
              </w:divBdr>
              <w:divsChild>
                <w:div w:id="2001734572">
                  <w:marLeft w:val="0"/>
                  <w:marRight w:val="0"/>
                  <w:marTop w:val="0"/>
                  <w:marBottom w:val="0"/>
                  <w:divBdr>
                    <w:top w:val="none" w:sz="0" w:space="0" w:color="auto"/>
                    <w:left w:val="none" w:sz="0" w:space="0" w:color="auto"/>
                    <w:bottom w:val="none" w:sz="0" w:space="0" w:color="auto"/>
                    <w:right w:val="none" w:sz="0" w:space="0" w:color="auto"/>
                  </w:divBdr>
                </w:div>
              </w:divsChild>
            </w:div>
            <w:div w:id="1311060547">
              <w:marLeft w:val="0"/>
              <w:marRight w:val="0"/>
              <w:marTop w:val="0"/>
              <w:marBottom w:val="0"/>
              <w:divBdr>
                <w:top w:val="none" w:sz="0" w:space="0" w:color="auto"/>
                <w:left w:val="none" w:sz="0" w:space="0" w:color="auto"/>
                <w:bottom w:val="none" w:sz="0" w:space="0" w:color="auto"/>
                <w:right w:val="none" w:sz="0" w:space="0" w:color="auto"/>
              </w:divBdr>
              <w:divsChild>
                <w:div w:id="134958231">
                  <w:marLeft w:val="0"/>
                  <w:marRight w:val="0"/>
                  <w:marTop w:val="0"/>
                  <w:marBottom w:val="0"/>
                  <w:divBdr>
                    <w:top w:val="none" w:sz="0" w:space="0" w:color="auto"/>
                    <w:left w:val="none" w:sz="0" w:space="0" w:color="auto"/>
                    <w:bottom w:val="none" w:sz="0" w:space="0" w:color="auto"/>
                    <w:right w:val="none" w:sz="0" w:space="0" w:color="auto"/>
                  </w:divBdr>
                </w:div>
              </w:divsChild>
            </w:div>
            <w:div w:id="1311209651">
              <w:marLeft w:val="0"/>
              <w:marRight w:val="0"/>
              <w:marTop w:val="0"/>
              <w:marBottom w:val="0"/>
              <w:divBdr>
                <w:top w:val="none" w:sz="0" w:space="0" w:color="auto"/>
                <w:left w:val="none" w:sz="0" w:space="0" w:color="auto"/>
                <w:bottom w:val="none" w:sz="0" w:space="0" w:color="auto"/>
                <w:right w:val="none" w:sz="0" w:space="0" w:color="auto"/>
              </w:divBdr>
              <w:divsChild>
                <w:div w:id="975989796">
                  <w:marLeft w:val="0"/>
                  <w:marRight w:val="0"/>
                  <w:marTop w:val="0"/>
                  <w:marBottom w:val="0"/>
                  <w:divBdr>
                    <w:top w:val="none" w:sz="0" w:space="0" w:color="auto"/>
                    <w:left w:val="none" w:sz="0" w:space="0" w:color="auto"/>
                    <w:bottom w:val="none" w:sz="0" w:space="0" w:color="auto"/>
                    <w:right w:val="none" w:sz="0" w:space="0" w:color="auto"/>
                  </w:divBdr>
                </w:div>
              </w:divsChild>
            </w:div>
            <w:div w:id="1315719925">
              <w:marLeft w:val="0"/>
              <w:marRight w:val="0"/>
              <w:marTop w:val="0"/>
              <w:marBottom w:val="0"/>
              <w:divBdr>
                <w:top w:val="none" w:sz="0" w:space="0" w:color="auto"/>
                <w:left w:val="none" w:sz="0" w:space="0" w:color="auto"/>
                <w:bottom w:val="none" w:sz="0" w:space="0" w:color="auto"/>
                <w:right w:val="none" w:sz="0" w:space="0" w:color="auto"/>
              </w:divBdr>
              <w:divsChild>
                <w:div w:id="258605939">
                  <w:marLeft w:val="0"/>
                  <w:marRight w:val="0"/>
                  <w:marTop w:val="0"/>
                  <w:marBottom w:val="0"/>
                  <w:divBdr>
                    <w:top w:val="none" w:sz="0" w:space="0" w:color="auto"/>
                    <w:left w:val="none" w:sz="0" w:space="0" w:color="auto"/>
                    <w:bottom w:val="none" w:sz="0" w:space="0" w:color="auto"/>
                    <w:right w:val="none" w:sz="0" w:space="0" w:color="auto"/>
                  </w:divBdr>
                </w:div>
              </w:divsChild>
            </w:div>
            <w:div w:id="1315841267">
              <w:marLeft w:val="0"/>
              <w:marRight w:val="0"/>
              <w:marTop w:val="0"/>
              <w:marBottom w:val="0"/>
              <w:divBdr>
                <w:top w:val="none" w:sz="0" w:space="0" w:color="auto"/>
                <w:left w:val="none" w:sz="0" w:space="0" w:color="auto"/>
                <w:bottom w:val="none" w:sz="0" w:space="0" w:color="auto"/>
                <w:right w:val="none" w:sz="0" w:space="0" w:color="auto"/>
              </w:divBdr>
              <w:divsChild>
                <w:div w:id="735322223">
                  <w:marLeft w:val="0"/>
                  <w:marRight w:val="0"/>
                  <w:marTop w:val="0"/>
                  <w:marBottom w:val="0"/>
                  <w:divBdr>
                    <w:top w:val="none" w:sz="0" w:space="0" w:color="auto"/>
                    <w:left w:val="none" w:sz="0" w:space="0" w:color="auto"/>
                    <w:bottom w:val="none" w:sz="0" w:space="0" w:color="auto"/>
                    <w:right w:val="none" w:sz="0" w:space="0" w:color="auto"/>
                  </w:divBdr>
                </w:div>
              </w:divsChild>
            </w:div>
            <w:div w:id="1316296172">
              <w:marLeft w:val="0"/>
              <w:marRight w:val="0"/>
              <w:marTop w:val="0"/>
              <w:marBottom w:val="0"/>
              <w:divBdr>
                <w:top w:val="none" w:sz="0" w:space="0" w:color="auto"/>
                <w:left w:val="none" w:sz="0" w:space="0" w:color="auto"/>
                <w:bottom w:val="none" w:sz="0" w:space="0" w:color="auto"/>
                <w:right w:val="none" w:sz="0" w:space="0" w:color="auto"/>
              </w:divBdr>
              <w:divsChild>
                <w:div w:id="692999393">
                  <w:marLeft w:val="0"/>
                  <w:marRight w:val="0"/>
                  <w:marTop w:val="0"/>
                  <w:marBottom w:val="0"/>
                  <w:divBdr>
                    <w:top w:val="none" w:sz="0" w:space="0" w:color="auto"/>
                    <w:left w:val="none" w:sz="0" w:space="0" w:color="auto"/>
                    <w:bottom w:val="none" w:sz="0" w:space="0" w:color="auto"/>
                    <w:right w:val="none" w:sz="0" w:space="0" w:color="auto"/>
                  </w:divBdr>
                </w:div>
              </w:divsChild>
            </w:div>
            <w:div w:id="1318222155">
              <w:marLeft w:val="0"/>
              <w:marRight w:val="0"/>
              <w:marTop w:val="300"/>
              <w:marBottom w:val="300"/>
              <w:divBdr>
                <w:top w:val="none" w:sz="0" w:space="0" w:color="auto"/>
                <w:left w:val="none" w:sz="0" w:space="0" w:color="auto"/>
                <w:bottom w:val="none" w:sz="0" w:space="0" w:color="auto"/>
                <w:right w:val="none" w:sz="0" w:space="0" w:color="auto"/>
              </w:divBdr>
            </w:div>
            <w:div w:id="1322002983">
              <w:marLeft w:val="0"/>
              <w:marRight w:val="0"/>
              <w:marTop w:val="0"/>
              <w:marBottom w:val="0"/>
              <w:divBdr>
                <w:top w:val="none" w:sz="0" w:space="0" w:color="auto"/>
                <w:left w:val="none" w:sz="0" w:space="0" w:color="auto"/>
                <w:bottom w:val="none" w:sz="0" w:space="0" w:color="auto"/>
                <w:right w:val="none" w:sz="0" w:space="0" w:color="auto"/>
              </w:divBdr>
              <w:divsChild>
                <w:div w:id="1471093077">
                  <w:marLeft w:val="0"/>
                  <w:marRight w:val="0"/>
                  <w:marTop w:val="0"/>
                  <w:marBottom w:val="0"/>
                  <w:divBdr>
                    <w:top w:val="none" w:sz="0" w:space="0" w:color="auto"/>
                    <w:left w:val="none" w:sz="0" w:space="0" w:color="auto"/>
                    <w:bottom w:val="none" w:sz="0" w:space="0" w:color="auto"/>
                    <w:right w:val="none" w:sz="0" w:space="0" w:color="auto"/>
                  </w:divBdr>
                </w:div>
              </w:divsChild>
            </w:div>
            <w:div w:id="1322856114">
              <w:marLeft w:val="0"/>
              <w:marRight w:val="0"/>
              <w:marTop w:val="0"/>
              <w:marBottom w:val="0"/>
              <w:divBdr>
                <w:top w:val="none" w:sz="0" w:space="0" w:color="auto"/>
                <w:left w:val="none" w:sz="0" w:space="0" w:color="auto"/>
                <w:bottom w:val="none" w:sz="0" w:space="0" w:color="auto"/>
                <w:right w:val="none" w:sz="0" w:space="0" w:color="auto"/>
              </w:divBdr>
              <w:divsChild>
                <w:div w:id="554048879">
                  <w:marLeft w:val="0"/>
                  <w:marRight w:val="0"/>
                  <w:marTop w:val="0"/>
                  <w:marBottom w:val="0"/>
                  <w:divBdr>
                    <w:top w:val="none" w:sz="0" w:space="0" w:color="auto"/>
                    <w:left w:val="none" w:sz="0" w:space="0" w:color="auto"/>
                    <w:bottom w:val="none" w:sz="0" w:space="0" w:color="auto"/>
                    <w:right w:val="none" w:sz="0" w:space="0" w:color="auto"/>
                  </w:divBdr>
                </w:div>
              </w:divsChild>
            </w:div>
            <w:div w:id="1327634606">
              <w:marLeft w:val="0"/>
              <w:marRight w:val="0"/>
              <w:marTop w:val="0"/>
              <w:marBottom w:val="0"/>
              <w:divBdr>
                <w:top w:val="none" w:sz="0" w:space="0" w:color="auto"/>
                <w:left w:val="none" w:sz="0" w:space="0" w:color="auto"/>
                <w:bottom w:val="none" w:sz="0" w:space="0" w:color="auto"/>
                <w:right w:val="none" w:sz="0" w:space="0" w:color="auto"/>
              </w:divBdr>
              <w:divsChild>
                <w:div w:id="897664127">
                  <w:marLeft w:val="0"/>
                  <w:marRight w:val="0"/>
                  <w:marTop w:val="0"/>
                  <w:marBottom w:val="0"/>
                  <w:divBdr>
                    <w:top w:val="none" w:sz="0" w:space="0" w:color="auto"/>
                    <w:left w:val="none" w:sz="0" w:space="0" w:color="auto"/>
                    <w:bottom w:val="none" w:sz="0" w:space="0" w:color="auto"/>
                    <w:right w:val="none" w:sz="0" w:space="0" w:color="auto"/>
                  </w:divBdr>
                </w:div>
              </w:divsChild>
            </w:div>
            <w:div w:id="1328628540">
              <w:marLeft w:val="0"/>
              <w:marRight w:val="0"/>
              <w:marTop w:val="0"/>
              <w:marBottom w:val="0"/>
              <w:divBdr>
                <w:top w:val="none" w:sz="0" w:space="0" w:color="auto"/>
                <w:left w:val="none" w:sz="0" w:space="0" w:color="auto"/>
                <w:bottom w:val="none" w:sz="0" w:space="0" w:color="auto"/>
                <w:right w:val="none" w:sz="0" w:space="0" w:color="auto"/>
              </w:divBdr>
              <w:divsChild>
                <w:div w:id="1093211186">
                  <w:marLeft w:val="0"/>
                  <w:marRight w:val="0"/>
                  <w:marTop w:val="0"/>
                  <w:marBottom w:val="0"/>
                  <w:divBdr>
                    <w:top w:val="none" w:sz="0" w:space="0" w:color="auto"/>
                    <w:left w:val="none" w:sz="0" w:space="0" w:color="auto"/>
                    <w:bottom w:val="none" w:sz="0" w:space="0" w:color="auto"/>
                    <w:right w:val="none" w:sz="0" w:space="0" w:color="auto"/>
                  </w:divBdr>
                </w:div>
              </w:divsChild>
            </w:div>
            <w:div w:id="1331982141">
              <w:marLeft w:val="0"/>
              <w:marRight w:val="0"/>
              <w:marTop w:val="300"/>
              <w:marBottom w:val="300"/>
              <w:divBdr>
                <w:top w:val="none" w:sz="0" w:space="0" w:color="auto"/>
                <w:left w:val="none" w:sz="0" w:space="0" w:color="auto"/>
                <w:bottom w:val="none" w:sz="0" w:space="0" w:color="auto"/>
                <w:right w:val="none" w:sz="0" w:space="0" w:color="auto"/>
              </w:divBdr>
            </w:div>
            <w:div w:id="1332875487">
              <w:marLeft w:val="0"/>
              <w:marRight w:val="0"/>
              <w:marTop w:val="0"/>
              <w:marBottom w:val="0"/>
              <w:divBdr>
                <w:top w:val="none" w:sz="0" w:space="0" w:color="auto"/>
                <w:left w:val="none" w:sz="0" w:space="0" w:color="auto"/>
                <w:bottom w:val="none" w:sz="0" w:space="0" w:color="auto"/>
                <w:right w:val="none" w:sz="0" w:space="0" w:color="auto"/>
              </w:divBdr>
              <w:divsChild>
                <w:div w:id="1070810215">
                  <w:marLeft w:val="0"/>
                  <w:marRight w:val="0"/>
                  <w:marTop w:val="0"/>
                  <w:marBottom w:val="0"/>
                  <w:divBdr>
                    <w:top w:val="none" w:sz="0" w:space="0" w:color="auto"/>
                    <w:left w:val="none" w:sz="0" w:space="0" w:color="auto"/>
                    <w:bottom w:val="none" w:sz="0" w:space="0" w:color="auto"/>
                    <w:right w:val="none" w:sz="0" w:space="0" w:color="auto"/>
                  </w:divBdr>
                </w:div>
              </w:divsChild>
            </w:div>
            <w:div w:id="1335181466">
              <w:marLeft w:val="0"/>
              <w:marRight w:val="0"/>
              <w:marTop w:val="0"/>
              <w:marBottom w:val="0"/>
              <w:divBdr>
                <w:top w:val="none" w:sz="0" w:space="0" w:color="auto"/>
                <w:left w:val="none" w:sz="0" w:space="0" w:color="auto"/>
                <w:bottom w:val="none" w:sz="0" w:space="0" w:color="auto"/>
                <w:right w:val="none" w:sz="0" w:space="0" w:color="auto"/>
              </w:divBdr>
              <w:divsChild>
                <w:div w:id="441656518">
                  <w:marLeft w:val="0"/>
                  <w:marRight w:val="0"/>
                  <w:marTop w:val="0"/>
                  <w:marBottom w:val="0"/>
                  <w:divBdr>
                    <w:top w:val="none" w:sz="0" w:space="0" w:color="auto"/>
                    <w:left w:val="none" w:sz="0" w:space="0" w:color="auto"/>
                    <w:bottom w:val="none" w:sz="0" w:space="0" w:color="auto"/>
                    <w:right w:val="none" w:sz="0" w:space="0" w:color="auto"/>
                  </w:divBdr>
                </w:div>
              </w:divsChild>
            </w:div>
            <w:div w:id="1335300328">
              <w:marLeft w:val="0"/>
              <w:marRight w:val="0"/>
              <w:marTop w:val="0"/>
              <w:marBottom w:val="0"/>
              <w:divBdr>
                <w:top w:val="none" w:sz="0" w:space="0" w:color="auto"/>
                <w:left w:val="none" w:sz="0" w:space="0" w:color="auto"/>
                <w:bottom w:val="none" w:sz="0" w:space="0" w:color="auto"/>
                <w:right w:val="none" w:sz="0" w:space="0" w:color="auto"/>
              </w:divBdr>
              <w:divsChild>
                <w:div w:id="805661972">
                  <w:marLeft w:val="0"/>
                  <w:marRight w:val="0"/>
                  <w:marTop w:val="0"/>
                  <w:marBottom w:val="0"/>
                  <w:divBdr>
                    <w:top w:val="none" w:sz="0" w:space="0" w:color="auto"/>
                    <w:left w:val="none" w:sz="0" w:space="0" w:color="auto"/>
                    <w:bottom w:val="none" w:sz="0" w:space="0" w:color="auto"/>
                    <w:right w:val="none" w:sz="0" w:space="0" w:color="auto"/>
                  </w:divBdr>
                </w:div>
              </w:divsChild>
            </w:div>
            <w:div w:id="1337878659">
              <w:marLeft w:val="0"/>
              <w:marRight w:val="0"/>
              <w:marTop w:val="0"/>
              <w:marBottom w:val="0"/>
              <w:divBdr>
                <w:top w:val="none" w:sz="0" w:space="0" w:color="auto"/>
                <w:left w:val="none" w:sz="0" w:space="0" w:color="auto"/>
                <w:bottom w:val="none" w:sz="0" w:space="0" w:color="auto"/>
                <w:right w:val="none" w:sz="0" w:space="0" w:color="auto"/>
              </w:divBdr>
              <w:divsChild>
                <w:div w:id="1201240181">
                  <w:marLeft w:val="0"/>
                  <w:marRight w:val="0"/>
                  <w:marTop w:val="0"/>
                  <w:marBottom w:val="0"/>
                  <w:divBdr>
                    <w:top w:val="none" w:sz="0" w:space="0" w:color="auto"/>
                    <w:left w:val="none" w:sz="0" w:space="0" w:color="auto"/>
                    <w:bottom w:val="none" w:sz="0" w:space="0" w:color="auto"/>
                    <w:right w:val="none" w:sz="0" w:space="0" w:color="auto"/>
                  </w:divBdr>
                </w:div>
              </w:divsChild>
            </w:div>
            <w:div w:id="1338771046">
              <w:marLeft w:val="0"/>
              <w:marRight w:val="0"/>
              <w:marTop w:val="0"/>
              <w:marBottom w:val="0"/>
              <w:divBdr>
                <w:top w:val="none" w:sz="0" w:space="0" w:color="auto"/>
                <w:left w:val="none" w:sz="0" w:space="0" w:color="auto"/>
                <w:bottom w:val="none" w:sz="0" w:space="0" w:color="auto"/>
                <w:right w:val="none" w:sz="0" w:space="0" w:color="auto"/>
              </w:divBdr>
              <w:divsChild>
                <w:div w:id="1754737646">
                  <w:marLeft w:val="0"/>
                  <w:marRight w:val="0"/>
                  <w:marTop w:val="0"/>
                  <w:marBottom w:val="0"/>
                  <w:divBdr>
                    <w:top w:val="none" w:sz="0" w:space="0" w:color="auto"/>
                    <w:left w:val="none" w:sz="0" w:space="0" w:color="auto"/>
                    <w:bottom w:val="none" w:sz="0" w:space="0" w:color="auto"/>
                    <w:right w:val="none" w:sz="0" w:space="0" w:color="auto"/>
                  </w:divBdr>
                </w:div>
              </w:divsChild>
            </w:div>
            <w:div w:id="1341349268">
              <w:marLeft w:val="0"/>
              <w:marRight w:val="0"/>
              <w:marTop w:val="0"/>
              <w:marBottom w:val="0"/>
              <w:divBdr>
                <w:top w:val="none" w:sz="0" w:space="0" w:color="auto"/>
                <w:left w:val="none" w:sz="0" w:space="0" w:color="auto"/>
                <w:bottom w:val="none" w:sz="0" w:space="0" w:color="auto"/>
                <w:right w:val="none" w:sz="0" w:space="0" w:color="auto"/>
              </w:divBdr>
              <w:divsChild>
                <w:div w:id="157039629">
                  <w:marLeft w:val="0"/>
                  <w:marRight w:val="0"/>
                  <w:marTop w:val="0"/>
                  <w:marBottom w:val="0"/>
                  <w:divBdr>
                    <w:top w:val="none" w:sz="0" w:space="0" w:color="auto"/>
                    <w:left w:val="none" w:sz="0" w:space="0" w:color="auto"/>
                    <w:bottom w:val="none" w:sz="0" w:space="0" w:color="auto"/>
                    <w:right w:val="none" w:sz="0" w:space="0" w:color="auto"/>
                  </w:divBdr>
                </w:div>
              </w:divsChild>
            </w:div>
            <w:div w:id="1341657264">
              <w:marLeft w:val="0"/>
              <w:marRight w:val="0"/>
              <w:marTop w:val="0"/>
              <w:marBottom w:val="0"/>
              <w:divBdr>
                <w:top w:val="none" w:sz="0" w:space="0" w:color="auto"/>
                <w:left w:val="none" w:sz="0" w:space="0" w:color="auto"/>
                <w:bottom w:val="none" w:sz="0" w:space="0" w:color="auto"/>
                <w:right w:val="none" w:sz="0" w:space="0" w:color="auto"/>
              </w:divBdr>
              <w:divsChild>
                <w:div w:id="472405040">
                  <w:marLeft w:val="0"/>
                  <w:marRight w:val="0"/>
                  <w:marTop w:val="0"/>
                  <w:marBottom w:val="0"/>
                  <w:divBdr>
                    <w:top w:val="none" w:sz="0" w:space="0" w:color="auto"/>
                    <w:left w:val="none" w:sz="0" w:space="0" w:color="auto"/>
                    <w:bottom w:val="none" w:sz="0" w:space="0" w:color="auto"/>
                    <w:right w:val="none" w:sz="0" w:space="0" w:color="auto"/>
                  </w:divBdr>
                </w:div>
              </w:divsChild>
            </w:div>
            <w:div w:id="1342928086">
              <w:marLeft w:val="0"/>
              <w:marRight w:val="0"/>
              <w:marTop w:val="0"/>
              <w:marBottom w:val="0"/>
              <w:divBdr>
                <w:top w:val="none" w:sz="0" w:space="0" w:color="auto"/>
                <w:left w:val="none" w:sz="0" w:space="0" w:color="auto"/>
                <w:bottom w:val="none" w:sz="0" w:space="0" w:color="auto"/>
                <w:right w:val="none" w:sz="0" w:space="0" w:color="auto"/>
              </w:divBdr>
              <w:divsChild>
                <w:div w:id="1792551290">
                  <w:marLeft w:val="0"/>
                  <w:marRight w:val="0"/>
                  <w:marTop w:val="0"/>
                  <w:marBottom w:val="0"/>
                  <w:divBdr>
                    <w:top w:val="none" w:sz="0" w:space="0" w:color="auto"/>
                    <w:left w:val="none" w:sz="0" w:space="0" w:color="auto"/>
                    <w:bottom w:val="none" w:sz="0" w:space="0" w:color="auto"/>
                    <w:right w:val="none" w:sz="0" w:space="0" w:color="auto"/>
                  </w:divBdr>
                </w:div>
              </w:divsChild>
            </w:div>
            <w:div w:id="1343124077">
              <w:marLeft w:val="0"/>
              <w:marRight w:val="0"/>
              <w:marTop w:val="0"/>
              <w:marBottom w:val="0"/>
              <w:divBdr>
                <w:top w:val="none" w:sz="0" w:space="0" w:color="auto"/>
                <w:left w:val="none" w:sz="0" w:space="0" w:color="auto"/>
                <w:bottom w:val="none" w:sz="0" w:space="0" w:color="auto"/>
                <w:right w:val="none" w:sz="0" w:space="0" w:color="auto"/>
              </w:divBdr>
              <w:divsChild>
                <w:div w:id="332687603">
                  <w:marLeft w:val="0"/>
                  <w:marRight w:val="0"/>
                  <w:marTop w:val="0"/>
                  <w:marBottom w:val="0"/>
                  <w:divBdr>
                    <w:top w:val="none" w:sz="0" w:space="0" w:color="auto"/>
                    <w:left w:val="none" w:sz="0" w:space="0" w:color="auto"/>
                    <w:bottom w:val="none" w:sz="0" w:space="0" w:color="auto"/>
                    <w:right w:val="none" w:sz="0" w:space="0" w:color="auto"/>
                  </w:divBdr>
                </w:div>
              </w:divsChild>
            </w:div>
            <w:div w:id="1343124104">
              <w:marLeft w:val="0"/>
              <w:marRight w:val="0"/>
              <w:marTop w:val="0"/>
              <w:marBottom w:val="0"/>
              <w:divBdr>
                <w:top w:val="none" w:sz="0" w:space="0" w:color="auto"/>
                <w:left w:val="none" w:sz="0" w:space="0" w:color="auto"/>
                <w:bottom w:val="none" w:sz="0" w:space="0" w:color="auto"/>
                <w:right w:val="none" w:sz="0" w:space="0" w:color="auto"/>
              </w:divBdr>
              <w:divsChild>
                <w:div w:id="595021858">
                  <w:marLeft w:val="0"/>
                  <w:marRight w:val="0"/>
                  <w:marTop w:val="0"/>
                  <w:marBottom w:val="0"/>
                  <w:divBdr>
                    <w:top w:val="none" w:sz="0" w:space="0" w:color="auto"/>
                    <w:left w:val="none" w:sz="0" w:space="0" w:color="auto"/>
                    <w:bottom w:val="none" w:sz="0" w:space="0" w:color="auto"/>
                    <w:right w:val="none" w:sz="0" w:space="0" w:color="auto"/>
                  </w:divBdr>
                </w:div>
              </w:divsChild>
            </w:div>
            <w:div w:id="1343431405">
              <w:marLeft w:val="0"/>
              <w:marRight w:val="0"/>
              <w:marTop w:val="0"/>
              <w:marBottom w:val="0"/>
              <w:divBdr>
                <w:top w:val="none" w:sz="0" w:space="0" w:color="auto"/>
                <w:left w:val="none" w:sz="0" w:space="0" w:color="auto"/>
                <w:bottom w:val="none" w:sz="0" w:space="0" w:color="auto"/>
                <w:right w:val="none" w:sz="0" w:space="0" w:color="auto"/>
              </w:divBdr>
              <w:divsChild>
                <w:div w:id="1707825467">
                  <w:marLeft w:val="0"/>
                  <w:marRight w:val="0"/>
                  <w:marTop w:val="0"/>
                  <w:marBottom w:val="0"/>
                  <w:divBdr>
                    <w:top w:val="none" w:sz="0" w:space="0" w:color="auto"/>
                    <w:left w:val="none" w:sz="0" w:space="0" w:color="auto"/>
                    <w:bottom w:val="none" w:sz="0" w:space="0" w:color="auto"/>
                    <w:right w:val="none" w:sz="0" w:space="0" w:color="auto"/>
                  </w:divBdr>
                </w:div>
              </w:divsChild>
            </w:div>
            <w:div w:id="1346975369">
              <w:marLeft w:val="0"/>
              <w:marRight w:val="0"/>
              <w:marTop w:val="0"/>
              <w:marBottom w:val="0"/>
              <w:divBdr>
                <w:top w:val="none" w:sz="0" w:space="0" w:color="auto"/>
                <w:left w:val="none" w:sz="0" w:space="0" w:color="auto"/>
                <w:bottom w:val="none" w:sz="0" w:space="0" w:color="auto"/>
                <w:right w:val="none" w:sz="0" w:space="0" w:color="auto"/>
              </w:divBdr>
              <w:divsChild>
                <w:div w:id="613098297">
                  <w:marLeft w:val="0"/>
                  <w:marRight w:val="0"/>
                  <w:marTop w:val="0"/>
                  <w:marBottom w:val="0"/>
                  <w:divBdr>
                    <w:top w:val="none" w:sz="0" w:space="0" w:color="auto"/>
                    <w:left w:val="none" w:sz="0" w:space="0" w:color="auto"/>
                    <w:bottom w:val="none" w:sz="0" w:space="0" w:color="auto"/>
                    <w:right w:val="none" w:sz="0" w:space="0" w:color="auto"/>
                  </w:divBdr>
                </w:div>
              </w:divsChild>
            </w:div>
            <w:div w:id="1347363917">
              <w:marLeft w:val="0"/>
              <w:marRight w:val="0"/>
              <w:marTop w:val="0"/>
              <w:marBottom w:val="0"/>
              <w:divBdr>
                <w:top w:val="none" w:sz="0" w:space="0" w:color="auto"/>
                <w:left w:val="none" w:sz="0" w:space="0" w:color="auto"/>
                <w:bottom w:val="none" w:sz="0" w:space="0" w:color="auto"/>
                <w:right w:val="none" w:sz="0" w:space="0" w:color="auto"/>
              </w:divBdr>
              <w:divsChild>
                <w:div w:id="1248657934">
                  <w:marLeft w:val="0"/>
                  <w:marRight w:val="0"/>
                  <w:marTop w:val="0"/>
                  <w:marBottom w:val="0"/>
                  <w:divBdr>
                    <w:top w:val="none" w:sz="0" w:space="0" w:color="auto"/>
                    <w:left w:val="none" w:sz="0" w:space="0" w:color="auto"/>
                    <w:bottom w:val="none" w:sz="0" w:space="0" w:color="auto"/>
                    <w:right w:val="none" w:sz="0" w:space="0" w:color="auto"/>
                  </w:divBdr>
                </w:div>
              </w:divsChild>
            </w:div>
            <w:div w:id="1349091214">
              <w:marLeft w:val="0"/>
              <w:marRight w:val="0"/>
              <w:marTop w:val="0"/>
              <w:marBottom w:val="0"/>
              <w:divBdr>
                <w:top w:val="none" w:sz="0" w:space="0" w:color="auto"/>
                <w:left w:val="none" w:sz="0" w:space="0" w:color="auto"/>
                <w:bottom w:val="none" w:sz="0" w:space="0" w:color="auto"/>
                <w:right w:val="none" w:sz="0" w:space="0" w:color="auto"/>
              </w:divBdr>
              <w:divsChild>
                <w:div w:id="1783113282">
                  <w:marLeft w:val="0"/>
                  <w:marRight w:val="0"/>
                  <w:marTop w:val="0"/>
                  <w:marBottom w:val="0"/>
                  <w:divBdr>
                    <w:top w:val="none" w:sz="0" w:space="0" w:color="auto"/>
                    <w:left w:val="none" w:sz="0" w:space="0" w:color="auto"/>
                    <w:bottom w:val="none" w:sz="0" w:space="0" w:color="auto"/>
                    <w:right w:val="none" w:sz="0" w:space="0" w:color="auto"/>
                  </w:divBdr>
                </w:div>
              </w:divsChild>
            </w:div>
            <w:div w:id="1350839116">
              <w:marLeft w:val="0"/>
              <w:marRight w:val="0"/>
              <w:marTop w:val="0"/>
              <w:marBottom w:val="0"/>
              <w:divBdr>
                <w:top w:val="none" w:sz="0" w:space="0" w:color="auto"/>
                <w:left w:val="none" w:sz="0" w:space="0" w:color="auto"/>
                <w:bottom w:val="none" w:sz="0" w:space="0" w:color="auto"/>
                <w:right w:val="none" w:sz="0" w:space="0" w:color="auto"/>
              </w:divBdr>
              <w:divsChild>
                <w:div w:id="1074426997">
                  <w:marLeft w:val="0"/>
                  <w:marRight w:val="0"/>
                  <w:marTop w:val="0"/>
                  <w:marBottom w:val="0"/>
                  <w:divBdr>
                    <w:top w:val="none" w:sz="0" w:space="0" w:color="auto"/>
                    <w:left w:val="none" w:sz="0" w:space="0" w:color="auto"/>
                    <w:bottom w:val="none" w:sz="0" w:space="0" w:color="auto"/>
                    <w:right w:val="none" w:sz="0" w:space="0" w:color="auto"/>
                  </w:divBdr>
                </w:div>
              </w:divsChild>
            </w:div>
            <w:div w:id="1351489746">
              <w:marLeft w:val="0"/>
              <w:marRight w:val="0"/>
              <w:marTop w:val="0"/>
              <w:marBottom w:val="0"/>
              <w:divBdr>
                <w:top w:val="none" w:sz="0" w:space="0" w:color="auto"/>
                <w:left w:val="none" w:sz="0" w:space="0" w:color="auto"/>
                <w:bottom w:val="none" w:sz="0" w:space="0" w:color="auto"/>
                <w:right w:val="none" w:sz="0" w:space="0" w:color="auto"/>
              </w:divBdr>
              <w:divsChild>
                <w:div w:id="1478256843">
                  <w:marLeft w:val="0"/>
                  <w:marRight w:val="0"/>
                  <w:marTop w:val="0"/>
                  <w:marBottom w:val="0"/>
                  <w:divBdr>
                    <w:top w:val="none" w:sz="0" w:space="0" w:color="auto"/>
                    <w:left w:val="none" w:sz="0" w:space="0" w:color="auto"/>
                    <w:bottom w:val="none" w:sz="0" w:space="0" w:color="auto"/>
                    <w:right w:val="none" w:sz="0" w:space="0" w:color="auto"/>
                  </w:divBdr>
                </w:div>
              </w:divsChild>
            </w:div>
            <w:div w:id="1351834640">
              <w:marLeft w:val="0"/>
              <w:marRight w:val="0"/>
              <w:marTop w:val="0"/>
              <w:marBottom w:val="0"/>
              <w:divBdr>
                <w:top w:val="none" w:sz="0" w:space="0" w:color="auto"/>
                <w:left w:val="none" w:sz="0" w:space="0" w:color="auto"/>
                <w:bottom w:val="none" w:sz="0" w:space="0" w:color="auto"/>
                <w:right w:val="none" w:sz="0" w:space="0" w:color="auto"/>
              </w:divBdr>
              <w:divsChild>
                <w:div w:id="610942746">
                  <w:marLeft w:val="0"/>
                  <w:marRight w:val="0"/>
                  <w:marTop w:val="0"/>
                  <w:marBottom w:val="0"/>
                  <w:divBdr>
                    <w:top w:val="none" w:sz="0" w:space="0" w:color="auto"/>
                    <w:left w:val="none" w:sz="0" w:space="0" w:color="auto"/>
                    <w:bottom w:val="none" w:sz="0" w:space="0" w:color="auto"/>
                    <w:right w:val="none" w:sz="0" w:space="0" w:color="auto"/>
                  </w:divBdr>
                </w:div>
              </w:divsChild>
            </w:div>
            <w:div w:id="1352102190">
              <w:marLeft w:val="0"/>
              <w:marRight w:val="0"/>
              <w:marTop w:val="0"/>
              <w:marBottom w:val="0"/>
              <w:divBdr>
                <w:top w:val="none" w:sz="0" w:space="0" w:color="auto"/>
                <w:left w:val="none" w:sz="0" w:space="0" w:color="auto"/>
                <w:bottom w:val="none" w:sz="0" w:space="0" w:color="auto"/>
                <w:right w:val="none" w:sz="0" w:space="0" w:color="auto"/>
              </w:divBdr>
              <w:divsChild>
                <w:div w:id="1238320095">
                  <w:marLeft w:val="0"/>
                  <w:marRight w:val="0"/>
                  <w:marTop w:val="0"/>
                  <w:marBottom w:val="0"/>
                  <w:divBdr>
                    <w:top w:val="none" w:sz="0" w:space="0" w:color="auto"/>
                    <w:left w:val="none" w:sz="0" w:space="0" w:color="auto"/>
                    <w:bottom w:val="none" w:sz="0" w:space="0" w:color="auto"/>
                    <w:right w:val="none" w:sz="0" w:space="0" w:color="auto"/>
                  </w:divBdr>
                </w:div>
              </w:divsChild>
            </w:div>
            <w:div w:id="1354644903">
              <w:marLeft w:val="0"/>
              <w:marRight w:val="0"/>
              <w:marTop w:val="0"/>
              <w:marBottom w:val="0"/>
              <w:divBdr>
                <w:top w:val="none" w:sz="0" w:space="0" w:color="auto"/>
                <w:left w:val="none" w:sz="0" w:space="0" w:color="auto"/>
                <w:bottom w:val="none" w:sz="0" w:space="0" w:color="auto"/>
                <w:right w:val="none" w:sz="0" w:space="0" w:color="auto"/>
              </w:divBdr>
              <w:divsChild>
                <w:div w:id="909731739">
                  <w:marLeft w:val="0"/>
                  <w:marRight w:val="0"/>
                  <w:marTop w:val="0"/>
                  <w:marBottom w:val="0"/>
                  <w:divBdr>
                    <w:top w:val="none" w:sz="0" w:space="0" w:color="auto"/>
                    <w:left w:val="none" w:sz="0" w:space="0" w:color="auto"/>
                    <w:bottom w:val="none" w:sz="0" w:space="0" w:color="auto"/>
                    <w:right w:val="none" w:sz="0" w:space="0" w:color="auto"/>
                  </w:divBdr>
                </w:div>
              </w:divsChild>
            </w:div>
            <w:div w:id="1355350471">
              <w:marLeft w:val="0"/>
              <w:marRight w:val="0"/>
              <w:marTop w:val="0"/>
              <w:marBottom w:val="0"/>
              <w:divBdr>
                <w:top w:val="none" w:sz="0" w:space="0" w:color="auto"/>
                <w:left w:val="none" w:sz="0" w:space="0" w:color="auto"/>
                <w:bottom w:val="none" w:sz="0" w:space="0" w:color="auto"/>
                <w:right w:val="none" w:sz="0" w:space="0" w:color="auto"/>
              </w:divBdr>
              <w:divsChild>
                <w:div w:id="455215981">
                  <w:marLeft w:val="0"/>
                  <w:marRight w:val="0"/>
                  <w:marTop w:val="0"/>
                  <w:marBottom w:val="0"/>
                  <w:divBdr>
                    <w:top w:val="none" w:sz="0" w:space="0" w:color="auto"/>
                    <w:left w:val="none" w:sz="0" w:space="0" w:color="auto"/>
                    <w:bottom w:val="none" w:sz="0" w:space="0" w:color="auto"/>
                    <w:right w:val="none" w:sz="0" w:space="0" w:color="auto"/>
                  </w:divBdr>
                </w:div>
              </w:divsChild>
            </w:div>
            <w:div w:id="1357730081">
              <w:marLeft w:val="0"/>
              <w:marRight w:val="0"/>
              <w:marTop w:val="0"/>
              <w:marBottom w:val="0"/>
              <w:divBdr>
                <w:top w:val="none" w:sz="0" w:space="0" w:color="auto"/>
                <w:left w:val="none" w:sz="0" w:space="0" w:color="auto"/>
                <w:bottom w:val="none" w:sz="0" w:space="0" w:color="auto"/>
                <w:right w:val="none" w:sz="0" w:space="0" w:color="auto"/>
              </w:divBdr>
              <w:divsChild>
                <w:div w:id="391975199">
                  <w:marLeft w:val="0"/>
                  <w:marRight w:val="0"/>
                  <w:marTop w:val="0"/>
                  <w:marBottom w:val="0"/>
                  <w:divBdr>
                    <w:top w:val="none" w:sz="0" w:space="0" w:color="auto"/>
                    <w:left w:val="none" w:sz="0" w:space="0" w:color="auto"/>
                    <w:bottom w:val="none" w:sz="0" w:space="0" w:color="auto"/>
                    <w:right w:val="none" w:sz="0" w:space="0" w:color="auto"/>
                  </w:divBdr>
                </w:div>
              </w:divsChild>
            </w:div>
            <w:div w:id="1359351468">
              <w:marLeft w:val="0"/>
              <w:marRight w:val="0"/>
              <w:marTop w:val="0"/>
              <w:marBottom w:val="0"/>
              <w:divBdr>
                <w:top w:val="none" w:sz="0" w:space="0" w:color="auto"/>
                <w:left w:val="none" w:sz="0" w:space="0" w:color="auto"/>
                <w:bottom w:val="none" w:sz="0" w:space="0" w:color="auto"/>
                <w:right w:val="none" w:sz="0" w:space="0" w:color="auto"/>
              </w:divBdr>
              <w:divsChild>
                <w:div w:id="859123934">
                  <w:marLeft w:val="0"/>
                  <w:marRight w:val="0"/>
                  <w:marTop w:val="0"/>
                  <w:marBottom w:val="0"/>
                  <w:divBdr>
                    <w:top w:val="none" w:sz="0" w:space="0" w:color="auto"/>
                    <w:left w:val="none" w:sz="0" w:space="0" w:color="auto"/>
                    <w:bottom w:val="none" w:sz="0" w:space="0" w:color="auto"/>
                    <w:right w:val="none" w:sz="0" w:space="0" w:color="auto"/>
                  </w:divBdr>
                </w:div>
              </w:divsChild>
            </w:div>
            <w:div w:id="1362508133">
              <w:marLeft w:val="0"/>
              <w:marRight w:val="0"/>
              <w:marTop w:val="0"/>
              <w:marBottom w:val="0"/>
              <w:divBdr>
                <w:top w:val="none" w:sz="0" w:space="0" w:color="auto"/>
                <w:left w:val="none" w:sz="0" w:space="0" w:color="auto"/>
                <w:bottom w:val="none" w:sz="0" w:space="0" w:color="auto"/>
                <w:right w:val="none" w:sz="0" w:space="0" w:color="auto"/>
              </w:divBdr>
              <w:divsChild>
                <w:div w:id="1617829445">
                  <w:marLeft w:val="0"/>
                  <w:marRight w:val="0"/>
                  <w:marTop w:val="0"/>
                  <w:marBottom w:val="0"/>
                  <w:divBdr>
                    <w:top w:val="none" w:sz="0" w:space="0" w:color="auto"/>
                    <w:left w:val="none" w:sz="0" w:space="0" w:color="auto"/>
                    <w:bottom w:val="none" w:sz="0" w:space="0" w:color="auto"/>
                    <w:right w:val="none" w:sz="0" w:space="0" w:color="auto"/>
                  </w:divBdr>
                </w:div>
              </w:divsChild>
            </w:div>
            <w:div w:id="1365472966">
              <w:marLeft w:val="0"/>
              <w:marRight w:val="0"/>
              <w:marTop w:val="0"/>
              <w:marBottom w:val="0"/>
              <w:divBdr>
                <w:top w:val="none" w:sz="0" w:space="0" w:color="auto"/>
                <w:left w:val="none" w:sz="0" w:space="0" w:color="auto"/>
                <w:bottom w:val="none" w:sz="0" w:space="0" w:color="auto"/>
                <w:right w:val="none" w:sz="0" w:space="0" w:color="auto"/>
              </w:divBdr>
              <w:divsChild>
                <w:div w:id="1257245859">
                  <w:marLeft w:val="0"/>
                  <w:marRight w:val="0"/>
                  <w:marTop w:val="0"/>
                  <w:marBottom w:val="0"/>
                  <w:divBdr>
                    <w:top w:val="none" w:sz="0" w:space="0" w:color="auto"/>
                    <w:left w:val="none" w:sz="0" w:space="0" w:color="auto"/>
                    <w:bottom w:val="none" w:sz="0" w:space="0" w:color="auto"/>
                    <w:right w:val="none" w:sz="0" w:space="0" w:color="auto"/>
                  </w:divBdr>
                </w:div>
              </w:divsChild>
            </w:div>
            <w:div w:id="1365866347">
              <w:marLeft w:val="0"/>
              <w:marRight w:val="0"/>
              <w:marTop w:val="0"/>
              <w:marBottom w:val="0"/>
              <w:divBdr>
                <w:top w:val="none" w:sz="0" w:space="0" w:color="auto"/>
                <w:left w:val="none" w:sz="0" w:space="0" w:color="auto"/>
                <w:bottom w:val="none" w:sz="0" w:space="0" w:color="auto"/>
                <w:right w:val="none" w:sz="0" w:space="0" w:color="auto"/>
              </w:divBdr>
              <w:divsChild>
                <w:div w:id="306478091">
                  <w:marLeft w:val="0"/>
                  <w:marRight w:val="0"/>
                  <w:marTop w:val="0"/>
                  <w:marBottom w:val="0"/>
                  <w:divBdr>
                    <w:top w:val="none" w:sz="0" w:space="0" w:color="auto"/>
                    <w:left w:val="none" w:sz="0" w:space="0" w:color="auto"/>
                    <w:bottom w:val="none" w:sz="0" w:space="0" w:color="auto"/>
                    <w:right w:val="none" w:sz="0" w:space="0" w:color="auto"/>
                  </w:divBdr>
                </w:div>
              </w:divsChild>
            </w:div>
            <w:div w:id="1367483681">
              <w:marLeft w:val="0"/>
              <w:marRight w:val="0"/>
              <w:marTop w:val="300"/>
              <w:marBottom w:val="300"/>
              <w:divBdr>
                <w:top w:val="none" w:sz="0" w:space="0" w:color="auto"/>
                <w:left w:val="none" w:sz="0" w:space="0" w:color="auto"/>
                <w:bottom w:val="none" w:sz="0" w:space="0" w:color="auto"/>
                <w:right w:val="none" w:sz="0" w:space="0" w:color="auto"/>
              </w:divBdr>
            </w:div>
            <w:div w:id="1368336906">
              <w:marLeft w:val="0"/>
              <w:marRight w:val="0"/>
              <w:marTop w:val="0"/>
              <w:marBottom w:val="0"/>
              <w:divBdr>
                <w:top w:val="none" w:sz="0" w:space="0" w:color="auto"/>
                <w:left w:val="none" w:sz="0" w:space="0" w:color="auto"/>
                <w:bottom w:val="none" w:sz="0" w:space="0" w:color="auto"/>
                <w:right w:val="none" w:sz="0" w:space="0" w:color="auto"/>
              </w:divBdr>
              <w:divsChild>
                <w:div w:id="712774259">
                  <w:marLeft w:val="0"/>
                  <w:marRight w:val="0"/>
                  <w:marTop w:val="0"/>
                  <w:marBottom w:val="0"/>
                  <w:divBdr>
                    <w:top w:val="none" w:sz="0" w:space="0" w:color="auto"/>
                    <w:left w:val="none" w:sz="0" w:space="0" w:color="auto"/>
                    <w:bottom w:val="none" w:sz="0" w:space="0" w:color="auto"/>
                    <w:right w:val="none" w:sz="0" w:space="0" w:color="auto"/>
                  </w:divBdr>
                </w:div>
              </w:divsChild>
            </w:div>
            <w:div w:id="1371302336">
              <w:marLeft w:val="0"/>
              <w:marRight w:val="0"/>
              <w:marTop w:val="300"/>
              <w:marBottom w:val="300"/>
              <w:divBdr>
                <w:top w:val="none" w:sz="0" w:space="0" w:color="auto"/>
                <w:left w:val="none" w:sz="0" w:space="0" w:color="auto"/>
                <w:bottom w:val="none" w:sz="0" w:space="0" w:color="auto"/>
                <w:right w:val="none" w:sz="0" w:space="0" w:color="auto"/>
              </w:divBdr>
            </w:div>
            <w:div w:id="1372992377">
              <w:marLeft w:val="0"/>
              <w:marRight w:val="0"/>
              <w:marTop w:val="0"/>
              <w:marBottom w:val="0"/>
              <w:divBdr>
                <w:top w:val="none" w:sz="0" w:space="0" w:color="auto"/>
                <w:left w:val="none" w:sz="0" w:space="0" w:color="auto"/>
                <w:bottom w:val="none" w:sz="0" w:space="0" w:color="auto"/>
                <w:right w:val="none" w:sz="0" w:space="0" w:color="auto"/>
              </w:divBdr>
              <w:divsChild>
                <w:div w:id="88043957">
                  <w:marLeft w:val="0"/>
                  <w:marRight w:val="0"/>
                  <w:marTop w:val="0"/>
                  <w:marBottom w:val="0"/>
                  <w:divBdr>
                    <w:top w:val="none" w:sz="0" w:space="0" w:color="auto"/>
                    <w:left w:val="none" w:sz="0" w:space="0" w:color="auto"/>
                    <w:bottom w:val="none" w:sz="0" w:space="0" w:color="auto"/>
                    <w:right w:val="none" w:sz="0" w:space="0" w:color="auto"/>
                  </w:divBdr>
                </w:div>
              </w:divsChild>
            </w:div>
            <w:div w:id="1373116676">
              <w:marLeft w:val="0"/>
              <w:marRight w:val="0"/>
              <w:marTop w:val="0"/>
              <w:marBottom w:val="0"/>
              <w:divBdr>
                <w:top w:val="none" w:sz="0" w:space="0" w:color="auto"/>
                <w:left w:val="none" w:sz="0" w:space="0" w:color="auto"/>
                <w:bottom w:val="none" w:sz="0" w:space="0" w:color="auto"/>
                <w:right w:val="none" w:sz="0" w:space="0" w:color="auto"/>
              </w:divBdr>
              <w:divsChild>
                <w:div w:id="774176830">
                  <w:marLeft w:val="0"/>
                  <w:marRight w:val="0"/>
                  <w:marTop w:val="0"/>
                  <w:marBottom w:val="0"/>
                  <w:divBdr>
                    <w:top w:val="none" w:sz="0" w:space="0" w:color="auto"/>
                    <w:left w:val="none" w:sz="0" w:space="0" w:color="auto"/>
                    <w:bottom w:val="none" w:sz="0" w:space="0" w:color="auto"/>
                    <w:right w:val="none" w:sz="0" w:space="0" w:color="auto"/>
                  </w:divBdr>
                </w:div>
              </w:divsChild>
            </w:div>
            <w:div w:id="1373265928">
              <w:marLeft w:val="0"/>
              <w:marRight w:val="0"/>
              <w:marTop w:val="0"/>
              <w:marBottom w:val="0"/>
              <w:divBdr>
                <w:top w:val="none" w:sz="0" w:space="0" w:color="auto"/>
                <w:left w:val="none" w:sz="0" w:space="0" w:color="auto"/>
                <w:bottom w:val="none" w:sz="0" w:space="0" w:color="auto"/>
                <w:right w:val="none" w:sz="0" w:space="0" w:color="auto"/>
              </w:divBdr>
              <w:divsChild>
                <w:div w:id="183135629">
                  <w:marLeft w:val="0"/>
                  <w:marRight w:val="0"/>
                  <w:marTop w:val="0"/>
                  <w:marBottom w:val="0"/>
                  <w:divBdr>
                    <w:top w:val="none" w:sz="0" w:space="0" w:color="auto"/>
                    <w:left w:val="none" w:sz="0" w:space="0" w:color="auto"/>
                    <w:bottom w:val="none" w:sz="0" w:space="0" w:color="auto"/>
                    <w:right w:val="none" w:sz="0" w:space="0" w:color="auto"/>
                  </w:divBdr>
                </w:div>
              </w:divsChild>
            </w:div>
            <w:div w:id="1374381568">
              <w:marLeft w:val="0"/>
              <w:marRight w:val="0"/>
              <w:marTop w:val="0"/>
              <w:marBottom w:val="0"/>
              <w:divBdr>
                <w:top w:val="none" w:sz="0" w:space="0" w:color="auto"/>
                <w:left w:val="none" w:sz="0" w:space="0" w:color="auto"/>
                <w:bottom w:val="none" w:sz="0" w:space="0" w:color="auto"/>
                <w:right w:val="none" w:sz="0" w:space="0" w:color="auto"/>
              </w:divBdr>
              <w:divsChild>
                <w:div w:id="593781535">
                  <w:marLeft w:val="0"/>
                  <w:marRight w:val="0"/>
                  <w:marTop w:val="0"/>
                  <w:marBottom w:val="0"/>
                  <w:divBdr>
                    <w:top w:val="none" w:sz="0" w:space="0" w:color="auto"/>
                    <w:left w:val="none" w:sz="0" w:space="0" w:color="auto"/>
                    <w:bottom w:val="none" w:sz="0" w:space="0" w:color="auto"/>
                    <w:right w:val="none" w:sz="0" w:space="0" w:color="auto"/>
                  </w:divBdr>
                </w:div>
              </w:divsChild>
            </w:div>
            <w:div w:id="1375231436">
              <w:marLeft w:val="0"/>
              <w:marRight w:val="0"/>
              <w:marTop w:val="0"/>
              <w:marBottom w:val="0"/>
              <w:divBdr>
                <w:top w:val="none" w:sz="0" w:space="0" w:color="auto"/>
                <w:left w:val="none" w:sz="0" w:space="0" w:color="auto"/>
                <w:bottom w:val="none" w:sz="0" w:space="0" w:color="auto"/>
                <w:right w:val="none" w:sz="0" w:space="0" w:color="auto"/>
              </w:divBdr>
              <w:divsChild>
                <w:div w:id="15086437">
                  <w:marLeft w:val="0"/>
                  <w:marRight w:val="0"/>
                  <w:marTop w:val="0"/>
                  <w:marBottom w:val="0"/>
                  <w:divBdr>
                    <w:top w:val="none" w:sz="0" w:space="0" w:color="auto"/>
                    <w:left w:val="none" w:sz="0" w:space="0" w:color="auto"/>
                    <w:bottom w:val="none" w:sz="0" w:space="0" w:color="auto"/>
                    <w:right w:val="none" w:sz="0" w:space="0" w:color="auto"/>
                  </w:divBdr>
                </w:div>
              </w:divsChild>
            </w:div>
            <w:div w:id="1375889479">
              <w:marLeft w:val="0"/>
              <w:marRight w:val="0"/>
              <w:marTop w:val="0"/>
              <w:marBottom w:val="0"/>
              <w:divBdr>
                <w:top w:val="none" w:sz="0" w:space="0" w:color="auto"/>
                <w:left w:val="none" w:sz="0" w:space="0" w:color="auto"/>
                <w:bottom w:val="none" w:sz="0" w:space="0" w:color="auto"/>
                <w:right w:val="none" w:sz="0" w:space="0" w:color="auto"/>
              </w:divBdr>
              <w:divsChild>
                <w:div w:id="116460517">
                  <w:marLeft w:val="0"/>
                  <w:marRight w:val="0"/>
                  <w:marTop w:val="0"/>
                  <w:marBottom w:val="0"/>
                  <w:divBdr>
                    <w:top w:val="none" w:sz="0" w:space="0" w:color="auto"/>
                    <w:left w:val="none" w:sz="0" w:space="0" w:color="auto"/>
                    <w:bottom w:val="none" w:sz="0" w:space="0" w:color="auto"/>
                    <w:right w:val="none" w:sz="0" w:space="0" w:color="auto"/>
                  </w:divBdr>
                </w:div>
              </w:divsChild>
            </w:div>
            <w:div w:id="1377000048">
              <w:marLeft w:val="0"/>
              <w:marRight w:val="0"/>
              <w:marTop w:val="0"/>
              <w:marBottom w:val="0"/>
              <w:divBdr>
                <w:top w:val="none" w:sz="0" w:space="0" w:color="auto"/>
                <w:left w:val="none" w:sz="0" w:space="0" w:color="auto"/>
                <w:bottom w:val="none" w:sz="0" w:space="0" w:color="auto"/>
                <w:right w:val="none" w:sz="0" w:space="0" w:color="auto"/>
              </w:divBdr>
              <w:divsChild>
                <w:div w:id="451633458">
                  <w:marLeft w:val="0"/>
                  <w:marRight w:val="0"/>
                  <w:marTop w:val="0"/>
                  <w:marBottom w:val="0"/>
                  <w:divBdr>
                    <w:top w:val="none" w:sz="0" w:space="0" w:color="auto"/>
                    <w:left w:val="none" w:sz="0" w:space="0" w:color="auto"/>
                    <w:bottom w:val="none" w:sz="0" w:space="0" w:color="auto"/>
                    <w:right w:val="none" w:sz="0" w:space="0" w:color="auto"/>
                  </w:divBdr>
                </w:div>
              </w:divsChild>
            </w:div>
            <w:div w:id="1378581835">
              <w:marLeft w:val="0"/>
              <w:marRight w:val="0"/>
              <w:marTop w:val="0"/>
              <w:marBottom w:val="0"/>
              <w:divBdr>
                <w:top w:val="none" w:sz="0" w:space="0" w:color="auto"/>
                <w:left w:val="none" w:sz="0" w:space="0" w:color="auto"/>
                <w:bottom w:val="none" w:sz="0" w:space="0" w:color="auto"/>
                <w:right w:val="none" w:sz="0" w:space="0" w:color="auto"/>
              </w:divBdr>
              <w:divsChild>
                <w:div w:id="551697574">
                  <w:marLeft w:val="0"/>
                  <w:marRight w:val="0"/>
                  <w:marTop w:val="0"/>
                  <w:marBottom w:val="0"/>
                  <w:divBdr>
                    <w:top w:val="none" w:sz="0" w:space="0" w:color="auto"/>
                    <w:left w:val="none" w:sz="0" w:space="0" w:color="auto"/>
                    <w:bottom w:val="none" w:sz="0" w:space="0" w:color="auto"/>
                    <w:right w:val="none" w:sz="0" w:space="0" w:color="auto"/>
                  </w:divBdr>
                </w:div>
              </w:divsChild>
            </w:div>
            <w:div w:id="1378696924">
              <w:marLeft w:val="0"/>
              <w:marRight w:val="0"/>
              <w:marTop w:val="0"/>
              <w:marBottom w:val="0"/>
              <w:divBdr>
                <w:top w:val="none" w:sz="0" w:space="0" w:color="auto"/>
                <w:left w:val="none" w:sz="0" w:space="0" w:color="auto"/>
                <w:bottom w:val="none" w:sz="0" w:space="0" w:color="auto"/>
                <w:right w:val="none" w:sz="0" w:space="0" w:color="auto"/>
              </w:divBdr>
              <w:divsChild>
                <w:div w:id="1084843971">
                  <w:marLeft w:val="0"/>
                  <w:marRight w:val="0"/>
                  <w:marTop w:val="0"/>
                  <w:marBottom w:val="0"/>
                  <w:divBdr>
                    <w:top w:val="none" w:sz="0" w:space="0" w:color="auto"/>
                    <w:left w:val="none" w:sz="0" w:space="0" w:color="auto"/>
                    <w:bottom w:val="none" w:sz="0" w:space="0" w:color="auto"/>
                    <w:right w:val="none" w:sz="0" w:space="0" w:color="auto"/>
                  </w:divBdr>
                </w:div>
              </w:divsChild>
            </w:div>
            <w:div w:id="1382442296">
              <w:marLeft w:val="0"/>
              <w:marRight w:val="0"/>
              <w:marTop w:val="0"/>
              <w:marBottom w:val="0"/>
              <w:divBdr>
                <w:top w:val="none" w:sz="0" w:space="0" w:color="auto"/>
                <w:left w:val="none" w:sz="0" w:space="0" w:color="auto"/>
                <w:bottom w:val="none" w:sz="0" w:space="0" w:color="auto"/>
                <w:right w:val="none" w:sz="0" w:space="0" w:color="auto"/>
              </w:divBdr>
              <w:divsChild>
                <w:div w:id="1455632289">
                  <w:marLeft w:val="0"/>
                  <w:marRight w:val="0"/>
                  <w:marTop w:val="0"/>
                  <w:marBottom w:val="0"/>
                  <w:divBdr>
                    <w:top w:val="none" w:sz="0" w:space="0" w:color="auto"/>
                    <w:left w:val="none" w:sz="0" w:space="0" w:color="auto"/>
                    <w:bottom w:val="none" w:sz="0" w:space="0" w:color="auto"/>
                    <w:right w:val="none" w:sz="0" w:space="0" w:color="auto"/>
                  </w:divBdr>
                </w:div>
              </w:divsChild>
            </w:div>
            <w:div w:id="1383863577">
              <w:marLeft w:val="0"/>
              <w:marRight w:val="0"/>
              <w:marTop w:val="300"/>
              <w:marBottom w:val="300"/>
              <w:divBdr>
                <w:top w:val="none" w:sz="0" w:space="0" w:color="auto"/>
                <w:left w:val="none" w:sz="0" w:space="0" w:color="auto"/>
                <w:bottom w:val="none" w:sz="0" w:space="0" w:color="auto"/>
                <w:right w:val="none" w:sz="0" w:space="0" w:color="auto"/>
              </w:divBdr>
            </w:div>
            <w:div w:id="1384208880">
              <w:marLeft w:val="0"/>
              <w:marRight w:val="0"/>
              <w:marTop w:val="0"/>
              <w:marBottom w:val="0"/>
              <w:divBdr>
                <w:top w:val="none" w:sz="0" w:space="0" w:color="auto"/>
                <w:left w:val="none" w:sz="0" w:space="0" w:color="auto"/>
                <w:bottom w:val="none" w:sz="0" w:space="0" w:color="auto"/>
                <w:right w:val="none" w:sz="0" w:space="0" w:color="auto"/>
              </w:divBdr>
              <w:divsChild>
                <w:div w:id="111284784">
                  <w:marLeft w:val="0"/>
                  <w:marRight w:val="0"/>
                  <w:marTop w:val="0"/>
                  <w:marBottom w:val="0"/>
                  <w:divBdr>
                    <w:top w:val="none" w:sz="0" w:space="0" w:color="auto"/>
                    <w:left w:val="none" w:sz="0" w:space="0" w:color="auto"/>
                    <w:bottom w:val="none" w:sz="0" w:space="0" w:color="auto"/>
                    <w:right w:val="none" w:sz="0" w:space="0" w:color="auto"/>
                  </w:divBdr>
                </w:div>
              </w:divsChild>
            </w:div>
            <w:div w:id="1386026342">
              <w:marLeft w:val="0"/>
              <w:marRight w:val="0"/>
              <w:marTop w:val="300"/>
              <w:marBottom w:val="300"/>
              <w:divBdr>
                <w:top w:val="none" w:sz="0" w:space="0" w:color="auto"/>
                <w:left w:val="none" w:sz="0" w:space="0" w:color="auto"/>
                <w:bottom w:val="none" w:sz="0" w:space="0" w:color="auto"/>
                <w:right w:val="none" w:sz="0" w:space="0" w:color="auto"/>
              </w:divBdr>
            </w:div>
            <w:div w:id="1386756387">
              <w:marLeft w:val="0"/>
              <w:marRight w:val="0"/>
              <w:marTop w:val="0"/>
              <w:marBottom w:val="0"/>
              <w:divBdr>
                <w:top w:val="none" w:sz="0" w:space="0" w:color="auto"/>
                <w:left w:val="none" w:sz="0" w:space="0" w:color="auto"/>
                <w:bottom w:val="none" w:sz="0" w:space="0" w:color="auto"/>
                <w:right w:val="none" w:sz="0" w:space="0" w:color="auto"/>
              </w:divBdr>
              <w:divsChild>
                <w:div w:id="316080400">
                  <w:marLeft w:val="0"/>
                  <w:marRight w:val="0"/>
                  <w:marTop w:val="0"/>
                  <w:marBottom w:val="0"/>
                  <w:divBdr>
                    <w:top w:val="none" w:sz="0" w:space="0" w:color="auto"/>
                    <w:left w:val="none" w:sz="0" w:space="0" w:color="auto"/>
                    <w:bottom w:val="none" w:sz="0" w:space="0" w:color="auto"/>
                    <w:right w:val="none" w:sz="0" w:space="0" w:color="auto"/>
                  </w:divBdr>
                </w:div>
              </w:divsChild>
            </w:div>
            <w:div w:id="1390807900">
              <w:marLeft w:val="0"/>
              <w:marRight w:val="0"/>
              <w:marTop w:val="0"/>
              <w:marBottom w:val="0"/>
              <w:divBdr>
                <w:top w:val="none" w:sz="0" w:space="0" w:color="auto"/>
                <w:left w:val="none" w:sz="0" w:space="0" w:color="auto"/>
                <w:bottom w:val="none" w:sz="0" w:space="0" w:color="auto"/>
                <w:right w:val="none" w:sz="0" w:space="0" w:color="auto"/>
              </w:divBdr>
              <w:divsChild>
                <w:div w:id="100272070">
                  <w:marLeft w:val="0"/>
                  <w:marRight w:val="0"/>
                  <w:marTop w:val="0"/>
                  <w:marBottom w:val="0"/>
                  <w:divBdr>
                    <w:top w:val="none" w:sz="0" w:space="0" w:color="auto"/>
                    <w:left w:val="none" w:sz="0" w:space="0" w:color="auto"/>
                    <w:bottom w:val="none" w:sz="0" w:space="0" w:color="auto"/>
                    <w:right w:val="none" w:sz="0" w:space="0" w:color="auto"/>
                  </w:divBdr>
                </w:div>
              </w:divsChild>
            </w:div>
            <w:div w:id="1392195045">
              <w:marLeft w:val="0"/>
              <w:marRight w:val="0"/>
              <w:marTop w:val="0"/>
              <w:marBottom w:val="0"/>
              <w:divBdr>
                <w:top w:val="none" w:sz="0" w:space="0" w:color="auto"/>
                <w:left w:val="none" w:sz="0" w:space="0" w:color="auto"/>
                <w:bottom w:val="none" w:sz="0" w:space="0" w:color="auto"/>
                <w:right w:val="none" w:sz="0" w:space="0" w:color="auto"/>
              </w:divBdr>
              <w:divsChild>
                <w:div w:id="1095907671">
                  <w:marLeft w:val="0"/>
                  <w:marRight w:val="0"/>
                  <w:marTop w:val="0"/>
                  <w:marBottom w:val="0"/>
                  <w:divBdr>
                    <w:top w:val="none" w:sz="0" w:space="0" w:color="auto"/>
                    <w:left w:val="none" w:sz="0" w:space="0" w:color="auto"/>
                    <w:bottom w:val="none" w:sz="0" w:space="0" w:color="auto"/>
                    <w:right w:val="none" w:sz="0" w:space="0" w:color="auto"/>
                  </w:divBdr>
                </w:div>
              </w:divsChild>
            </w:div>
            <w:div w:id="1392461648">
              <w:marLeft w:val="0"/>
              <w:marRight w:val="0"/>
              <w:marTop w:val="300"/>
              <w:marBottom w:val="300"/>
              <w:divBdr>
                <w:top w:val="none" w:sz="0" w:space="0" w:color="auto"/>
                <w:left w:val="none" w:sz="0" w:space="0" w:color="auto"/>
                <w:bottom w:val="none" w:sz="0" w:space="0" w:color="auto"/>
                <w:right w:val="none" w:sz="0" w:space="0" w:color="auto"/>
              </w:divBdr>
            </w:div>
            <w:div w:id="1392462716">
              <w:marLeft w:val="0"/>
              <w:marRight w:val="0"/>
              <w:marTop w:val="0"/>
              <w:marBottom w:val="0"/>
              <w:divBdr>
                <w:top w:val="none" w:sz="0" w:space="0" w:color="auto"/>
                <w:left w:val="none" w:sz="0" w:space="0" w:color="auto"/>
                <w:bottom w:val="none" w:sz="0" w:space="0" w:color="auto"/>
                <w:right w:val="none" w:sz="0" w:space="0" w:color="auto"/>
              </w:divBdr>
              <w:divsChild>
                <w:div w:id="785739793">
                  <w:marLeft w:val="0"/>
                  <w:marRight w:val="0"/>
                  <w:marTop w:val="0"/>
                  <w:marBottom w:val="0"/>
                  <w:divBdr>
                    <w:top w:val="none" w:sz="0" w:space="0" w:color="auto"/>
                    <w:left w:val="none" w:sz="0" w:space="0" w:color="auto"/>
                    <w:bottom w:val="none" w:sz="0" w:space="0" w:color="auto"/>
                    <w:right w:val="none" w:sz="0" w:space="0" w:color="auto"/>
                  </w:divBdr>
                </w:div>
              </w:divsChild>
            </w:div>
            <w:div w:id="1393114947">
              <w:marLeft w:val="0"/>
              <w:marRight w:val="0"/>
              <w:marTop w:val="300"/>
              <w:marBottom w:val="300"/>
              <w:divBdr>
                <w:top w:val="none" w:sz="0" w:space="0" w:color="auto"/>
                <w:left w:val="none" w:sz="0" w:space="0" w:color="auto"/>
                <w:bottom w:val="none" w:sz="0" w:space="0" w:color="auto"/>
                <w:right w:val="none" w:sz="0" w:space="0" w:color="auto"/>
              </w:divBdr>
            </w:div>
            <w:div w:id="1393771202">
              <w:marLeft w:val="0"/>
              <w:marRight w:val="0"/>
              <w:marTop w:val="0"/>
              <w:marBottom w:val="0"/>
              <w:divBdr>
                <w:top w:val="none" w:sz="0" w:space="0" w:color="auto"/>
                <w:left w:val="none" w:sz="0" w:space="0" w:color="auto"/>
                <w:bottom w:val="none" w:sz="0" w:space="0" w:color="auto"/>
                <w:right w:val="none" w:sz="0" w:space="0" w:color="auto"/>
              </w:divBdr>
              <w:divsChild>
                <w:div w:id="2021541308">
                  <w:marLeft w:val="0"/>
                  <w:marRight w:val="0"/>
                  <w:marTop w:val="0"/>
                  <w:marBottom w:val="0"/>
                  <w:divBdr>
                    <w:top w:val="none" w:sz="0" w:space="0" w:color="auto"/>
                    <w:left w:val="none" w:sz="0" w:space="0" w:color="auto"/>
                    <w:bottom w:val="none" w:sz="0" w:space="0" w:color="auto"/>
                    <w:right w:val="none" w:sz="0" w:space="0" w:color="auto"/>
                  </w:divBdr>
                </w:div>
              </w:divsChild>
            </w:div>
            <w:div w:id="1394045560">
              <w:marLeft w:val="0"/>
              <w:marRight w:val="0"/>
              <w:marTop w:val="0"/>
              <w:marBottom w:val="0"/>
              <w:divBdr>
                <w:top w:val="none" w:sz="0" w:space="0" w:color="auto"/>
                <w:left w:val="none" w:sz="0" w:space="0" w:color="auto"/>
                <w:bottom w:val="none" w:sz="0" w:space="0" w:color="auto"/>
                <w:right w:val="none" w:sz="0" w:space="0" w:color="auto"/>
              </w:divBdr>
              <w:divsChild>
                <w:div w:id="29502793">
                  <w:marLeft w:val="0"/>
                  <w:marRight w:val="0"/>
                  <w:marTop w:val="0"/>
                  <w:marBottom w:val="0"/>
                  <w:divBdr>
                    <w:top w:val="none" w:sz="0" w:space="0" w:color="auto"/>
                    <w:left w:val="none" w:sz="0" w:space="0" w:color="auto"/>
                    <w:bottom w:val="none" w:sz="0" w:space="0" w:color="auto"/>
                    <w:right w:val="none" w:sz="0" w:space="0" w:color="auto"/>
                  </w:divBdr>
                </w:div>
              </w:divsChild>
            </w:div>
            <w:div w:id="1395465032">
              <w:marLeft w:val="0"/>
              <w:marRight w:val="0"/>
              <w:marTop w:val="0"/>
              <w:marBottom w:val="0"/>
              <w:divBdr>
                <w:top w:val="none" w:sz="0" w:space="0" w:color="auto"/>
                <w:left w:val="none" w:sz="0" w:space="0" w:color="auto"/>
                <w:bottom w:val="none" w:sz="0" w:space="0" w:color="auto"/>
                <w:right w:val="none" w:sz="0" w:space="0" w:color="auto"/>
              </w:divBdr>
              <w:divsChild>
                <w:div w:id="139930652">
                  <w:marLeft w:val="0"/>
                  <w:marRight w:val="0"/>
                  <w:marTop w:val="0"/>
                  <w:marBottom w:val="0"/>
                  <w:divBdr>
                    <w:top w:val="none" w:sz="0" w:space="0" w:color="auto"/>
                    <w:left w:val="none" w:sz="0" w:space="0" w:color="auto"/>
                    <w:bottom w:val="none" w:sz="0" w:space="0" w:color="auto"/>
                    <w:right w:val="none" w:sz="0" w:space="0" w:color="auto"/>
                  </w:divBdr>
                </w:div>
              </w:divsChild>
            </w:div>
            <w:div w:id="1396002656">
              <w:marLeft w:val="0"/>
              <w:marRight w:val="0"/>
              <w:marTop w:val="0"/>
              <w:marBottom w:val="0"/>
              <w:divBdr>
                <w:top w:val="none" w:sz="0" w:space="0" w:color="auto"/>
                <w:left w:val="none" w:sz="0" w:space="0" w:color="auto"/>
                <w:bottom w:val="none" w:sz="0" w:space="0" w:color="auto"/>
                <w:right w:val="none" w:sz="0" w:space="0" w:color="auto"/>
              </w:divBdr>
              <w:divsChild>
                <w:div w:id="247547154">
                  <w:marLeft w:val="0"/>
                  <w:marRight w:val="0"/>
                  <w:marTop w:val="0"/>
                  <w:marBottom w:val="0"/>
                  <w:divBdr>
                    <w:top w:val="none" w:sz="0" w:space="0" w:color="auto"/>
                    <w:left w:val="none" w:sz="0" w:space="0" w:color="auto"/>
                    <w:bottom w:val="none" w:sz="0" w:space="0" w:color="auto"/>
                    <w:right w:val="none" w:sz="0" w:space="0" w:color="auto"/>
                  </w:divBdr>
                </w:div>
              </w:divsChild>
            </w:div>
            <w:div w:id="1396319821">
              <w:marLeft w:val="0"/>
              <w:marRight w:val="0"/>
              <w:marTop w:val="0"/>
              <w:marBottom w:val="0"/>
              <w:divBdr>
                <w:top w:val="none" w:sz="0" w:space="0" w:color="auto"/>
                <w:left w:val="none" w:sz="0" w:space="0" w:color="auto"/>
                <w:bottom w:val="none" w:sz="0" w:space="0" w:color="auto"/>
                <w:right w:val="none" w:sz="0" w:space="0" w:color="auto"/>
              </w:divBdr>
              <w:divsChild>
                <w:div w:id="321857968">
                  <w:marLeft w:val="0"/>
                  <w:marRight w:val="0"/>
                  <w:marTop w:val="0"/>
                  <w:marBottom w:val="0"/>
                  <w:divBdr>
                    <w:top w:val="none" w:sz="0" w:space="0" w:color="auto"/>
                    <w:left w:val="none" w:sz="0" w:space="0" w:color="auto"/>
                    <w:bottom w:val="none" w:sz="0" w:space="0" w:color="auto"/>
                    <w:right w:val="none" w:sz="0" w:space="0" w:color="auto"/>
                  </w:divBdr>
                </w:div>
              </w:divsChild>
            </w:div>
            <w:div w:id="1396469341">
              <w:marLeft w:val="0"/>
              <w:marRight w:val="0"/>
              <w:marTop w:val="0"/>
              <w:marBottom w:val="0"/>
              <w:divBdr>
                <w:top w:val="none" w:sz="0" w:space="0" w:color="auto"/>
                <w:left w:val="none" w:sz="0" w:space="0" w:color="auto"/>
                <w:bottom w:val="none" w:sz="0" w:space="0" w:color="auto"/>
                <w:right w:val="none" w:sz="0" w:space="0" w:color="auto"/>
              </w:divBdr>
              <w:divsChild>
                <w:div w:id="1011374328">
                  <w:marLeft w:val="0"/>
                  <w:marRight w:val="0"/>
                  <w:marTop w:val="0"/>
                  <w:marBottom w:val="0"/>
                  <w:divBdr>
                    <w:top w:val="none" w:sz="0" w:space="0" w:color="auto"/>
                    <w:left w:val="none" w:sz="0" w:space="0" w:color="auto"/>
                    <w:bottom w:val="none" w:sz="0" w:space="0" w:color="auto"/>
                    <w:right w:val="none" w:sz="0" w:space="0" w:color="auto"/>
                  </w:divBdr>
                </w:div>
              </w:divsChild>
            </w:div>
            <w:div w:id="1396511002">
              <w:marLeft w:val="0"/>
              <w:marRight w:val="0"/>
              <w:marTop w:val="0"/>
              <w:marBottom w:val="0"/>
              <w:divBdr>
                <w:top w:val="none" w:sz="0" w:space="0" w:color="auto"/>
                <w:left w:val="none" w:sz="0" w:space="0" w:color="auto"/>
                <w:bottom w:val="none" w:sz="0" w:space="0" w:color="auto"/>
                <w:right w:val="none" w:sz="0" w:space="0" w:color="auto"/>
              </w:divBdr>
              <w:divsChild>
                <w:div w:id="1689214531">
                  <w:marLeft w:val="0"/>
                  <w:marRight w:val="0"/>
                  <w:marTop w:val="0"/>
                  <w:marBottom w:val="0"/>
                  <w:divBdr>
                    <w:top w:val="none" w:sz="0" w:space="0" w:color="auto"/>
                    <w:left w:val="none" w:sz="0" w:space="0" w:color="auto"/>
                    <w:bottom w:val="none" w:sz="0" w:space="0" w:color="auto"/>
                    <w:right w:val="none" w:sz="0" w:space="0" w:color="auto"/>
                  </w:divBdr>
                </w:div>
              </w:divsChild>
            </w:div>
            <w:div w:id="1397436758">
              <w:marLeft w:val="0"/>
              <w:marRight w:val="0"/>
              <w:marTop w:val="0"/>
              <w:marBottom w:val="0"/>
              <w:divBdr>
                <w:top w:val="none" w:sz="0" w:space="0" w:color="auto"/>
                <w:left w:val="none" w:sz="0" w:space="0" w:color="auto"/>
                <w:bottom w:val="none" w:sz="0" w:space="0" w:color="auto"/>
                <w:right w:val="none" w:sz="0" w:space="0" w:color="auto"/>
              </w:divBdr>
              <w:divsChild>
                <w:div w:id="1074815519">
                  <w:marLeft w:val="0"/>
                  <w:marRight w:val="0"/>
                  <w:marTop w:val="0"/>
                  <w:marBottom w:val="0"/>
                  <w:divBdr>
                    <w:top w:val="none" w:sz="0" w:space="0" w:color="auto"/>
                    <w:left w:val="none" w:sz="0" w:space="0" w:color="auto"/>
                    <w:bottom w:val="none" w:sz="0" w:space="0" w:color="auto"/>
                    <w:right w:val="none" w:sz="0" w:space="0" w:color="auto"/>
                  </w:divBdr>
                </w:div>
              </w:divsChild>
            </w:div>
            <w:div w:id="1399398707">
              <w:marLeft w:val="0"/>
              <w:marRight w:val="0"/>
              <w:marTop w:val="0"/>
              <w:marBottom w:val="0"/>
              <w:divBdr>
                <w:top w:val="none" w:sz="0" w:space="0" w:color="auto"/>
                <w:left w:val="none" w:sz="0" w:space="0" w:color="auto"/>
                <w:bottom w:val="none" w:sz="0" w:space="0" w:color="auto"/>
                <w:right w:val="none" w:sz="0" w:space="0" w:color="auto"/>
              </w:divBdr>
              <w:divsChild>
                <w:div w:id="1619069117">
                  <w:marLeft w:val="0"/>
                  <w:marRight w:val="0"/>
                  <w:marTop w:val="0"/>
                  <w:marBottom w:val="0"/>
                  <w:divBdr>
                    <w:top w:val="none" w:sz="0" w:space="0" w:color="auto"/>
                    <w:left w:val="none" w:sz="0" w:space="0" w:color="auto"/>
                    <w:bottom w:val="none" w:sz="0" w:space="0" w:color="auto"/>
                    <w:right w:val="none" w:sz="0" w:space="0" w:color="auto"/>
                  </w:divBdr>
                </w:div>
              </w:divsChild>
            </w:div>
            <w:div w:id="1399553606">
              <w:marLeft w:val="0"/>
              <w:marRight w:val="0"/>
              <w:marTop w:val="0"/>
              <w:marBottom w:val="0"/>
              <w:divBdr>
                <w:top w:val="none" w:sz="0" w:space="0" w:color="auto"/>
                <w:left w:val="none" w:sz="0" w:space="0" w:color="auto"/>
                <w:bottom w:val="none" w:sz="0" w:space="0" w:color="auto"/>
                <w:right w:val="none" w:sz="0" w:space="0" w:color="auto"/>
              </w:divBdr>
              <w:divsChild>
                <w:div w:id="346758522">
                  <w:marLeft w:val="0"/>
                  <w:marRight w:val="0"/>
                  <w:marTop w:val="0"/>
                  <w:marBottom w:val="0"/>
                  <w:divBdr>
                    <w:top w:val="none" w:sz="0" w:space="0" w:color="auto"/>
                    <w:left w:val="none" w:sz="0" w:space="0" w:color="auto"/>
                    <w:bottom w:val="none" w:sz="0" w:space="0" w:color="auto"/>
                    <w:right w:val="none" w:sz="0" w:space="0" w:color="auto"/>
                  </w:divBdr>
                </w:div>
              </w:divsChild>
            </w:div>
            <w:div w:id="1401054327">
              <w:marLeft w:val="0"/>
              <w:marRight w:val="0"/>
              <w:marTop w:val="300"/>
              <w:marBottom w:val="300"/>
              <w:divBdr>
                <w:top w:val="none" w:sz="0" w:space="0" w:color="auto"/>
                <w:left w:val="none" w:sz="0" w:space="0" w:color="auto"/>
                <w:bottom w:val="none" w:sz="0" w:space="0" w:color="auto"/>
                <w:right w:val="none" w:sz="0" w:space="0" w:color="auto"/>
              </w:divBdr>
            </w:div>
            <w:div w:id="1402488796">
              <w:marLeft w:val="0"/>
              <w:marRight w:val="0"/>
              <w:marTop w:val="300"/>
              <w:marBottom w:val="300"/>
              <w:divBdr>
                <w:top w:val="none" w:sz="0" w:space="0" w:color="auto"/>
                <w:left w:val="none" w:sz="0" w:space="0" w:color="auto"/>
                <w:bottom w:val="none" w:sz="0" w:space="0" w:color="auto"/>
                <w:right w:val="none" w:sz="0" w:space="0" w:color="auto"/>
              </w:divBdr>
            </w:div>
            <w:div w:id="1402681335">
              <w:marLeft w:val="0"/>
              <w:marRight w:val="0"/>
              <w:marTop w:val="0"/>
              <w:marBottom w:val="0"/>
              <w:divBdr>
                <w:top w:val="none" w:sz="0" w:space="0" w:color="auto"/>
                <w:left w:val="none" w:sz="0" w:space="0" w:color="auto"/>
                <w:bottom w:val="none" w:sz="0" w:space="0" w:color="auto"/>
                <w:right w:val="none" w:sz="0" w:space="0" w:color="auto"/>
              </w:divBdr>
              <w:divsChild>
                <w:div w:id="553933169">
                  <w:marLeft w:val="0"/>
                  <w:marRight w:val="0"/>
                  <w:marTop w:val="0"/>
                  <w:marBottom w:val="0"/>
                  <w:divBdr>
                    <w:top w:val="none" w:sz="0" w:space="0" w:color="auto"/>
                    <w:left w:val="none" w:sz="0" w:space="0" w:color="auto"/>
                    <w:bottom w:val="none" w:sz="0" w:space="0" w:color="auto"/>
                    <w:right w:val="none" w:sz="0" w:space="0" w:color="auto"/>
                  </w:divBdr>
                </w:div>
              </w:divsChild>
            </w:div>
            <w:div w:id="1402875449">
              <w:marLeft w:val="0"/>
              <w:marRight w:val="0"/>
              <w:marTop w:val="0"/>
              <w:marBottom w:val="0"/>
              <w:divBdr>
                <w:top w:val="none" w:sz="0" w:space="0" w:color="auto"/>
                <w:left w:val="none" w:sz="0" w:space="0" w:color="auto"/>
                <w:bottom w:val="none" w:sz="0" w:space="0" w:color="auto"/>
                <w:right w:val="none" w:sz="0" w:space="0" w:color="auto"/>
              </w:divBdr>
              <w:divsChild>
                <w:div w:id="1605385329">
                  <w:marLeft w:val="0"/>
                  <w:marRight w:val="0"/>
                  <w:marTop w:val="0"/>
                  <w:marBottom w:val="0"/>
                  <w:divBdr>
                    <w:top w:val="none" w:sz="0" w:space="0" w:color="auto"/>
                    <w:left w:val="none" w:sz="0" w:space="0" w:color="auto"/>
                    <w:bottom w:val="none" w:sz="0" w:space="0" w:color="auto"/>
                    <w:right w:val="none" w:sz="0" w:space="0" w:color="auto"/>
                  </w:divBdr>
                </w:div>
              </w:divsChild>
            </w:div>
            <w:div w:id="1404599260">
              <w:marLeft w:val="0"/>
              <w:marRight w:val="0"/>
              <w:marTop w:val="300"/>
              <w:marBottom w:val="300"/>
              <w:divBdr>
                <w:top w:val="none" w:sz="0" w:space="0" w:color="auto"/>
                <w:left w:val="none" w:sz="0" w:space="0" w:color="auto"/>
                <w:bottom w:val="none" w:sz="0" w:space="0" w:color="auto"/>
                <w:right w:val="none" w:sz="0" w:space="0" w:color="auto"/>
              </w:divBdr>
            </w:div>
            <w:div w:id="1407268775">
              <w:marLeft w:val="0"/>
              <w:marRight w:val="0"/>
              <w:marTop w:val="0"/>
              <w:marBottom w:val="0"/>
              <w:divBdr>
                <w:top w:val="none" w:sz="0" w:space="0" w:color="auto"/>
                <w:left w:val="none" w:sz="0" w:space="0" w:color="auto"/>
                <w:bottom w:val="none" w:sz="0" w:space="0" w:color="auto"/>
                <w:right w:val="none" w:sz="0" w:space="0" w:color="auto"/>
              </w:divBdr>
              <w:divsChild>
                <w:div w:id="15430196">
                  <w:marLeft w:val="0"/>
                  <w:marRight w:val="0"/>
                  <w:marTop w:val="0"/>
                  <w:marBottom w:val="0"/>
                  <w:divBdr>
                    <w:top w:val="none" w:sz="0" w:space="0" w:color="auto"/>
                    <w:left w:val="none" w:sz="0" w:space="0" w:color="auto"/>
                    <w:bottom w:val="none" w:sz="0" w:space="0" w:color="auto"/>
                    <w:right w:val="none" w:sz="0" w:space="0" w:color="auto"/>
                  </w:divBdr>
                </w:div>
              </w:divsChild>
            </w:div>
            <w:div w:id="1409234362">
              <w:marLeft w:val="0"/>
              <w:marRight w:val="0"/>
              <w:marTop w:val="0"/>
              <w:marBottom w:val="0"/>
              <w:divBdr>
                <w:top w:val="none" w:sz="0" w:space="0" w:color="auto"/>
                <w:left w:val="none" w:sz="0" w:space="0" w:color="auto"/>
                <w:bottom w:val="none" w:sz="0" w:space="0" w:color="auto"/>
                <w:right w:val="none" w:sz="0" w:space="0" w:color="auto"/>
              </w:divBdr>
              <w:divsChild>
                <w:div w:id="1955165361">
                  <w:marLeft w:val="0"/>
                  <w:marRight w:val="0"/>
                  <w:marTop w:val="0"/>
                  <w:marBottom w:val="0"/>
                  <w:divBdr>
                    <w:top w:val="none" w:sz="0" w:space="0" w:color="auto"/>
                    <w:left w:val="none" w:sz="0" w:space="0" w:color="auto"/>
                    <w:bottom w:val="none" w:sz="0" w:space="0" w:color="auto"/>
                    <w:right w:val="none" w:sz="0" w:space="0" w:color="auto"/>
                  </w:divBdr>
                </w:div>
              </w:divsChild>
            </w:div>
            <w:div w:id="1412312611">
              <w:marLeft w:val="0"/>
              <w:marRight w:val="0"/>
              <w:marTop w:val="300"/>
              <w:marBottom w:val="300"/>
              <w:divBdr>
                <w:top w:val="none" w:sz="0" w:space="0" w:color="auto"/>
                <w:left w:val="none" w:sz="0" w:space="0" w:color="auto"/>
                <w:bottom w:val="none" w:sz="0" w:space="0" w:color="auto"/>
                <w:right w:val="none" w:sz="0" w:space="0" w:color="auto"/>
              </w:divBdr>
            </w:div>
            <w:div w:id="1418096908">
              <w:marLeft w:val="0"/>
              <w:marRight w:val="0"/>
              <w:marTop w:val="0"/>
              <w:marBottom w:val="0"/>
              <w:divBdr>
                <w:top w:val="none" w:sz="0" w:space="0" w:color="auto"/>
                <w:left w:val="none" w:sz="0" w:space="0" w:color="auto"/>
                <w:bottom w:val="none" w:sz="0" w:space="0" w:color="auto"/>
                <w:right w:val="none" w:sz="0" w:space="0" w:color="auto"/>
              </w:divBdr>
              <w:divsChild>
                <w:div w:id="220752735">
                  <w:marLeft w:val="0"/>
                  <w:marRight w:val="0"/>
                  <w:marTop w:val="0"/>
                  <w:marBottom w:val="0"/>
                  <w:divBdr>
                    <w:top w:val="none" w:sz="0" w:space="0" w:color="auto"/>
                    <w:left w:val="none" w:sz="0" w:space="0" w:color="auto"/>
                    <w:bottom w:val="none" w:sz="0" w:space="0" w:color="auto"/>
                    <w:right w:val="none" w:sz="0" w:space="0" w:color="auto"/>
                  </w:divBdr>
                </w:div>
              </w:divsChild>
            </w:div>
            <w:div w:id="1418209047">
              <w:marLeft w:val="0"/>
              <w:marRight w:val="0"/>
              <w:marTop w:val="0"/>
              <w:marBottom w:val="0"/>
              <w:divBdr>
                <w:top w:val="none" w:sz="0" w:space="0" w:color="auto"/>
                <w:left w:val="none" w:sz="0" w:space="0" w:color="auto"/>
                <w:bottom w:val="none" w:sz="0" w:space="0" w:color="auto"/>
                <w:right w:val="none" w:sz="0" w:space="0" w:color="auto"/>
              </w:divBdr>
              <w:divsChild>
                <w:div w:id="1640182620">
                  <w:marLeft w:val="0"/>
                  <w:marRight w:val="0"/>
                  <w:marTop w:val="0"/>
                  <w:marBottom w:val="0"/>
                  <w:divBdr>
                    <w:top w:val="none" w:sz="0" w:space="0" w:color="auto"/>
                    <w:left w:val="none" w:sz="0" w:space="0" w:color="auto"/>
                    <w:bottom w:val="none" w:sz="0" w:space="0" w:color="auto"/>
                    <w:right w:val="none" w:sz="0" w:space="0" w:color="auto"/>
                  </w:divBdr>
                </w:div>
              </w:divsChild>
            </w:div>
            <w:div w:id="1420176299">
              <w:marLeft w:val="0"/>
              <w:marRight w:val="0"/>
              <w:marTop w:val="0"/>
              <w:marBottom w:val="0"/>
              <w:divBdr>
                <w:top w:val="none" w:sz="0" w:space="0" w:color="auto"/>
                <w:left w:val="none" w:sz="0" w:space="0" w:color="auto"/>
                <w:bottom w:val="none" w:sz="0" w:space="0" w:color="auto"/>
                <w:right w:val="none" w:sz="0" w:space="0" w:color="auto"/>
              </w:divBdr>
              <w:divsChild>
                <w:div w:id="2070877441">
                  <w:marLeft w:val="0"/>
                  <w:marRight w:val="0"/>
                  <w:marTop w:val="0"/>
                  <w:marBottom w:val="0"/>
                  <w:divBdr>
                    <w:top w:val="none" w:sz="0" w:space="0" w:color="auto"/>
                    <w:left w:val="none" w:sz="0" w:space="0" w:color="auto"/>
                    <w:bottom w:val="none" w:sz="0" w:space="0" w:color="auto"/>
                    <w:right w:val="none" w:sz="0" w:space="0" w:color="auto"/>
                  </w:divBdr>
                </w:div>
              </w:divsChild>
            </w:div>
            <w:div w:id="1420251783">
              <w:marLeft w:val="0"/>
              <w:marRight w:val="0"/>
              <w:marTop w:val="0"/>
              <w:marBottom w:val="0"/>
              <w:divBdr>
                <w:top w:val="none" w:sz="0" w:space="0" w:color="auto"/>
                <w:left w:val="none" w:sz="0" w:space="0" w:color="auto"/>
                <w:bottom w:val="none" w:sz="0" w:space="0" w:color="auto"/>
                <w:right w:val="none" w:sz="0" w:space="0" w:color="auto"/>
              </w:divBdr>
              <w:divsChild>
                <w:div w:id="1732077727">
                  <w:marLeft w:val="0"/>
                  <w:marRight w:val="0"/>
                  <w:marTop w:val="0"/>
                  <w:marBottom w:val="0"/>
                  <w:divBdr>
                    <w:top w:val="none" w:sz="0" w:space="0" w:color="auto"/>
                    <w:left w:val="none" w:sz="0" w:space="0" w:color="auto"/>
                    <w:bottom w:val="none" w:sz="0" w:space="0" w:color="auto"/>
                    <w:right w:val="none" w:sz="0" w:space="0" w:color="auto"/>
                  </w:divBdr>
                </w:div>
              </w:divsChild>
            </w:div>
            <w:div w:id="1421180093">
              <w:marLeft w:val="0"/>
              <w:marRight w:val="0"/>
              <w:marTop w:val="0"/>
              <w:marBottom w:val="0"/>
              <w:divBdr>
                <w:top w:val="none" w:sz="0" w:space="0" w:color="auto"/>
                <w:left w:val="none" w:sz="0" w:space="0" w:color="auto"/>
                <w:bottom w:val="none" w:sz="0" w:space="0" w:color="auto"/>
                <w:right w:val="none" w:sz="0" w:space="0" w:color="auto"/>
              </w:divBdr>
              <w:divsChild>
                <w:div w:id="1512639971">
                  <w:marLeft w:val="0"/>
                  <w:marRight w:val="0"/>
                  <w:marTop w:val="0"/>
                  <w:marBottom w:val="0"/>
                  <w:divBdr>
                    <w:top w:val="none" w:sz="0" w:space="0" w:color="auto"/>
                    <w:left w:val="none" w:sz="0" w:space="0" w:color="auto"/>
                    <w:bottom w:val="none" w:sz="0" w:space="0" w:color="auto"/>
                    <w:right w:val="none" w:sz="0" w:space="0" w:color="auto"/>
                  </w:divBdr>
                </w:div>
              </w:divsChild>
            </w:div>
            <w:div w:id="1421875737">
              <w:marLeft w:val="0"/>
              <w:marRight w:val="0"/>
              <w:marTop w:val="0"/>
              <w:marBottom w:val="0"/>
              <w:divBdr>
                <w:top w:val="none" w:sz="0" w:space="0" w:color="auto"/>
                <w:left w:val="none" w:sz="0" w:space="0" w:color="auto"/>
                <w:bottom w:val="none" w:sz="0" w:space="0" w:color="auto"/>
                <w:right w:val="none" w:sz="0" w:space="0" w:color="auto"/>
              </w:divBdr>
              <w:divsChild>
                <w:div w:id="462888230">
                  <w:marLeft w:val="0"/>
                  <w:marRight w:val="0"/>
                  <w:marTop w:val="0"/>
                  <w:marBottom w:val="0"/>
                  <w:divBdr>
                    <w:top w:val="none" w:sz="0" w:space="0" w:color="auto"/>
                    <w:left w:val="none" w:sz="0" w:space="0" w:color="auto"/>
                    <w:bottom w:val="none" w:sz="0" w:space="0" w:color="auto"/>
                    <w:right w:val="none" w:sz="0" w:space="0" w:color="auto"/>
                  </w:divBdr>
                </w:div>
              </w:divsChild>
            </w:div>
            <w:div w:id="1421952646">
              <w:marLeft w:val="0"/>
              <w:marRight w:val="0"/>
              <w:marTop w:val="0"/>
              <w:marBottom w:val="0"/>
              <w:divBdr>
                <w:top w:val="none" w:sz="0" w:space="0" w:color="auto"/>
                <w:left w:val="none" w:sz="0" w:space="0" w:color="auto"/>
                <w:bottom w:val="none" w:sz="0" w:space="0" w:color="auto"/>
                <w:right w:val="none" w:sz="0" w:space="0" w:color="auto"/>
              </w:divBdr>
              <w:divsChild>
                <w:div w:id="248319533">
                  <w:marLeft w:val="0"/>
                  <w:marRight w:val="0"/>
                  <w:marTop w:val="0"/>
                  <w:marBottom w:val="0"/>
                  <w:divBdr>
                    <w:top w:val="none" w:sz="0" w:space="0" w:color="auto"/>
                    <w:left w:val="none" w:sz="0" w:space="0" w:color="auto"/>
                    <w:bottom w:val="none" w:sz="0" w:space="0" w:color="auto"/>
                    <w:right w:val="none" w:sz="0" w:space="0" w:color="auto"/>
                  </w:divBdr>
                </w:div>
              </w:divsChild>
            </w:div>
            <w:div w:id="1423338891">
              <w:marLeft w:val="0"/>
              <w:marRight w:val="0"/>
              <w:marTop w:val="0"/>
              <w:marBottom w:val="0"/>
              <w:divBdr>
                <w:top w:val="none" w:sz="0" w:space="0" w:color="auto"/>
                <w:left w:val="none" w:sz="0" w:space="0" w:color="auto"/>
                <w:bottom w:val="none" w:sz="0" w:space="0" w:color="auto"/>
                <w:right w:val="none" w:sz="0" w:space="0" w:color="auto"/>
              </w:divBdr>
              <w:divsChild>
                <w:div w:id="356127284">
                  <w:marLeft w:val="0"/>
                  <w:marRight w:val="0"/>
                  <w:marTop w:val="0"/>
                  <w:marBottom w:val="0"/>
                  <w:divBdr>
                    <w:top w:val="none" w:sz="0" w:space="0" w:color="auto"/>
                    <w:left w:val="none" w:sz="0" w:space="0" w:color="auto"/>
                    <w:bottom w:val="none" w:sz="0" w:space="0" w:color="auto"/>
                    <w:right w:val="none" w:sz="0" w:space="0" w:color="auto"/>
                  </w:divBdr>
                </w:div>
              </w:divsChild>
            </w:div>
            <w:div w:id="1425103606">
              <w:marLeft w:val="0"/>
              <w:marRight w:val="0"/>
              <w:marTop w:val="0"/>
              <w:marBottom w:val="0"/>
              <w:divBdr>
                <w:top w:val="none" w:sz="0" w:space="0" w:color="auto"/>
                <w:left w:val="none" w:sz="0" w:space="0" w:color="auto"/>
                <w:bottom w:val="none" w:sz="0" w:space="0" w:color="auto"/>
                <w:right w:val="none" w:sz="0" w:space="0" w:color="auto"/>
              </w:divBdr>
              <w:divsChild>
                <w:div w:id="626742310">
                  <w:marLeft w:val="0"/>
                  <w:marRight w:val="0"/>
                  <w:marTop w:val="0"/>
                  <w:marBottom w:val="0"/>
                  <w:divBdr>
                    <w:top w:val="none" w:sz="0" w:space="0" w:color="auto"/>
                    <w:left w:val="none" w:sz="0" w:space="0" w:color="auto"/>
                    <w:bottom w:val="none" w:sz="0" w:space="0" w:color="auto"/>
                    <w:right w:val="none" w:sz="0" w:space="0" w:color="auto"/>
                  </w:divBdr>
                </w:div>
              </w:divsChild>
            </w:div>
            <w:div w:id="1426413371">
              <w:marLeft w:val="0"/>
              <w:marRight w:val="0"/>
              <w:marTop w:val="0"/>
              <w:marBottom w:val="0"/>
              <w:divBdr>
                <w:top w:val="none" w:sz="0" w:space="0" w:color="auto"/>
                <w:left w:val="none" w:sz="0" w:space="0" w:color="auto"/>
                <w:bottom w:val="none" w:sz="0" w:space="0" w:color="auto"/>
                <w:right w:val="none" w:sz="0" w:space="0" w:color="auto"/>
              </w:divBdr>
              <w:divsChild>
                <w:div w:id="1772121058">
                  <w:marLeft w:val="0"/>
                  <w:marRight w:val="0"/>
                  <w:marTop w:val="0"/>
                  <w:marBottom w:val="0"/>
                  <w:divBdr>
                    <w:top w:val="none" w:sz="0" w:space="0" w:color="auto"/>
                    <w:left w:val="none" w:sz="0" w:space="0" w:color="auto"/>
                    <w:bottom w:val="none" w:sz="0" w:space="0" w:color="auto"/>
                    <w:right w:val="none" w:sz="0" w:space="0" w:color="auto"/>
                  </w:divBdr>
                </w:div>
              </w:divsChild>
            </w:div>
            <w:div w:id="1427575290">
              <w:marLeft w:val="0"/>
              <w:marRight w:val="0"/>
              <w:marTop w:val="0"/>
              <w:marBottom w:val="0"/>
              <w:divBdr>
                <w:top w:val="none" w:sz="0" w:space="0" w:color="auto"/>
                <w:left w:val="none" w:sz="0" w:space="0" w:color="auto"/>
                <w:bottom w:val="none" w:sz="0" w:space="0" w:color="auto"/>
                <w:right w:val="none" w:sz="0" w:space="0" w:color="auto"/>
              </w:divBdr>
              <w:divsChild>
                <w:div w:id="1951549821">
                  <w:marLeft w:val="0"/>
                  <w:marRight w:val="0"/>
                  <w:marTop w:val="0"/>
                  <w:marBottom w:val="0"/>
                  <w:divBdr>
                    <w:top w:val="none" w:sz="0" w:space="0" w:color="auto"/>
                    <w:left w:val="none" w:sz="0" w:space="0" w:color="auto"/>
                    <w:bottom w:val="none" w:sz="0" w:space="0" w:color="auto"/>
                    <w:right w:val="none" w:sz="0" w:space="0" w:color="auto"/>
                  </w:divBdr>
                </w:div>
              </w:divsChild>
            </w:div>
            <w:div w:id="1428036514">
              <w:marLeft w:val="0"/>
              <w:marRight w:val="0"/>
              <w:marTop w:val="0"/>
              <w:marBottom w:val="0"/>
              <w:divBdr>
                <w:top w:val="none" w:sz="0" w:space="0" w:color="auto"/>
                <w:left w:val="none" w:sz="0" w:space="0" w:color="auto"/>
                <w:bottom w:val="none" w:sz="0" w:space="0" w:color="auto"/>
                <w:right w:val="none" w:sz="0" w:space="0" w:color="auto"/>
              </w:divBdr>
              <w:divsChild>
                <w:div w:id="663319936">
                  <w:marLeft w:val="0"/>
                  <w:marRight w:val="0"/>
                  <w:marTop w:val="0"/>
                  <w:marBottom w:val="0"/>
                  <w:divBdr>
                    <w:top w:val="none" w:sz="0" w:space="0" w:color="auto"/>
                    <w:left w:val="none" w:sz="0" w:space="0" w:color="auto"/>
                    <w:bottom w:val="none" w:sz="0" w:space="0" w:color="auto"/>
                    <w:right w:val="none" w:sz="0" w:space="0" w:color="auto"/>
                  </w:divBdr>
                </w:div>
              </w:divsChild>
            </w:div>
            <w:div w:id="1428574385">
              <w:marLeft w:val="0"/>
              <w:marRight w:val="0"/>
              <w:marTop w:val="300"/>
              <w:marBottom w:val="300"/>
              <w:divBdr>
                <w:top w:val="none" w:sz="0" w:space="0" w:color="auto"/>
                <w:left w:val="none" w:sz="0" w:space="0" w:color="auto"/>
                <w:bottom w:val="none" w:sz="0" w:space="0" w:color="auto"/>
                <w:right w:val="none" w:sz="0" w:space="0" w:color="auto"/>
              </w:divBdr>
            </w:div>
            <w:div w:id="1430003913">
              <w:marLeft w:val="0"/>
              <w:marRight w:val="0"/>
              <w:marTop w:val="0"/>
              <w:marBottom w:val="0"/>
              <w:divBdr>
                <w:top w:val="none" w:sz="0" w:space="0" w:color="auto"/>
                <w:left w:val="none" w:sz="0" w:space="0" w:color="auto"/>
                <w:bottom w:val="none" w:sz="0" w:space="0" w:color="auto"/>
                <w:right w:val="none" w:sz="0" w:space="0" w:color="auto"/>
              </w:divBdr>
              <w:divsChild>
                <w:div w:id="1137340086">
                  <w:marLeft w:val="0"/>
                  <w:marRight w:val="0"/>
                  <w:marTop w:val="0"/>
                  <w:marBottom w:val="0"/>
                  <w:divBdr>
                    <w:top w:val="none" w:sz="0" w:space="0" w:color="auto"/>
                    <w:left w:val="none" w:sz="0" w:space="0" w:color="auto"/>
                    <w:bottom w:val="none" w:sz="0" w:space="0" w:color="auto"/>
                    <w:right w:val="none" w:sz="0" w:space="0" w:color="auto"/>
                  </w:divBdr>
                </w:div>
              </w:divsChild>
            </w:div>
            <w:div w:id="1430659307">
              <w:marLeft w:val="0"/>
              <w:marRight w:val="0"/>
              <w:marTop w:val="0"/>
              <w:marBottom w:val="0"/>
              <w:divBdr>
                <w:top w:val="none" w:sz="0" w:space="0" w:color="auto"/>
                <w:left w:val="none" w:sz="0" w:space="0" w:color="auto"/>
                <w:bottom w:val="none" w:sz="0" w:space="0" w:color="auto"/>
                <w:right w:val="none" w:sz="0" w:space="0" w:color="auto"/>
              </w:divBdr>
              <w:divsChild>
                <w:div w:id="377168023">
                  <w:marLeft w:val="0"/>
                  <w:marRight w:val="0"/>
                  <w:marTop w:val="0"/>
                  <w:marBottom w:val="0"/>
                  <w:divBdr>
                    <w:top w:val="none" w:sz="0" w:space="0" w:color="auto"/>
                    <w:left w:val="none" w:sz="0" w:space="0" w:color="auto"/>
                    <w:bottom w:val="none" w:sz="0" w:space="0" w:color="auto"/>
                    <w:right w:val="none" w:sz="0" w:space="0" w:color="auto"/>
                  </w:divBdr>
                </w:div>
              </w:divsChild>
            </w:div>
            <w:div w:id="1431732185">
              <w:marLeft w:val="0"/>
              <w:marRight w:val="0"/>
              <w:marTop w:val="0"/>
              <w:marBottom w:val="0"/>
              <w:divBdr>
                <w:top w:val="none" w:sz="0" w:space="0" w:color="auto"/>
                <w:left w:val="none" w:sz="0" w:space="0" w:color="auto"/>
                <w:bottom w:val="none" w:sz="0" w:space="0" w:color="auto"/>
                <w:right w:val="none" w:sz="0" w:space="0" w:color="auto"/>
              </w:divBdr>
              <w:divsChild>
                <w:div w:id="1376657996">
                  <w:marLeft w:val="0"/>
                  <w:marRight w:val="0"/>
                  <w:marTop w:val="0"/>
                  <w:marBottom w:val="0"/>
                  <w:divBdr>
                    <w:top w:val="none" w:sz="0" w:space="0" w:color="auto"/>
                    <w:left w:val="none" w:sz="0" w:space="0" w:color="auto"/>
                    <w:bottom w:val="none" w:sz="0" w:space="0" w:color="auto"/>
                    <w:right w:val="none" w:sz="0" w:space="0" w:color="auto"/>
                  </w:divBdr>
                </w:div>
              </w:divsChild>
            </w:div>
            <w:div w:id="1436442426">
              <w:marLeft w:val="0"/>
              <w:marRight w:val="0"/>
              <w:marTop w:val="300"/>
              <w:marBottom w:val="300"/>
              <w:divBdr>
                <w:top w:val="none" w:sz="0" w:space="0" w:color="auto"/>
                <w:left w:val="none" w:sz="0" w:space="0" w:color="auto"/>
                <w:bottom w:val="none" w:sz="0" w:space="0" w:color="auto"/>
                <w:right w:val="none" w:sz="0" w:space="0" w:color="auto"/>
              </w:divBdr>
            </w:div>
            <w:div w:id="1437753671">
              <w:marLeft w:val="0"/>
              <w:marRight w:val="0"/>
              <w:marTop w:val="0"/>
              <w:marBottom w:val="0"/>
              <w:divBdr>
                <w:top w:val="none" w:sz="0" w:space="0" w:color="auto"/>
                <w:left w:val="none" w:sz="0" w:space="0" w:color="auto"/>
                <w:bottom w:val="none" w:sz="0" w:space="0" w:color="auto"/>
                <w:right w:val="none" w:sz="0" w:space="0" w:color="auto"/>
              </w:divBdr>
              <w:divsChild>
                <w:div w:id="1965498883">
                  <w:marLeft w:val="0"/>
                  <w:marRight w:val="0"/>
                  <w:marTop w:val="0"/>
                  <w:marBottom w:val="0"/>
                  <w:divBdr>
                    <w:top w:val="none" w:sz="0" w:space="0" w:color="auto"/>
                    <w:left w:val="none" w:sz="0" w:space="0" w:color="auto"/>
                    <w:bottom w:val="none" w:sz="0" w:space="0" w:color="auto"/>
                    <w:right w:val="none" w:sz="0" w:space="0" w:color="auto"/>
                  </w:divBdr>
                </w:div>
              </w:divsChild>
            </w:div>
            <w:div w:id="1438720639">
              <w:marLeft w:val="0"/>
              <w:marRight w:val="0"/>
              <w:marTop w:val="0"/>
              <w:marBottom w:val="0"/>
              <w:divBdr>
                <w:top w:val="none" w:sz="0" w:space="0" w:color="auto"/>
                <w:left w:val="none" w:sz="0" w:space="0" w:color="auto"/>
                <w:bottom w:val="none" w:sz="0" w:space="0" w:color="auto"/>
                <w:right w:val="none" w:sz="0" w:space="0" w:color="auto"/>
              </w:divBdr>
              <w:divsChild>
                <w:div w:id="690953030">
                  <w:marLeft w:val="0"/>
                  <w:marRight w:val="0"/>
                  <w:marTop w:val="0"/>
                  <w:marBottom w:val="0"/>
                  <w:divBdr>
                    <w:top w:val="none" w:sz="0" w:space="0" w:color="auto"/>
                    <w:left w:val="none" w:sz="0" w:space="0" w:color="auto"/>
                    <w:bottom w:val="none" w:sz="0" w:space="0" w:color="auto"/>
                    <w:right w:val="none" w:sz="0" w:space="0" w:color="auto"/>
                  </w:divBdr>
                </w:div>
              </w:divsChild>
            </w:div>
            <w:div w:id="1441489426">
              <w:marLeft w:val="0"/>
              <w:marRight w:val="0"/>
              <w:marTop w:val="0"/>
              <w:marBottom w:val="0"/>
              <w:divBdr>
                <w:top w:val="none" w:sz="0" w:space="0" w:color="auto"/>
                <w:left w:val="none" w:sz="0" w:space="0" w:color="auto"/>
                <w:bottom w:val="none" w:sz="0" w:space="0" w:color="auto"/>
                <w:right w:val="none" w:sz="0" w:space="0" w:color="auto"/>
              </w:divBdr>
              <w:divsChild>
                <w:div w:id="779641638">
                  <w:marLeft w:val="0"/>
                  <w:marRight w:val="0"/>
                  <w:marTop w:val="0"/>
                  <w:marBottom w:val="0"/>
                  <w:divBdr>
                    <w:top w:val="none" w:sz="0" w:space="0" w:color="auto"/>
                    <w:left w:val="none" w:sz="0" w:space="0" w:color="auto"/>
                    <w:bottom w:val="none" w:sz="0" w:space="0" w:color="auto"/>
                    <w:right w:val="none" w:sz="0" w:space="0" w:color="auto"/>
                  </w:divBdr>
                </w:div>
              </w:divsChild>
            </w:div>
            <w:div w:id="1441878078">
              <w:marLeft w:val="0"/>
              <w:marRight w:val="0"/>
              <w:marTop w:val="0"/>
              <w:marBottom w:val="0"/>
              <w:divBdr>
                <w:top w:val="none" w:sz="0" w:space="0" w:color="auto"/>
                <w:left w:val="none" w:sz="0" w:space="0" w:color="auto"/>
                <w:bottom w:val="none" w:sz="0" w:space="0" w:color="auto"/>
                <w:right w:val="none" w:sz="0" w:space="0" w:color="auto"/>
              </w:divBdr>
              <w:divsChild>
                <w:div w:id="1662730370">
                  <w:marLeft w:val="0"/>
                  <w:marRight w:val="0"/>
                  <w:marTop w:val="0"/>
                  <w:marBottom w:val="0"/>
                  <w:divBdr>
                    <w:top w:val="none" w:sz="0" w:space="0" w:color="auto"/>
                    <w:left w:val="none" w:sz="0" w:space="0" w:color="auto"/>
                    <w:bottom w:val="none" w:sz="0" w:space="0" w:color="auto"/>
                    <w:right w:val="none" w:sz="0" w:space="0" w:color="auto"/>
                  </w:divBdr>
                </w:div>
              </w:divsChild>
            </w:div>
            <w:div w:id="1443651005">
              <w:marLeft w:val="0"/>
              <w:marRight w:val="0"/>
              <w:marTop w:val="0"/>
              <w:marBottom w:val="0"/>
              <w:divBdr>
                <w:top w:val="none" w:sz="0" w:space="0" w:color="auto"/>
                <w:left w:val="none" w:sz="0" w:space="0" w:color="auto"/>
                <w:bottom w:val="none" w:sz="0" w:space="0" w:color="auto"/>
                <w:right w:val="none" w:sz="0" w:space="0" w:color="auto"/>
              </w:divBdr>
              <w:divsChild>
                <w:div w:id="2118787837">
                  <w:marLeft w:val="0"/>
                  <w:marRight w:val="0"/>
                  <w:marTop w:val="0"/>
                  <w:marBottom w:val="0"/>
                  <w:divBdr>
                    <w:top w:val="none" w:sz="0" w:space="0" w:color="auto"/>
                    <w:left w:val="none" w:sz="0" w:space="0" w:color="auto"/>
                    <w:bottom w:val="none" w:sz="0" w:space="0" w:color="auto"/>
                    <w:right w:val="none" w:sz="0" w:space="0" w:color="auto"/>
                  </w:divBdr>
                </w:div>
              </w:divsChild>
            </w:div>
            <w:div w:id="1444106138">
              <w:marLeft w:val="0"/>
              <w:marRight w:val="0"/>
              <w:marTop w:val="0"/>
              <w:marBottom w:val="0"/>
              <w:divBdr>
                <w:top w:val="none" w:sz="0" w:space="0" w:color="auto"/>
                <w:left w:val="none" w:sz="0" w:space="0" w:color="auto"/>
                <w:bottom w:val="none" w:sz="0" w:space="0" w:color="auto"/>
                <w:right w:val="none" w:sz="0" w:space="0" w:color="auto"/>
              </w:divBdr>
              <w:divsChild>
                <w:div w:id="836962543">
                  <w:marLeft w:val="0"/>
                  <w:marRight w:val="0"/>
                  <w:marTop w:val="0"/>
                  <w:marBottom w:val="0"/>
                  <w:divBdr>
                    <w:top w:val="none" w:sz="0" w:space="0" w:color="auto"/>
                    <w:left w:val="none" w:sz="0" w:space="0" w:color="auto"/>
                    <w:bottom w:val="none" w:sz="0" w:space="0" w:color="auto"/>
                    <w:right w:val="none" w:sz="0" w:space="0" w:color="auto"/>
                  </w:divBdr>
                </w:div>
              </w:divsChild>
            </w:div>
            <w:div w:id="1444810326">
              <w:marLeft w:val="0"/>
              <w:marRight w:val="0"/>
              <w:marTop w:val="300"/>
              <w:marBottom w:val="300"/>
              <w:divBdr>
                <w:top w:val="none" w:sz="0" w:space="0" w:color="auto"/>
                <w:left w:val="none" w:sz="0" w:space="0" w:color="auto"/>
                <w:bottom w:val="none" w:sz="0" w:space="0" w:color="auto"/>
                <w:right w:val="none" w:sz="0" w:space="0" w:color="auto"/>
              </w:divBdr>
            </w:div>
            <w:div w:id="1445540382">
              <w:marLeft w:val="0"/>
              <w:marRight w:val="0"/>
              <w:marTop w:val="0"/>
              <w:marBottom w:val="0"/>
              <w:divBdr>
                <w:top w:val="none" w:sz="0" w:space="0" w:color="auto"/>
                <w:left w:val="none" w:sz="0" w:space="0" w:color="auto"/>
                <w:bottom w:val="none" w:sz="0" w:space="0" w:color="auto"/>
                <w:right w:val="none" w:sz="0" w:space="0" w:color="auto"/>
              </w:divBdr>
              <w:divsChild>
                <w:div w:id="1910917664">
                  <w:marLeft w:val="0"/>
                  <w:marRight w:val="0"/>
                  <w:marTop w:val="0"/>
                  <w:marBottom w:val="0"/>
                  <w:divBdr>
                    <w:top w:val="none" w:sz="0" w:space="0" w:color="auto"/>
                    <w:left w:val="none" w:sz="0" w:space="0" w:color="auto"/>
                    <w:bottom w:val="none" w:sz="0" w:space="0" w:color="auto"/>
                    <w:right w:val="none" w:sz="0" w:space="0" w:color="auto"/>
                  </w:divBdr>
                </w:div>
              </w:divsChild>
            </w:div>
            <w:div w:id="1445728128">
              <w:marLeft w:val="0"/>
              <w:marRight w:val="0"/>
              <w:marTop w:val="0"/>
              <w:marBottom w:val="0"/>
              <w:divBdr>
                <w:top w:val="none" w:sz="0" w:space="0" w:color="auto"/>
                <w:left w:val="none" w:sz="0" w:space="0" w:color="auto"/>
                <w:bottom w:val="none" w:sz="0" w:space="0" w:color="auto"/>
                <w:right w:val="none" w:sz="0" w:space="0" w:color="auto"/>
              </w:divBdr>
              <w:divsChild>
                <w:div w:id="1487554117">
                  <w:marLeft w:val="0"/>
                  <w:marRight w:val="0"/>
                  <w:marTop w:val="0"/>
                  <w:marBottom w:val="0"/>
                  <w:divBdr>
                    <w:top w:val="none" w:sz="0" w:space="0" w:color="auto"/>
                    <w:left w:val="none" w:sz="0" w:space="0" w:color="auto"/>
                    <w:bottom w:val="none" w:sz="0" w:space="0" w:color="auto"/>
                    <w:right w:val="none" w:sz="0" w:space="0" w:color="auto"/>
                  </w:divBdr>
                </w:div>
              </w:divsChild>
            </w:div>
            <w:div w:id="1446196058">
              <w:marLeft w:val="0"/>
              <w:marRight w:val="0"/>
              <w:marTop w:val="0"/>
              <w:marBottom w:val="0"/>
              <w:divBdr>
                <w:top w:val="none" w:sz="0" w:space="0" w:color="auto"/>
                <w:left w:val="none" w:sz="0" w:space="0" w:color="auto"/>
                <w:bottom w:val="none" w:sz="0" w:space="0" w:color="auto"/>
                <w:right w:val="none" w:sz="0" w:space="0" w:color="auto"/>
              </w:divBdr>
              <w:divsChild>
                <w:div w:id="1571497402">
                  <w:marLeft w:val="0"/>
                  <w:marRight w:val="0"/>
                  <w:marTop w:val="0"/>
                  <w:marBottom w:val="0"/>
                  <w:divBdr>
                    <w:top w:val="none" w:sz="0" w:space="0" w:color="auto"/>
                    <w:left w:val="none" w:sz="0" w:space="0" w:color="auto"/>
                    <w:bottom w:val="none" w:sz="0" w:space="0" w:color="auto"/>
                    <w:right w:val="none" w:sz="0" w:space="0" w:color="auto"/>
                  </w:divBdr>
                </w:div>
              </w:divsChild>
            </w:div>
            <w:div w:id="1447889918">
              <w:marLeft w:val="0"/>
              <w:marRight w:val="0"/>
              <w:marTop w:val="0"/>
              <w:marBottom w:val="0"/>
              <w:divBdr>
                <w:top w:val="none" w:sz="0" w:space="0" w:color="auto"/>
                <w:left w:val="none" w:sz="0" w:space="0" w:color="auto"/>
                <w:bottom w:val="none" w:sz="0" w:space="0" w:color="auto"/>
                <w:right w:val="none" w:sz="0" w:space="0" w:color="auto"/>
              </w:divBdr>
              <w:divsChild>
                <w:div w:id="45378596">
                  <w:marLeft w:val="0"/>
                  <w:marRight w:val="0"/>
                  <w:marTop w:val="0"/>
                  <w:marBottom w:val="0"/>
                  <w:divBdr>
                    <w:top w:val="none" w:sz="0" w:space="0" w:color="auto"/>
                    <w:left w:val="none" w:sz="0" w:space="0" w:color="auto"/>
                    <w:bottom w:val="none" w:sz="0" w:space="0" w:color="auto"/>
                    <w:right w:val="none" w:sz="0" w:space="0" w:color="auto"/>
                  </w:divBdr>
                </w:div>
              </w:divsChild>
            </w:div>
            <w:div w:id="1449474286">
              <w:marLeft w:val="0"/>
              <w:marRight w:val="0"/>
              <w:marTop w:val="0"/>
              <w:marBottom w:val="0"/>
              <w:divBdr>
                <w:top w:val="none" w:sz="0" w:space="0" w:color="auto"/>
                <w:left w:val="none" w:sz="0" w:space="0" w:color="auto"/>
                <w:bottom w:val="none" w:sz="0" w:space="0" w:color="auto"/>
                <w:right w:val="none" w:sz="0" w:space="0" w:color="auto"/>
              </w:divBdr>
              <w:divsChild>
                <w:div w:id="1793205633">
                  <w:marLeft w:val="0"/>
                  <w:marRight w:val="0"/>
                  <w:marTop w:val="0"/>
                  <w:marBottom w:val="0"/>
                  <w:divBdr>
                    <w:top w:val="none" w:sz="0" w:space="0" w:color="auto"/>
                    <w:left w:val="none" w:sz="0" w:space="0" w:color="auto"/>
                    <w:bottom w:val="none" w:sz="0" w:space="0" w:color="auto"/>
                    <w:right w:val="none" w:sz="0" w:space="0" w:color="auto"/>
                  </w:divBdr>
                </w:div>
              </w:divsChild>
            </w:div>
            <w:div w:id="1449927507">
              <w:marLeft w:val="0"/>
              <w:marRight w:val="0"/>
              <w:marTop w:val="0"/>
              <w:marBottom w:val="0"/>
              <w:divBdr>
                <w:top w:val="none" w:sz="0" w:space="0" w:color="auto"/>
                <w:left w:val="none" w:sz="0" w:space="0" w:color="auto"/>
                <w:bottom w:val="none" w:sz="0" w:space="0" w:color="auto"/>
                <w:right w:val="none" w:sz="0" w:space="0" w:color="auto"/>
              </w:divBdr>
              <w:divsChild>
                <w:div w:id="488639888">
                  <w:marLeft w:val="0"/>
                  <w:marRight w:val="0"/>
                  <w:marTop w:val="0"/>
                  <w:marBottom w:val="0"/>
                  <w:divBdr>
                    <w:top w:val="none" w:sz="0" w:space="0" w:color="auto"/>
                    <w:left w:val="none" w:sz="0" w:space="0" w:color="auto"/>
                    <w:bottom w:val="none" w:sz="0" w:space="0" w:color="auto"/>
                    <w:right w:val="none" w:sz="0" w:space="0" w:color="auto"/>
                  </w:divBdr>
                </w:div>
              </w:divsChild>
            </w:div>
            <w:div w:id="1450928489">
              <w:marLeft w:val="0"/>
              <w:marRight w:val="0"/>
              <w:marTop w:val="0"/>
              <w:marBottom w:val="0"/>
              <w:divBdr>
                <w:top w:val="none" w:sz="0" w:space="0" w:color="auto"/>
                <w:left w:val="none" w:sz="0" w:space="0" w:color="auto"/>
                <w:bottom w:val="none" w:sz="0" w:space="0" w:color="auto"/>
                <w:right w:val="none" w:sz="0" w:space="0" w:color="auto"/>
              </w:divBdr>
              <w:divsChild>
                <w:div w:id="481460152">
                  <w:marLeft w:val="0"/>
                  <w:marRight w:val="0"/>
                  <w:marTop w:val="0"/>
                  <w:marBottom w:val="0"/>
                  <w:divBdr>
                    <w:top w:val="none" w:sz="0" w:space="0" w:color="auto"/>
                    <w:left w:val="none" w:sz="0" w:space="0" w:color="auto"/>
                    <w:bottom w:val="none" w:sz="0" w:space="0" w:color="auto"/>
                    <w:right w:val="none" w:sz="0" w:space="0" w:color="auto"/>
                  </w:divBdr>
                </w:div>
              </w:divsChild>
            </w:div>
            <w:div w:id="1451779723">
              <w:marLeft w:val="0"/>
              <w:marRight w:val="0"/>
              <w:marTop w:val="0"/>
              <w:marBottom w:val="0"/>
              <w:divBdr>
                <w:top w:val="none" w:sz="0" w:space="0" w:color="auto"/>
                <w:left w:val="none" w:sz="0" w:space="0" w:color="auto"/>
                <w:bottom w:val="none" w:sz="0" w:space="0" w:color="auto"/>
                <w:right w:val="none" w:sz="0" w:space="0" w:color="auto"/>
              </w:divBdr>
              <w:divsChild>
                <w:div w:id="690376658">
                  <w:marLeft w:val="0"/>
                  <w:marRight w:val="0"/>
                  <w:marTop w:val="0"/>
                  <w:marBottom w:val="0"/>
                  <w:divBdr>
                    <w:top w:val="none" w:sz="0" w:space="0" w:color="auto"/>
                    <w:left w:val="none" w:sz="0" w:space="0" w:color="auto"/>
                    <w:bottom w:val="none" w:sz="0" w:space="0" w:color="auto"/>
                    <w:right w:val="none" w:sz="0" w:space="0" w:color="auto"/>
                  </w:divBdr>
                </w:div>
              </w:divsChild>
            </w:div>
            <w:div w:id="1452823678">
              <w:marLeft w:val="0"/>
              <w:marRight w:val="0"/>
              <w:marTop w:val="0"/>
              <w:marBottom w:val="0"/>
              <w:divBdr>
                <w:top w:val="none" w:sz="0" w:space="0" w:color="auto"/>
                <w:left w:val="none" w:sz="0" w:space="0" w:color="auto"/>
                <w:bottom w:val="none" w:sz="0" w:space="0" w:color="auto"/>
                <w:right w:val="none" w:sz="0" w:space="0" w:color="auto"/>
              </w:divBdr>
              <w:divsChild>
                <w:div w:id="2010712160">
                  <w:marLeft w:val="0"/>
                  <w:marRight w:val="0"/>
                  <w:marTop w:val="0"/>
                  <w:marBottom w:val="0"/>
                  <w:divBdr>
                    <w:top w:val="none" w:sz="0" w:space="0" w:color="auto"/>
                    <w:left w:val="none" w:sz="0" w:space="0" w:color="auto"/>
                    <w:bottom w:val="none" w:sz="0" w:space="0" w:color="auto"/>
                    <w:right w:val="none" w:sz="0" w:space="0" w:color="auto"/>
                  </w:divBdr>
                </w:div>
              </w:divsChild>
            </w:div>
            <w:div w:id="1453135869">
              <w:marLeft w:val="0"/>
              <w:marRight w:val="0"/>
              <w:marTop w:val="0"/>
              <w:marBottom w:val="0"/>
              <w:divBdr>
                <w:top w:val="none" w:sz="0" w:space="0" w:color="auto"/>
                <w:left w:val="none" w:sz="0" w:space="0" w:color="auto"/>
                <w:bottom w:val="none" w:sz="0" w:space="0" w:color="auto"/>
                <w:right w:val="none" w:sz="0" w:space="0" w:color="auto"/>
              </w:divBdr>
              <w:divsChild>
                <w:div w:id="159584423">
                  <w:marLeft w:val="0"/>
                  <w:marRight w:val="0"/>
                  <w:marTop w:val="0"/>
                  <w:marBottom w:val="0"/>
                  <w:divBdr>
                    <w:top w:val="none" w:sz="0" w:space="0" w:color="auto"/>
                    <w:left w:val="none" w:sz="0" w:space="0" w:color="auto"/>
                    <w:bottom w:val="none" w:sz="0" w:space="0" w:color="auto"/>
                    <w:right w:val="none" w:sz="0" w:space="0" w:color="auto"/>
                  </w:divBdr>
                </w:div>
              </w:divsChild>
            </w:div>
            <w:div w:id="1453280721">
              <w:marLeft w:val="0"/>
              <w:marRight w:val="0"/>
              <w:marTop w:val="0"/>
              <w:marBottom w:val="0"/>
              <w:divBdr>
                <w:top w:val="none" w:sz="0" w:space="0" w:color="auto"/>
                <w:left w:val="none" w:sz="0" w:space="0" w:color="auto"/>
                <w:bottom w:val="none" w:sz="0" w:space="0" w:color="auto"/>
                <w:right w:val="none" w:sz="0" w:space="0" w:color="auto"/>
              </w:divBdr>
              <w:divsChild>
                <w:div w:id="2142720538">
                  <w:marLeft w:val="0"/>
                  <w:marRight w:val="0"/>
                  <w:marTop w:val="0"/>
                  <w:marBottom w:val="0"/>
                  <w:divBdr>
                    <w:top w:val="none" w:sz="0" w:space="0" w:color="auto"/>
                    <w:left w:val="none" w:sz="0" w:space="0" w:color="auto"/>
                    <w:bottom w:val="none" w:sz="0" w:space="0" w:color="auto"/>
                    <w:right w:val="none" w:sz="0" w:space="0" w:color="auto"/>
                  </w:divBdr>
                </w:div>
              </w:divsChild>
            </w:div>
            <w:div w:id="1453358150">
              <w:marLeft w:val="0"/>
              <w:marRight w:val="0"/>
              <w:marTop w:val="0"/>
              <w:marBottom w:val="0"/>
              <w:divBdr>
                <w:top w:val="none" w:sz="0" w:space="0" w:color="auto"/>
                <w:left w:val="none" w:sz="0" w:space="0" w:color="auto"/>
                <w:bottom w:val="none" w:sz="0" w:space="0" w:color="auto"/>
                <w:right w:val="none" w:sz="0" w:space="0" w:color="auto"/>
              </w:divBdr>
              <w:divsChild>
                <w:div w:id="1697345176">
                  <w:marLeft w:val="0"/>
                  <w:marRight w:val="0"/>
                  <w:marTop w:val="0"/>
                  <w:marBottom w:val="0"/>
                  <w:divBdr>
                    <w:top w:val="none" w:sz="0" w:space="0" w:color="auto"/>
                    <w:left w:val="none" w:sz="0" w:space="0" w:color="auto"/>
                    <w:bottom w:val="none" w:sz="0" w:space="0" w:color="auto"/>
                    <w:right w:val="none" w:sz="0" w:space="0" w:color="auto"/>
                  </w:divBdr>
                </w:div>
              </w:divsChild>
            </w:div>
            <w:div w:id="1453480871">
              <w:marLeft w:val="0"/>
              <w:marRight w:val="0"/>
              <w:marTop w:val="0"/>
              <w:marBottom w:val="0"/>
              <w:divBdr>
                <w:top w:val="none" w:sz="0" w:space="0" w:color="auto"/>
                <w:left w:val="none" w:sz="0" w:space="0" w:color="auto"/>
                <w:bottom w:val="none" w:sz="0" w:space="0" w:color="auto"/>
                <w:right w:val="none" w:sz="0" w:space="0" w:color="auto"/>
              </w:divBdr>
              <w:divsChild>
                <w:div w:id="586579302">
                  <w:marLeft w:val="0"/>
                  <w:marRight w:val="0"/>
                  <w:marTop w:val="0"/>
                  <w:marBottom w:val="0"/>
                  <w:divBdr>
                    <w:top w:val="none" w:sz="0" w:space="0" w:color="auto"/>
                    <w:left w:val="none" w:sz="0" w:space="0" w:color="auto"/>
                    <w:bottom w:val="none" w:sz="0" w:space="0" w:color="auto"/>
                    <w:right w:val="none" w:sz="0" w:space="0" w:color="auto"/>
                  </w:divBdr>
                </w:div>
              </w:divsChild>
            </w:div>
            <w:div w:id="1454011525">
              <w:marLeft w:val="0"/>
              <w:marRight w:val="0"/>
              <w:marTop w:val="0"/>
              <w:marBottom w:val="0"/>
              <w:divBdr>
                <w:top w:val="none" w:sz="0" w:space="0" w:color="auto"/>
                <w:left w:val="none" w:sz="0" w:space="0" w:color="auto"/>
                <w:bottom w:val="none" w:sz="0" w:space="0" w:color="auto"/>
                <w:right w:val="none" w:sz="0" w:space="0" w:color="auto"/>
              </w:divBdr>
              <w:divsChild>
                <w:div w:id="267085126">
                  <w:marLeft w:val="0"/>
                  <w:marRight w:val="0"/>
                  <w:marTop w:val="0"/>
                  <w:marBottom w:val="0"/>
                  <w:divBdr>
                    <w:top w:val="none" w:sz="0" w:space="0" w:color="auto"/>
                    <w:left w:val="none" w:sz="0" w:space="0" w:color="auto"/>
                    <w:bottom w:val="none" w:sz="0" w:space="0" w:color="auto"/>
                    <w:right w:val="none" w:sz="0" w:space="0" w:color="auto"/>
                  </w:divBdr>
                </w:div>
              </w:divsChild>
            </w:div>
            <w:div w:id="1454326902">
              <w:marLeft w:val="0"/>
              <w:marRight w:val="0"/>
              <w:marTop w:val="0"/>
              <w:marBottom w:val="0"/>
              <w:divBdr>
                <w:top w:val="none" w:sz="0" w:space="0" w:color="auto"/>
                <w:left w:val="none" w:sz="0" w:space="0" w:color="auto"/>
                <w:bottom w:val="none" w:sz="0" w:space="0" w:color="auto"/>
                <w:right w:val="none" w:sz="0" w:space="0" w:color="auto"/>
              </w:divBdr>
              <w:divsChild>
                <w:div w:id="42025804">
                  <w:marLeft w:val="0"/>
                  <w:marRight w:val="0"/>
                  <w:marTop w:val="0"/>
                  <w:marBottom w:val="0"/>
                  <w:divBdr>
                    <w:top w:val="none" w:sz="0" w:space="0" w:color="auto"/>
                    <w:left w:val="none" w:sz="0" w:space="0" w:color="auto"/>
                    <w:bottom w:val="none" w:sz="0" w:space="0" w:color="auto"/>
                    <w:right w:val="none" w:sz="0" w:space="0" w:color="auto"/>
                  </w:divBdr>
                </w:div>
              </w:divsChild>
            </w:div>
            <w:div w:id="1454593427">
              <w:marLeft w:val="0"/>
              <w:marRight w:val="0"/>
              <w:marTop w:val="0"/>
              <w:marBottom w:val="0"/>
              <w:divBdr>
                <w:top w:val="none" w:sz="0" w:space="0" w:color="auto"/>
                <w:left w:val="none" w:sz="0" w:space="0" w:color="auto"/>
                <w:bottom w:val="none" w:sz="0" w:space="0" w:color="auto"/>
                <w:right w:val="none" w:sz="0" w:space="0" w:color="auto"/>
              </w:divBdr>
              <w:divsChild>
                <w:div w:id="2145005400">
                  <w:marLeft w:val="0"/>
                  <w:marRight w:val="0"/>
                  <w:marTop w:val="0"/>
                  <w:marBottom w:val="0"/>
                  <w:divBdr>
                    <w:top w:val="none" w:sz="0" w:space="0" w:color="auto"/>
                    <w:left w:val="none" w:sz="0" w:space="0" w:color="auto"/>
                    <w:bottom w:val="none" w:sz="0" w:space="0" w:color="auto"/>
                    <w:right w:val="none" w:sz="0" w:space="0" w:color="auto"/>
                  </w:divBdr>
                </w:div>
              </w:divsChild>
            </w:div>
            <w:div w:id="1455903703">
              <w:marLeft w:val="0"/>
              <w:marRight w:val="0"/>
              <w:marTop w:val="300"/>
              <w:marBottom w:val="300"/>
              <w:divBdr>
                <w:top w:val="none" w:sz="0" w:space="0" w:color="auto"/>
                <w:left w:val="none" w:sz="0" w:space="0" w:color="auto"/>
                <w:bottom w:val="none" w:sz="0" w:space="0" w:color="auto"/>
                <w:right w:val="none" w:sz="0" w:space="0" w:color="auto"/>
              </w:divBdr>
            </w:div>
            <w:div w:id="1457527149">
              <w:marLeft w:val="0"/>
              <w:marRight w:val="0"/>
              <w:marTop w:val="300"/>
              <w:marBottom w:val="300"/>
              <w:divBdr>
                <w:top w:val="none" w:sz="0" w:space="0" w:color="auto"/>
                <w:left w:val="none" w:sz="0" w:space="0" w:color="auto"/>
                <w:bottom w:val="none" w:sz="0" w:space="0" w:color="auto"/>
                <w:right w:val="none" w:sz="0" w:space="0" w:color="auto"/>
              </w:divBdr>
            </w:div>
            <w:div w:id="1457720414">
              <w:marLeft w:val="0"/>
              <w:marRight w:val="0"/>
              <w:marTop w:val="0"/>
              <w:marBottom w:val="0"/>
              <w:divBdr>
                <w:top w:val="none" w:sz="0" w:space="0" w:color="auto"/>
                <w:left w:val="none" w:sz="0" w:space="0" w:color="auto"/>
                <w:bottom w:val="none" w:sz="0" w:space="0" w:color="auto"/>
                <w:right w:val="none" w:sz="0" w:space="0" w:color="auto"/>
              </w:divBdr>
              <w:divsChild>
                <w:div w:id="599601855">
                  <w:marLeft w:val="0"/>
                  <w:marRight w:val="0"/>
                  <w:marTop w:val="0"/>
                  <w:marBottom w:val="0"/>
                  <w:divBdr>
                    <w:top w:val="none" w:sz="0" w:space="0" w:color="auto"/>
                    <w:left w:val="none" w:sz="0" w:space="0" w:color="auto"/>
                    <w:bottom w:val="none" w:sz="0" w:space="0" w:color="auto"/>
                    <w:right w:val="none" w:sz="0" w:space="0" w:color="auto"/>
                  </w:divBdr>
                </w:div>
              </w:divsChild>
            </w:div>
            <w:div w:id="1458719749">
              <w:marLeft w:val="0"/>
              <w:marRight w:val="0"/>
              <w:marTop w:val="300"/>
              <w:marBottom w:val="300"/>
              <w:divBdr>
                <w:top w:val="none" w:sz="0" w:space="0" w:color="auto"/>
                <w:left w:val="none" w:sz="0" w:space="0" w:color="auto"/>
                <w:bottom w:val="none" w:sz="0" w:space="0" w:color="auto"/>
                <w:right w:val="none" w:sz="0" w:space="0" w:color="auto"/>
              </w:divBdr>
            </w:div>
            <w:div w:id="1460108043">
              <w:marLeft w:val="0"/>
              <w:marRight w:val="0"/>
              <w:marTop w:val="0"/>
              <w:marBottom w:val="0"/>
              <w:divBdr>
                <w:top w:val="none" w:sz="0" w:space="0" w:color="auto"/>
                <w:left w:val="none" w:sz="0" w:space="0" w:color="auto"/>
                <w:bottom w:val="none" w:sz="0" w:space="0" w:color="auto"/>
                <w:right w:val="none" w:sz="0" w:space="0" w:color="auto"/>
              </w:divBdr>
              <w:divsChild>
                <w:div w:id="1847086007">
                  <w:marLeft w:val="0"/>
                  <w:marRight w:val="0"/>
                  <w:marTop w:val="0"/>
                  <w:marBottom w:val="0"/>
                  <w:divBdr>
                    <w:top w:val="none" w:sz="0" w:space="0" w:color="auto"/>
                    <w:left w:val="none" w:sz="0" w:space="0" w:color="auto"/>
                    <w:bottom w:val="none" w:sz="0" w:space="0" w:color="auto"/>
                    <w:right w:val="none" w:sz="0" w:space="0" w:color="auto"/>
                  </w:divBdr>
                </w:div>
              </w:divsChild>
            </w:div>
            <w:div w:id="1460421320">
              <w:marLeft w:val="0"/>
              <w:marRight w:val="0"/>
              <w:marTop w:val="0"/>
              <w:marBottom w:val="0"/>
              <w:divBdr>
                <w:top w:val="none" w:sz="0" w:space="0" w:color="auto"/>
                <w:left w:val="none" w:sz="0" w:space="0" w:color="auto"/>
                <w:bottom w:val="none" w:sz="0" w:space="0" w:color="auto"/>
                <w:right w:val="none" w:sz="0" w:space="0" w:color="auto"/>
              </w:divBdr>
              <w:divsChild>
                <w:div w:id="1247305430">
                  <w:marLeft w:val="0"/>
                  <w:marRight w:val="0"/>
                  <w:marTop w:val="0"/>
                  <w:marBottom w:val="0"/>
                  <w:divBdr>
                    <w:top w:val="none" w:sz="0" w:space="0" w:color="auto"/>
                    <w:left w:val="none" w:sz="0" w:space="0" w:color="auto"/>
                    <w:bottom w:val="none" w:sz="0" w:space="0" w:color="auto"/>
                    <w:right w:val="none" w:sz="0" w:space="0" w:color="auto"/>
                  </w:divBdr>
                </w:div>
              </w:divsChild>
            </w:div>
            <w:div w:id="1462042780">
              <w:marLeft w:val="0"/>
              <w:marRight w:val="0"/>
              <w:marTop w:val="0"/>
              <w:marBottom w:val="0"/>
              <w:divBdr>
                <w:top w:val="none" w:sz="0" w:space="0" w:color="auto"/>
                <w:left w:val="none" w:sz="0" w:space="0" w:color="auto"/>
                <w:bottom w:val="none" w:sz="0" w:space="0" w:color="auto"/>
                <w:right w:val="none" w:sz="0" w:space="0" w:color="auto"/>
              </w:divBdr>
              <w:divsChild>
                <w:div w:id="989405625">
                  <w:marLeft w:val="0"/>
                  <w:marRight w:val="0"/>
                  <w:marTop w:val="0"/>
                  <w:marBottom w:val="0"/>
                  <w:divBdr>
                    <w:top w:val="none" w:sz="0" w:space="0" w:color="auto"/>
                    <w:left w:val="none" w:sz="0" w:space="0" w:color="auto"/>
                    <w:bottom w:val="none" w:sz="0" w:space="0" w:color="auto"/>
                    <w:right w:val="none" w:sz="0" w:space="0" w:color="auto"/>
                  </w:divBdr>
                </w:div>
              </w:divsChild>
            </w:div>
            <w:div w:id="1465000208">
              <w:marLeft w:val="0"/>
              <w:marRight w:val="0"/>
              <w:marTop w:val="0"/>
              <w:marBottom w:val="0"/>
              <w:divBdr>
                <w:top w:val="none" w:sz="0" w:space="0" w:color="auto"/>
                <w:left w:val="none" w:sz="0" w:space="0" w:color="auto"/>
                <w:bottom w:val="none" w:sz="0" w:space="0" w:color="auto"/>
                <w:right w:val="none" w:sz="0" w:space="0" w:color="auto"/>
              </w:divBdr>
              <w:divsChild>
                <w:div w:id="34936779">
                  <w:marLeft w:val="0"/>
                  <w:marRight w:val="0"/>
                  <w:marTop w:val="0"/>
                  <w:marBottom w:val="0"/>
                  <w:divBdr>
                    <w:top w:val="none" w:sz="0" w:space="0" w:color="auto"/>
                    <w:left w:val="none" w:sz="0" w:space="0" w:color="auto"/>
                    <w:bottom w:val="none" w:sz="0" w:space="0" w:color="auto"/>
                    <w:right w:val="none" w:sz="0" w:space="0" w:color="auto"/>
                  </w:divBdr>
                </w:div>
              </w:divsChild>
            </w:div>
            <w:div w:id="1465154601">
              <w:marLeft w:val="0"/>
              <w:marRight w:val="0"/>
              <w:marTop w:val="0"/>
              <w:marBottom w:val="0"/>
              <w:divBdr>
                <w:top w:val="none" w:sz="0" w:space="0" w:color="auto"/>
                <w:left w:val="none" w:sz="0" w:space="0" w:color="auto"/>
                <w:bottom w:val="none" w:sz="0" w:space="0" w:color="auto"/>
                <w:right w:val="none" w:sz="0" w:space="0" w:color="auto"/>
              </w:divBdr>
              <w:divsChild>
                <w:div w:id="473643922">
                  <w:marLeft w:val="0"/>
                  <w:marRight w:val="0"/>
                  <w:marTop w:val="0"/>
                  <w:marBottom w:val="0"/>
                  <w:divBdr>
                    <w:top w:val="none" w:sz="0" w:space="0" w:color="auto"/>
                    <w:left w:val="none" w:sz="0" w:space="0" w:color="auto"/>
                    <w:bottom w:val="none" w:sz="0" w:space="0" w:color="auto"/>
                    <w:right w:val="none" w:sz="0" w:space="0" w:color="auto"/>
                  </w:divBdr>
                </w:div>
              </w:divsChild>
            </w:div>
            <w:div w:id="1465613337">
              <w:marLeft w:val="0"/>
              <w:marRight w:val="0"/>
              <w:marTop w:val="0"/>
              <w:marBottom w:val="0"/>
              <w:divBdr>
                <w:top w:val="none" w:sz="0" w:space="0" w:color="auto"/>
                <w:left w:val="none" w:sz="0" w:space="0" w:color="auto"/>
                <w:bottom w:val="none" w:sz="0" w:space="0" w:color="auto"/>
                <w:right w:val="none" w:sz="0" w:space="0" w:color="auto"/>
              </w:divBdr>
              <w:divsChild>
                <w:div w:id="429007436">
                  <w:marLeft w:val="0"/>
                  <w:marRight w:val="0"/>
                  <w:marTop w:val="0"/>
                  <w:marBottom w:val="0"/>
                  <w:divBdr>
                    <w:top w:val="none" w:sz="0" w:space="0" w:color="auto"/>
                    <w:left w:val="none" w:sz="0" w:space="0" w:color="auto"/>
                    <w:bottom w:val="none" w:sz="0" w:space="0" w:color="auto"/>
                    <w:right w:val="none" w:sz="0" w:space="0" w:color="auto"/>
                  </w:divBdr>
                </w:div>
              </w:divsChild>
            </w:div>
            <w:div w:id="1467703168">
              <w:marLeft w:val="0"/>
              <w:marRight w:val="0"/>
              <w:marTop w:val="300"/>
              <w:marBottom w:val="300"/>
              <w:divBdr>
                <w:top w:val="none" w:sz="0" w:space="0" w:color="auto"/>
                <w:left w:val="none" w:sz="0" w:space="0" w:color="auto"/>
                <w:bottom w:val="none" w:sz="0" w:space="0" w:color="auto"/>
                <w:right w:val="none" w:sz="0" w:space="0" w:color="auto"/>
              </w:divBdr>
            </w:div>
            <w:div w:id="1467746393">
              <w:marLeft w:val="0"/>
              <w:marRight w:val="0"/>
              <w:marTop w:val="300"/>
              <w:marBottom w:val="300"/>
              <w:divBdr>
                <w:top w:val="none" w:sz="0" w:space="0" w:color="auto"/>
                <w:left w:val="none" w:sz="0" w:space="0" w:color="auto"/>
                <w:bottom w:val="none" w:sz="0" w:space="0" w:color="auto"/>
                <w:right w:val="none" w:sz="0" w:space="0" w:color="auto"/>
              </w:divBdr>
            </w:div>
            <w:div w:id="1467966170">
              <w:marLeft w:val="0"/>
              <w:marRight w:val="0"/>
              <w:marTop w:val="0"/>
              <w:marBottom w:val="0"/>
              <w:divBdr>
                <w:top w:val="none" w:sz="0" w:space="0" w:color="auto"/>
                <w:left w:val="none" w:sz="0" w:space="0" w:color="auto"/>
                <w:bottom w:val="none" w:sz="0" w:space="0" w:color="auto"/>
                <w:right w:val="none" w:sz="0" w:space="0" w:color="auto"/>
              </w:divBdr>
              <w:divsChild>
                <w:div w:id="1139608806">
                  <w:marLeft w:val="0"/>
                  <w:marRight w:val="0"/>
                  <w:marTop w:val="0"/>
                  <w:marBottom w:val="0"/>
                  <w:divBdr>
                    <w:top w:val="none" w:sz="0" w:space="0" w:color="auto"/>
                    <w:left w:val="none" w:sz="0" w:space="0" w:color="auto"/>
                    <w:bottom w:val="none" w:sz="0" w:space="0" w:color="auto"/>
                    <w:right w:val="none" w:sz="0" w:space="0" w:color="auto"/>
                  </w:divBdr>
                </w:div>
              </w:divsChild>
            </w:div>
            <w:div w:id="1470707152">
              <w:marLeft w:val="0"/>
              <w:marRight w:val="0"/>
              <w:marTop w:val="0"/>
              <w:marBottom w:val="0"/>
              <w:divBdr>
                <w:top w:val="none" w:sz="0" w:space="0" w:color="auto"/>
                <w:left w:val="none" w:sz="0" w:space="0" w:color="auto"/>
                <w:bottom w:val="none" w:sz="0" w:space="0" w:color="auto"/>
                <w:right w:val="none" w:sz="0" w:space="0" w:color="auto"/>
              </w:divBdr>
              <w:divsChild>
                <w:div w:id="1194687732">
                  <w:marLeft w:val="0"/>
                  <w:marRight w:val="0"/>
                  <w:marTop w:val="0"/>
                  <w:marBottom w:val="0"/>
                  <w:divBdr>
                    <w:top w:val="none" w:sz="0" w:space="0" w:color="auto"/>
                    <w:left w:val="none" w:sz="0" w:space="0" w:color="auto"/>
                    <w:bottom w:val="none" w:sz="0" w:space="0" w:color="auto"/>
                    <w:right w:val="none" w:sz="0" w:space="0" w:color="auto"/>
                  </w:divBdr>
                </w:div>
              </w:divsChild>
            </w:div>
            <w:div w:id="1471632390">
              <w:marLeft w:val="0"/>
              <w:marRight w:val="0"/>
              <w:marTop w:val="0"/>
              <w:marBottom w:val="0"/>
              <w:divBdr>
                <w:top w:val="none" w:sz="0" w:space="0" w:color="auto"/>
                <w:left w:val="none" w:sz="0" w:space="0" w:color="auto"/>
                <w:bottom w:val="none" w:sz="0" w:space="0" w:color="auto"/>
                <w:right w:val="none" w:sz="0" w:space="0" w:color="auto"/>
              </w:divBdr>
              <w:divsChild>
                <w:div w:id="1552500273">
                  <w:marLeft w:val="0"/>
                  <w:marRight w:val="0"/>
                  <w:marTop w:val="0"/>
                  <w:marBottom w:val="0"/>
                  <w:divBdr>
                    <w:top w:val="none" w:sz="0" w:space="0" w:color="auto"/>
                    <w:left w:val="none" w:sz="0" w:space="0" w:color="auto"/>
                    <w:bottom w:val="none" w:sz="0" w:space="0" w:color="auto"/>
                    <w:right w:val="none" w:sz="0" w:space="0" w:color="auto"/>
                  </w:divBdr>
                </w:div>
              </w:divsChild>
            </w:div>
            <w:div w:id="1472408296">
              <w:marLeft w:val="0"/>
              <w:marRight w:val="0"/>
              <w:marTop w:val="0"/>
              <w:marBottom w:val="0"/>
              <w:divBdr>
                <w:top w:val="none" w:sz="0" w:space="0" w:color="auto"/>
                <w:left w:val="none" w:sz="0" w:space="0" w:color="auto"/>
                <w:bottom w:val="none" w:sz="0" w:space="0" w:color="auto"/>
                <w:right w:val="none" w:sz="0" w:space="0" w:color="auto"/>
              </w:divBdr>
              <w:divsChild>
                <w:div w:id="1566794174">
                  <w:marLeft w:val="0"/>
                  <w:marRight w:val="0"/>
                  <w:marTop w:val="0"/>
                  <w:marBottom w:val="0"/>
                  <w:divBdr>
                    <w:top w:val="none" w:sz="0" w:space="0" w:color="auto"/>
                    <w:left w:val="none" w:sz="0" w:space="0" w:color="auto"/>
                    <w:bottom w:val="none" w:sz="0" w:space="0" w:color="auto"/>
                    <w:right w:val="none" w:sz="0" w:space="0" w:color="auto"/>
                  </w:divBdr>
                </w:div>
              </w:divsChild>
            </w:div>
            <w:div w:id="1472408383">
              <w:marLeft w:val="0"/>
              <w:marRight w:val="0"/>
              <w:marTop w:val="0"/>
              <w:marBottom w:val="0"/>
              <w:divBdr>
                <w:top w:val="none" w:sz="0" w:space="0" w:color="auto"/>
                <w:left w:val="none" w:sz="0" w:space="0" w:color="auto"/>
                <w:bottom w:val="none" w:sz="0" w:space="0" w:color="auto"/>
                <w:right w:val="none" w:sz="0" w:space="0" w:color="auto"/>
              </w:divBdr>
              <w:divsChild>
                <w:div w:id="1567566506">
                  <w:marLeft w:val="0"/>
                  <w:marRight w:val="0"/>
                  <w:marTop w:val="0"/>
                  <w:marBottom w:val="0"/>
                  <w:divBdr>
                    <w:top w:val="none" w:sz="0" w:space="0" w:color="auto"/>
                    <w:left w:val="none" w:sz="0" w:space="0" w:color="auto"/>
                    <w:bottom w:val="none" w:sz="0" w:space="0" w:color="auto"/>
                    <w:right w:val="none" w:sz="0" w:space="0" w:color="auto"/>
                  </w:divBdr>
                </w:div>
              </w:divsChild>
            </w:div>
            <w:div w:id="1474250901">
              <w:marLeft w:val="0"/>
              <w:marRight w:val="0"/>
              <w:marTop w:val="0"/>
              <w:marBottom w:val="0"/>
              <w:divBdr>
                <w:top w:val="none" w:sz="0" w:space="0" w:color="auto"/>
                <w:left w:val="none" w:sz="0" w:space="0" w:color="auto"/>
                <w:bottom w:val="none" w:sz="0" w:space="0" w:color="auto"/>
                <w:right w:val="none" w:sz="0" w:space="0" w:color="auto"/>
              </w:divBdr>
              <w:divsChild>
                <w:div w:id="6368325">
                  <w:marLeft w:val="0"/>
                  <w:marRight w:val="0"/>
                  <w:marTop w:val="0"/>
                  <w:marBottom w:val="0"/>
                  <w:divBdr>
                    <w:top w:val="none" w:sz="0" w:space="0" w:color="auto"/>
                    <w:left w:val="none" w:sz="0" w:space="0" w:color="auto"/>
                    <w:bottom w:val="none" w:sz="0" w:space="0" w:color="auto"/>
                    <w:right w:val="none" w:sz="0" w:space="0" w:color="auto"/>
                  </w:divBdr>
                </w:div>
              </w:divsChild>
            </w:div>
            <w:div w:id="1475415257">
              <w:marLeft w:val="0"/>
              <w:marRight w:val="0"/>
              <w:marTop w:val="0"/>
              <w:marBottom w:val="0"/>
              <w:divBdr>
                <w:top w:val="none" w:sz="0" w:space="0" w:color="auto"/>
                <w:left w:val="none" w:sz="0" w:space="0" w:color="auto"/>
                <w:bottom w:val="none" w:sz="0" w:space="0" w:color="auto"/>
                <w:right w:val="none" w:sz="0" w:space="0" w:color="auto"/>
              </w:divBdr>
              <w:divsChild>
                <w:div w:id="1148859745">
                  <w:marLeft w:val="0"/>
                  <w:marRight w:val="0"/>
                  <w:marTop w:val="0"/>
                  <w:marBottom w:val="0"/>
                  <w:divBdr>
                    <w:top w:val="none" w:sz="0" w:space="0" w:color="auto"/>
                    <w:left w:val="none" w:sz="0" w:space="0" w:color="auto"/>
                    <w:bottom w:val="none" w:sz="0" w:space="0" w:color="auto"/>
                    <w:right w:val="none" w:sz="0" w:space="0" w:color="auto"/>
                  </w:divBdr>
                </w:div>
              </w:divsChild>
            </w:div>
            <w:div w:id="1476097118">
              <w:marLeft w:val="0"/>
              <w:marRight w:val="0"/>
              <w:marTop w:val="0"/>
              <w:marBottom w:val="0"/>
              <w:divBdr>
                <w:top w:val="none" w:sz="0" w:space="0" w:color="auto"/>
                <w:left w:val="none" w:sz="0" w:space="0" w:color="auto"/>
                <w:bottom w:val="none" w:sz="0" w:space="0" w:color="auto"/>
                <w:right w:val="none" w:sz="0" w:space="0" w:color="auto"/>
              </w:divBdr>
              <w:divsChild>
                <w:div w:id="79299103">
                  <w:marLeft w:val="0"/>
                  <w:marRight w:val="0"/>
                  <w:marTop w:val="0"/>
                  <w:marBottom w:val="0"/>
                  <w:divBdr>
                    <w:top w:val="none" w:sz="0" w:space="0" w:color="auto"/>
                    <w:left w:val="none" w:sz="0" w:space="0" w:color="auto"/>
                    <w:bottom w:val="none" w:sz="0" w:space="0" w:color="auto"/>
                    <w:right w:val="none" w:sz="0" w:space="0" w:color="auto"/>
                  </w:divBdr>
                </w:div>
              </w:divsChild>
            </w:div>
            <w:div w:id="1476295155">
              <w:marLeft w:val="0"/>
              <w:marRight w:val="0"/>
              <w:marTop w:val="0"/>
              <w:marBottom w:val="0"/>
              <w:divBdr>
                <w:top w:val="none" w:sz="0" w:space="0" w:color="auto"/>
                <w:left w:val="none" w:sz="0" w:space="0" w:color="auto"/>
                <w:bottom w:val="none" w:sz="0" w:space="0" w:color="auto"/>
                <w:right w:val="none" w:sz="0" w:space="0" w:color="auto"/>
              </w:divBdr>
              <w:divsChild>
                <w:div w:id="2088533894">
                  <w:marLeft w:val="0"/>
                  <w:marRight w:val="0"/>
                  <w:marTop w:val="0"/>
                  <w:marBottom w:val="0"/>
                  <w:divBdr>
                    <w:top w:val="none" w:sz="0" w:space="0" w:color="auto"/>
                    <w:left w:val="none" w:sz="0" w:space="0" w:color="auto"/>
                    <w:bottom w:val="none" w:sz="0" w:space="0" w:color="auto"/>
                    <w:right w:val="none" w:sz="0" w:space="0" w:color="auto"/>
                  </w:divBdr>
                </w:div>
              </w:divsChild>
            </w:div>
            <w:div w:id="1478764465">
              <w:marLeft w:val="0"/>
              <w:marRight w:val="0"/>
              <w:marTop w:val="300"/>
              <w:marBottom w:val="300"/>
              <w:divBdr>
                <w:top w:val="none" w:sz="0" w:space="0" w:color="auto"/>
                <w:left w:val="none" w:sz="0" w:space="0" w:color="auto"/>
                <w:bottom w:val="none" w:sz="0" w:space="0" w:color="auto"/>
                <w:right w:val="none" w:sz="0" w:space="0" w:color="auto"/>
              </w:divBdr>
            </w:div>
            <w:div w:id="1479229208">
              <w:marLeft w:val="0"/>
              <w:marRight w:val="0"/>
              <w:marTop w:val="0"/>
              <w:marBottom w:val="0"/>
              <w:divBdr>
                <w:top w:val="none" w:sz="0" w:space="0" w:color="auto"/>
                <w:left w:val="none" w:sz="0" w:space="0" w:color="auto"/>
                <w:bottom w:val="none" w:sz="0" w:space="0" w:color="auto"/>
                <w:right w:val="none" w:sz="0" w:space="0" w:color="auto"/>
              </w:divBdr>
              <w:divsChild>
                <w:div w:id="1316572805">
                  <w:marLeft w:val="0"/>
                  <w:marRight w:val="0"/>
                  <w:marTop w:val="0"/>
                  <w:marBottom w:val="0"/>
                  <w:divBdr>
                    <w:top w:val="none" w:sz="0" w:space="0" w:color="auto"/>
                    <w:left w:val="none" w:sz="0" w:space="0" w:color="auto"/>
                    <w:bottom w:val="none" w:sz="0" w:space="0" w:color="auto"/>
                    <w:right w:val="none" w:sz="0" w:space="0" w:color="auto"/>
                  </w:divBdr>
                </w:div>
              </w:divsChild>
            </w:div>
            <w:div w:id="1479347050">
              <w:marLeft w:val="0"/>
              <w:marRight w:val="0"/>
              <w:marTop w:val="0"/>
              <w:marBottom w:val="0"/>
              <w:divBdr>
                <w:top w:val="none" w:sz="0" w:space="0" w:color="auto"/>
                <w:left w:val="none" w:sz="0" w:space="0" w:color="auto"/>
                <w:bottom w:val="none" w:sz="0" w:space="0" w:color="auto"/>
                <w:right w:val="none" w:sz="0" w:space="0" w:color="auto"/>
              </w:divBdr>
              <w:divsChild>
                <w:div w:id="1128863728">
                  <w:marLeft w:val="0"/>
                  <w:marRight w:val="0"/>
                  <w:marTop w:val="0"/>
                  <w:marBottom w:val="0"/>
                  <w:divBdr>
                    <w:top w:val="none" w:sz="0" w:space="0" w:color="auto"/>
                    <w:left w:val="none" w:sz="0" w:space="0" w:color="auto"/>
                    <w:bottom w:val="none" w:sz="0" w:space="0" w:color="auto"/>
                    <w:right w:val="none" w:sz="0" w:space="0" w:color="auto"/>
                  </w:divBdr>
                </w:div>
              </w:divsChild>
            </w:div>
            <w:div w:id="1480027263">
              <w:marLeft w:val="0"/>
              <w:marRight w:val="0"/>
              <w:marTop w:val="0"/>
              <w:marBottom w:val="0"/>
              <w:divBdr>
                <w:top w:val="none" w:sz="0" w:space="0" w:color="auto"/>
                <w:left w:val="none" w:sz="0" w:space="0" w:color="auto"/>
                <w:bottom w:val="none" w:sz="0" w:space="0" w:color="auto"/>
                <w:right w:val="none" w:sz="0" w:space="0" w:color="auto"/>
              </w:divBdr>
              <w:divsChild>
                <w:div w:id="578684320">
                  <w:marLeft w:val="0"/>
                  <w:marRight w:val="0"/>
                  <w:marTop w:val="0"/>
                  <w:marBottom w:val="0"/>
                  <w:divBdr>
                    <w:top w:val="none" w:sz="0" w:space="0" w:color="auto"/>
                    <w:left w:val="none" w:sz="0" w:space="0" w:color="auto"/>
                    <w:bottom w:val="none" w:sz="0" w:space="0" w:color="auto"/>
                    <w:right w:val="none" w:sz="0" w:space="0" w:color="auto"/>
                  </w:divBdr>
                </w:div>
              </w:divsChild>
            </w:div>
            <w:div w:id="1481312729">
              <w:marLeft w:val="0"/>
              <w:marRight w:val="0"/>
              <w:marTop w:val="0"/>
              <w:marBottom w:val="0"/>
              <w:divBdr>
                <w:top w:val="none" w:sz="0" w:space="0" w:color="auto"/>
                <w:left w:val="none" w:sz="0" w:space="0" w:color="auto"/>
                <w:bottom w:val="none" w:sz="0" w:space="0" w:color="auto"/>
                <w:right w:val="none" w:sz="0" w:space="0" w:color="auto"/>
              </w:divBdr>
              <w:divsChild>
                <w:div w:id="1392734905">
                  <w:marLeft w:val="0"/>
                  <w:marRight w:val="0"/>
                  <w:marTop w:val="0"/>
                  <w:marBottom w:val="0"/>
                  <w:divBdr>
                    <w:top w:val="none" w:sz="0" w:space="0" w:color="auto"/>
                    <w:left w:val="none" w:sz="0" w:space="0" w:color="auto"/>
                    <w:bottom w:val="none" w:sz="0" w:space="0" w:color="auto"/>
                    <w:right w:val="none" w:sz="0" w:space="0" w:color="auto"/>
                  </w:divBdr>
                </w:div>
              </w:divsChild>
            </w:div>
            <w:div w:id="1482231625">
              <w:marLeft w:val="0"/>
              <w:marRight w:val="0"/>
              <w:marTop w:val="0"/>
              <w:marBottom w:val="0"/>
              <w:divBdr>
                <w:top w:val="none" w:sz="0" w:space="0" w:color="auto"/>
                <w:left w:val="none" w:sz="0" w:space="0" w:color="auto"/>
                <w:bottom w:val="none" w:sz="0" w:space="0" w:color="auto"/>
                <w:right w:val="none" w:sz="0" w:space="0" w:color="auto"/>
              </w:divBdr>
              <w:divsChild>
                <w:div w:id="1940411984">
                  <w:marLeft w:val="0"/>
                  <w:marRight w:val="0"/>
                  <w:marTop w:val="0"/>
                  <w:marBottom w:val="0"/>
                  <w:divBdr>
                    <w:top w:val="none" w:sz="0" w:space="0" w:color="auto"/>
                    <w:left w:val="none" w:sz="0" w:space="0" w:color="auto"/>
                    <w:bottom w:val="none" w:sz="0" w:space="0" w:color="auto"/>
                    <w:right w:val="none" w:sz="0" w:space="0" w:color="auto"/>
                  </w:divBdr>
                </w:div>
              </w:divsChild>
            </w:div>
            <w:div w:id="1482771200">
              <w:marLeft w:val="0"/>
              <w:marRight w:val="0"/>
              <w:marTop w:val="0"/>
              <w:marBottom w:val="0"/>
              <w:divBdr>
                <w:top w:val="none" w:sz="0" w:space="0" w:color="auto"/>
                <w:left w:val="none" w:sz="0" w:space="0" w:color="auto"/>
                <w:bottom w:val="none" w:sz="0" w:space="0" w:color="auto"/>
                <w:right w:val="none" w:sz="0" w:space="0" w:color="auto"/>
              </w:divBdr>
              <w:divsChild>
                <w:div w:id="494030285">
                  <w:marLeft w:val="0"/>
                  <w:marRight w:val="0"/>
                  <w:marTop w:val="0"/>
                  <w:marBottom w:val="0"/>
                  <w:divBdr>
                    <w:top w:val="none" w:sz="0" w:space="0" w:color="auto"/>
                    <w:left w:val="none" w:sz="0" w:space="0" w:color="auto"/>
                    <w:bottom w:val="none" w:sz="0" w:space="0" w:color="auto"/>
                    <w:right w:val="none" w:sz="0" w:space="0" w:color="auto"/>
                  </w:divBdr>
                </w:div>
              </w:divsChild>
            </w:div>
            <w:div w:id="1486554714">
              <w:marLeft w:val="0"/>
              <w:marRight w:val="0"/>
              <w:marTop w:val="300"/>
              <w:marBottom w:val="300"/>
              <w:divBdr>
                <w:top w:val="none" w:sz="0" w:space="0" w:color="auto"/>
                <w:left w:val="none" w:sz="0" w:space="0" w:color="auto"/>
                <w:bottom w:val="none" w:sz="0" w:space="0" w:color="auto"/>
                <w:right w:val="none" w:sz="0" w:space="0" w:color="auto"/>
              </w:divBdr>
            </w:div>
            <w:div w:id="1491093534">
              <w:marLeft w:val="0"/>
              <w:marRight w:val="0"/>
              <w:marTop w:val="0"/>
              <w:marBottom w:val="0"/>
              <w:divBdr>
                <w:top w:val="none" w:sz="0" w:space="0" w:color="auto"/>
                <w:left w:val="none" w:sz="0" w:space="0" w:color="auto"/>
                <w:bottom w:val="none" w:sz="0" w:space="0" w:color="auto"/>
                <w:right w:val="none" w:sz="0" w:space="0" w:color="auto"/>
              </w:divBdr>
              <w:divsChild>
                <w:div w:id="831917973">
                  <w:marLeft w:val="0"/>
                  <w:marRight w:val="0"/>
                  <w:marTop w:val="0"/>
                  <w:marBottom w:val="0"/>
                  <w:divBdr>
                    <w:top w:val="none" w:sz="0" w:space="0" w:color="auto"/>
                    <w:left w:val="none" w:sz="0" w:space="0" w:color="auto"/>
                    <w:bottom w:val="none" w:sz="0" w:space="0" w:color="auto"/>
                    <w:right w:val="none" w:sz="0" w:space="0" w:color="auto"/>
                  </w:divBdr>
                </w:div>
              </w:divsChild>
            </w:div>
            <w:div w:id="1492059394">
              <w:marLeft w:val="0"/>
              <w:marRight w:val="0"/>
              <w:marTop w:val="0"/>
              <w:marBottom w:val="0"/>
              <w:divBdr>
                <w:top w:val="none" w:sz="0" w:space="0" w:color="auto"/>
                <w:left w:val="none" w:sz="0" w:space="0" w:color="auto"/>
                <w:bottom w:val="none" w:sz="0" w:space="0" w:color="auto"/>
                <w:right w:val="none" w:sz="0" w:space="0" w:color="auto"/>
              </w:divBdr>
              <w:divsChild>
                <w:div w:id="548763065">
                  <w:marLeft w:val="0"/>
                  <w:marRight w:val="0"/>
                  <w:marTop w:val="0"/>
                  <w:marBottom w:val="0"/>
                  <w:divBdr>
                    <w:top w:val="none" w:sz="0" w:space="0" w:color="auto"/>
                    <w:left w:val="none" w:sz="0" w:space="0" w:color="auto"/>
                    <w:bottom w:val="none" w:sz="0" w:space="0" w:color="auto"/>
                    <w:right w:val="none" w:sz="0" w:space="0" w:color="auto"/>
                  </w:divBdr>
                </w:div>
              </w:divsChild>
            </w:div>
            <w:div w:id="1493109416">
              <w:marLeft w:val="0"/>
              <w:marRight w:val="0"/>
              <w:marTop w:val="0"/>
              <w:marBottom w:val="0"/>
              <w:divBdr>
                <w:top w:val="none" w:sz="0" w:space="0" w:color="auto"/>
                <w:left w:val="none" w:sz="0" w:space="0" w:color="auto"/>
                <w:bottom w:val="none" w:sz="0" w:space="0" w:color="auto"/>
                <w:right w:val="none" w:sz="0" w:space="0" w:color="auto"/>
              </w:divBdr>
              <w:divsChild>
                <w:div w:id="348681733">
                  <w:marLeft w:val="0"/>
                  <w:marRight w:val="0"/>
                  <w:marTop w:val="0"/>
                  <w:marBottom w:val="0"/>
                  <w:divBdr>
                    <w:top w:val="none" w:sz="0" w:space="0" w:color="auto"/>
                    <w:left w:val="none" w:sz="0" w:space="0" w:color="auto"/>
                    <w:bottom w:val="none" w:sz="0" w:space="0" w:color="auto"/>
                    <w:right w:val="none" w:sz="0" w:space="0" w:color="auto"/>
                  </w:divBdr>
                </w:div>
              </w:divsChild>
            </w:div>
            <w:div w:id="1496413140">
              <w:marLeft w:val="0"/>
              <w:marRight w:val="0"/>
              <w:marTop w:val="300"/>
              <w:marBottom w:val="300"/>
              <w:divBdr>
                <w:top w:val="none" w:sz="0" w:space="0" w:color="auto"/>
                <w:left w:val="none" w:sz="0" w:space="0" w:color="auto"/>
                <w:bottom w:val="none" w:sz="0" w:space="0" w:color="auto"/>
                <w:right w:val="none" w:sz="0" w:space="0" w:color="auto"/>
              </w:divBdr>
            </w:div>
            <w:div w:id="1498350035">
              <w:marLeft w:val="0"/>
              <w:marRight w:val="0"/>
              <w:marTop w:val="0"/>
              <w:marBottom w:val="0"/>
              <w:divBdr>
                <w:top w:val="none" w:sz="0" w:space="0" w:color="auto"/>
                <w:left w:val="none" w:sz="0" w:space="0" w:color="auto"/>
                <w:bottom w:val="none" w:sz="0" w:space="0" w:color="auto"/>
                <w:right w:val="none" w:sz="0" w:space="0" w:color="auto"/>
              </w:divBdr>
              <w:divsChild>
                <w:div w:id="957681424">
                  <w:marLeft w:val="0"/>
                  <w:marRight w:val="0"/>
                  <w:marTop w:val="0"/>
                  <w:marBottom w:val="0"/>
                  <w:divBdr>
                    <w:top w:val="none" w:sz="0" w:space="0" w:color="auto"/>
                    <w:left w:val="none" w:sz="0" w:space="0" w:color="auto"/>
                    <w:bottom w:val="none" w:sz="0" w:space="0" w:color="auto"/>
                    <w:right w:val="none" w:sz="0" w:space="0" w:color="auto"/>
                  </w:divBdr>
                </w:div>
              </w:divsChild>
            </w:div>
            <w:div w:id="1498961490">
              <w:marLeft w:val="0"/>
              <w:marRight w:val="0"/>
              <w:marTop w:val="0"/>
              <w:marBottom w:val="0"/>
              <w:divBdr>
                <w:top w:val="none" w:sz="0" w:space="0" w:color="auto"/>
                <w:left w:val="none" w:sz="0" w:space="0" w:color="auto"/>
                <w:bottom w:val="none" w:sz="0" w:space="0" w:color="auto"/>
                <w:right w:val="none" w:sz="0" w:space="0" w:color="auto"/>
              </w:divBdr>
              <w:divsChild>
                <w:div w:id="172381336">
                  <w:marLeft w:val="0"/>
                  <w:marRight w:val="0"/>
                  <w:marTop w:val="0"/>
                  <w:marBottom w:val="0"/>
                  <w:divBdr>
                    <w:top w:val="none" w:sz="0" w:space="0" w:color="auto"/>
                    <w:left w:val="none" w:sz="0" w:space="0" w:color="auto"/>
                    <w:bottom w:val="none" w:sz="0" w:space="0" w:color="auto"/>
                    <w:right w:val="none" w:sz="0" w:space="0" w:color="auto"/>
                  </w:divBdr>
                </w:div>
              </w:divsChild>
            </w:div>
            <w:div w:id="1499735238">
              <w:marLeft w:val="0"/>
              <w:marRight w:val="0"/>
              <w:marTop w:val="0"/>
              <w:marBottom w:val="0"/>
              <w:divBdr>
                <w:top w:val="none" w:sz="0" w:space="0" w:color="auto"/>
                <w:left w:val="none" w:sz="0" w:space="0" w:color="auto"/>
                <w:bottom w:val="none" w:sz="0" w:space="0" w:color="auto"/>
                <w:right w:val="none" w:sz="0" w:space="0" w:color="auto"/>
              </w:divBdr>
              <w:divsChild>
                <w:div w:id="2053338576">
                  <w:marLeft w:val="0"/>
                  <w:marRight w:val="0"/>
                  <w:marTop w:val="0"/>
                  <w:marBottom w:val="0"/>
                  <w:divBdr>
                    <w:top w:val="none" w:sz="0" w:space="0" w:color="auto"/>
                    <w:left w:val="none" w:sz="0" w:space="0" w:color="auto"/>
                    <w:bottom w:val="none" w:sz="0" w:space="0" w:color="auto"/>
                    <w:right w:val="none" w:sz="0" w:space="0" w:color="auto"/>
                  </w:divBdr>
                </w:div>
              </w:divsChild>
            </w:div>
            <w:div w:id="1500774745">
              <w:marLeft w:val="0"/>
              <w:marRight w:val="0"/>
              <w:marTop w:val="0"/>
              <w:marBottom w:val="0"/>
              <w:divBdr>
                <w:top w:val="none" w:sz="0" w:space="0" w:color="auto"/>
                <w:left w:val="none" w:sz="0" w:space="0" w:color="auto"/>
                <w:bottom w:val="none" w:sz="0" w:space="0" w:color="auto"/>
                <w:right w:val="none" w:sz="0" w:space="0" w:color="auto"/>
              </w:divBdr>
              <w:divsChild>
                <w:div w:id="1161896758">
                  <w:marLeft w:val="0"/>
                  <w:marRight w:val="0"/>
                  <w:marTop w:val="0"/>
                  <w:marBottom w:val="0"/>
                  <w:divBdr>
                    <w:top w:val="none" w:sz="0" w:space="0" w:color="auto"/>
                    <w:left w:val="none" w:sz="0" w:space="0" w:color="auto"/>
                    <w:bottom w:val="none" w:sz="0" w:space="0" w:color="auto"/>
                    <w:right w:val="none" w:sz="0" w:space="0" w:color="auto"/>
                  </w:divBdr>
                </w:div>
              </w:divsChild>
            </w:div>
            <w:div w:id="1501580308">
              <w:marLeft w:val="0"/>
              <w:marRight w:val="0"/>
              <w:marTop w:val="0"/>
              <w:marBottom w:val="0"/>
              <w:divBdr>
                <w:top w:val="none" w:sz="0" w:space="0" w:color="auto"/>
                <w:left w:val="none" w:sz="0" w:space="0" w:color="auto"/>
                <w:bottom w:val="none" w:sz="0" w:space="0" w:color="auto"/>
                <w:right w:val="none" w:sz="0" w:space="0" w:color="auto"/>
              </w:divBdr>
              <w:divsChild>
                <w:div w:id="1500659695">
                  <w:marLeft w:val="0"/>
                  <w:marRight w:val="0"/>
                  <w:marTop w:val="0"/>
                  <w:marBottom w:val="0"/>
                  <w:divBdr>
                    <w:top w:val="none" w:sz="0" w:space="0" w:color="auto"/>
                    <w:left w:val="none" w:sz="0" w:space="0" w:color="auto"/>
                    <w:bottom w:val="none" w:sz="0" w:space="0" w:color="auto"/>
                    <w:right w:val="none" w:sz="0" w:space="0" w:color="auto"/>
                  </w:divBdr>
                </w:div>
              </w:divsChild>
            </w:div>
            <w:div w:id="1503085868">
              <w:marLeft w:val="0"/>
              <w:marRight w:val="0"/>
              <w:marTop w:val="0"/>
              <w:marBottom w:val="0"/>
              <w:divBdr>
                <w:top w:val="none" w:sz="0" w:space="0" w:color="auto"/>
                <w:left w:val="none" w:sz="0" w:space="0" w:color="auto"/>
                <w:bottom w:val="none" w:sz="0" w:space="0" w:color="auto"/>
                <w:right w:val="none" w:sz="0" w:space="0" w:color="auto"/>
              </w:divBdr>
              <w:divsChild>
                <w:div w:id="61831145">
                  <w:marLeft w:val="0"/>
                  <w:marRight w:val="0"/>
                  <w:marTop w:val="0"/>
                  <w:marBottom w:val="0"/>
                  <w:divBdr>
                    <w:top w:val="none" w:sz="0" w:space="0" w:color="auto"/>
                    <w:left w:val="none" w:sz="0" w:space="0" w:color="auto"/>
                    <w:bottom w:val="none" w:sz="0" w:space="0" w:color="auto"/>
                    <w:right w:val="none" w:sz="0" w:space="0" w:color="auto"/>
                  </w:divBdr>
                </w:div>
              </w:divsChild>
            </w:div>
            <w:div w:id="1503738003">
              <w:marLeft w:val="0"/>
              <w:marRight w:val="0"/>
              <w:marTop w:val="300"/>
              <w:marBottom w:val="300"/>
              <w:divBdr>
                <w:top w:val="none" w:sz="0" w:space="0" w:color="auto"/>
                <w:left w:val="none" w:sz="0" w:space="0" w:color="auto"/>
                <w:bottom w:val="none" w:sz="0" w:space="0" w:color="auto"/>
                <w:right w:val="none" w:sz="0" w:space="0" w:color="auto"/>
              </w:divBdr>
            </w:div>
            <w:div w:id="1504317962">
              <w:marLeft w:val="0"/>
              <w:marRight w:val="0"/>
              <w:marTop w:val="0"/>
              <w:marBottom w:val="0"/>
              <w:divBdr>
                <w:top w:val="none" w:sz="0" w:space="0" w:color="auto"/>
                <w:left w:val="none" w:sz="0" w:space="0" w:color="auto"/>
                <w:bottom w:val="none" w:sz="0" w:space="0" w:color="auto"/>
                <w:right w:val="none" w:sz="0" w:space="0" w:color="auto"/>
              </w:divBdr>
              <w:divsChild>
                <w:div w:id="1178690626">
                  <w:marLeft w:val="0"/>
                  <w:marRight w:val="0"/>
                  <w:marTop w:val="0"/>
                  <w:marBottom w:val="0"/>
                  <w:divBdr>
                    <w:top w:val="none" w:sz="0" w:space="0" w:color="auto"/>
                    <w:left w:val="none" w:sz="0" w:space="0" w:color="auto"/>
                    <w:bottom w:val="none" w:sz="0" w:space="0" w:color="auto"/>
                    <w:right w:val="none" w:sz="0" w:space="0" w:color="auto"/>
                  </w:divBdr>
                </w:div>
              </w:divsChild>
            </w:div>
            <w:div w:id="1505899388">
              <w:marLeft w:val="0"/>
              <w:marRight w:val="0"/>
              <w:marTop w:val="0"/>
              <w:marBottom w:val="0"/>
              <w:divBdr>
                <w:top w:val="none" w:sz="0" w:space="0" w:color="auto"/>
                <w:left w:val="none" w:sz="0" w:space="0" w:color="auto"/>
                <w:bottom w:val="none" w:sz="0" w:space="0" w:color="auto"/>
                <w:right w:val="none" w:sz="0" w:space="0" w:color="auto"/>
              </w:divBdr>
              <w:divsChild>
                <w:div w:id="2030522563">
                  <w:marLeft w:val="0"/>
                  <w:marRight w:val="0"/>
                  <w:marTop w:val="0"/>
                  <w:marBottom w:val="0"/>
                  <w:divBdr>
                    <w:top w:val="none" w:sz="0" w:space="0" w:color="auto"/>
                    <w:left w:val="none" w:sz="0" w:space="0" w:color="auto"/>
                    <w:bottom w:val="none" w:sz="0" w:space="0" w:color="auto"/>
                    <w:right w:val="none" w:sz="0" w:space="0" w:color="auto"/>
                  </w:divBdr>
                </w:div>
              </w:divsChild>
            </w:div>
            <w:div w:id="1508399610">
              <w:marLeft w:val="0"/>
              <w:marRight w:val="0"/>
              <w:marTop w:val="0"/>
              <w:marBottom w:val="0"/>
              <w:divBdr>
                <w:top w:val="none" w:sz="0" w:space="0" w:color="auto"/>
                <w:left w:val="none" w:sz="0" w:space="0" w:color="auto"/>
                <w:bottom w:val="none" w:sz="0" w:space="0" w:color="auto"/>
                <w:right w:val="none" w:sz="0" w:space="0" w:color="auto"/>
              </w:divBdr>
              <w:divsChild>
                <w:div w:id="897403121">
                  <w:marLeft w:val="0"/>
                  <w:marRight w:val="0"/>
                  <w:marTop w:val="0"/>
                  <w:marBottom w:val="0"/>
                  <w:divBdr>
                    <w:top w:val="none" w:sz="0" w:space="0" w:color="auto"/>
                    <w:left w:val="none" w:sz="0" w:space="0" w:color="auto"/>
                    <w:bottom w:val="none" w:sz="0" w:space="0" w:color="auto"/>
                    <w:right w:val="none" w:sz="0" w:space="0" w:color="auto"/>
                  </w:divBdr>
                </w:div>
              </w:divsChild>
            </w:div>
            <w:div w:id="1511412202">
              <w:marLeft w:val="0"/>
              <w:marRight w:val="0"/>
              <w:marTop w:val="0"/>
              <w:marBottom w:val="0"/>
              <w:divBdr>
                <w:top w:val="none" w:sz="0" w:space="0" w:color="auto"/>
                <w:left w:val="none" w:sz="0" w:space="0" w:color="auto"/>
                <w:bottom w:val="none" w:sz="0" w:space="0" w:color="auto"/>
                <w:right w:val="none" w:sz="0" w:space="0" w:color="auto"/>
              </w:divBdr>
              <w:divsChild>
                <w:div w:id="1323924047">
                  <w:marLeft w:val="0"/>
                  <w:marRight w:val="0"/>
                  <w:marTop w:val="0"/>
                  <w:marBottom w:val="0"/>
                  <w:divBdr>
                    <w:top w:val="none" w:sz="0" w:space="0" w:color="auto"/>
                    <w:left w:val="none" w:sz="0" w:space="0" w:color="auto"/>
                    <w:bottom w:val="none" w:sz="0" w:space="0" w:color="auto"/>
                    <w:right w:val="none" w:sz="0" w:space="0" w:color="auto"/>
                  </w:divBdr>
                </w:div>
              </w:divsChild>
            </w:div>
            <w:div w:id="1511987508">
              <w:marLeft w:val="0"/>
              <w:marRight w:val="0"/>
              <w:marTop w:val="0"/>
              <w:marBottom w:val="0"/>
              <w:divBdr>
                <w:top w:val="none" w:sz="0" w:space="0" w:color="auto"/>
                <w:left w:val="none" w:sz="0" w:space="0" w:color="auto"/>
                <w:bottom w:val="none" w:sz="0" w:space="0" w:color="auto"/>
                <w:right w:val="none" w:sz="0" w:space="0" w:color="auto"/>
              </w:divBdr>
              <w:divsChild>
                <w:div w:id="357589481">
                  <w:marLeft w:val="0"/>
                  <w:marRight w:val="0"/>
                  <w:marTop w:val="0"/>
                  <w:marBottom w:val="0"/>
                  <w:divBdr>
                    <w:top w:val="none" w:sz="0" w:space="0" w:color="auto"/>
                    <w:left w:val="none" w:sz="0" w:space="0" w:color="auto"/>
                    <w:bottom w:val="none" w:sz="0" w:space="0" w:color="auto"/>
                    <w:right w:val="none" w:sz="0" w:space="0" w:color="auto"/>
                  </w:divBdr>
                </w:div>
              </w:divsChild>
            </w:div>
            <w:div w:id="1512336889">
              <w:marLeft w:val="0"/>
              <w:marRight w:val="0"/>
              <w:marTop w:val="0"/>
              <w:marBottom w:val="0"/>
              <w:divBdr>
                <w:top w:val="none" w:sz="0" w:space="0" w:color="auto"/>
                <w:left w:val="none" w:sz="0" w:space="0" w:color="auto"/>
                <w:bottom w:val="none" w:sz="0" w:space="0" w:color="auto"/>
                <w:right w:val="none" w:sz="0" w:space="0" w:color="auto"/>
              </w:divBdr>
              <w:divsChild>
                <w:div w:id="23528877">
                  <w:marLeft w:val="0"/>
                  <w:marRight w:val="0"/>
                  <w:marTop w:val="0"/>
                  <w:marBottom w:val="0"/>
                  <w:divBdr>
                    <w:top w:val="none" w:sz="0" w:space="0" w:color="auto"/>
                    <w:left w:val="none" w:sz="0" w:space="0" w:color="auto"/>
                    <w:bottom w:val="none" w:sz="0" w:space="0" w:color="auto"/>
                    <w:right w:val="none" w:sz="0" w:space="0" w:color="auto"/>
                  </w:divBdr>
                </w:div>
              </w:divsChild>
            </w:div>
            <w:div w:id="1512378838">
              <w:marLeft w:val="0"/>
              <w:marRight w:val="0"/>
              <w:marTop w:val="0"/>
              <w:marBottom w:val="0"/>
              <w:divBdr>
                <w:top w:val="none" w:sz="0" w:space="0" w:color="auto"/>
                <w:left w:val="none" w:sz="0" w:space="0" w:color="auto"/>
                <w:bottom w:val="none" w:sz="0" w:space="0" w:color="auto"/>
                <w:right w:val="none" w:sz="0" w:space="0" w:color="auto"/>
              </w:divBdr>
              <w:divsChild>
                <w:div w:id="713115432">
                  <w:marLeft w:val="0"/>
                  <w:marRight w:val="0"/>
                  <w:marTop w:val="0"/>
                  <w:marBottom w:val="0"/>
                  <w:divBdr>
                    <w:top w:val="none" w:sz="0" w:space="0" w:color="auto"/>
                    <w:left w:val="none" w:sz="0" w:space="0" w:color="auto"/>
                    <w:bottom w:val="none" w:sz="0" w:space="0" w:color="auto"/>
                    <w:right w:val="none" w:sz="0" w:space="0" w:color="auto"/>
                  </w:divBdr>
                </w:div>
              </w:divsChild>
            </w:div>
            <w:div w:id="1515614613">
              <w:marLeft w:val="0"/>
              <w:marRight w:val="0"/>
              <w:marTop w:val="0"/>
              <w:marBottom w:val="0"/>
              <w:divBdr>
                <w:top w:val="none" w:sz="0" w:space="0" w:color="auto"/>
                <w:left w:val="none" w:sz="0" w:space="0" w:color="auto"/>
                <w:bottom w:val="none" w:sz="0" w:space="0" w:color="auto"/>
                <w:right w:val="none" w:sz="0" w:space="0" w:color="auto"/>
              </w:divBdr>
              <w:divsChild>
                <w:div w:id="107310684">
                  <w:marLeft w:val="0"/>
                  <w:marRight w:val="0"/>
                  <w:marTop w:val="0"/>
                  <w:marBottom w:val="0"/>
                  <w:divBdr>
                    <w:top w:val="none" w:sz="0" w:space="0" w:color="auto"/>
                    <w:left w:val="none" w:sz="0" w:space="0" w:color="auto"/>
                    <w:bottom w:val="none" w:sz="0" w:space="0" w:color="auto"/>
                    <w:right w:val="none" w:sz="0" w:space="0" w:color="auto"/>
                  </w:divBdr>
                </w:div>
              </w:divsChild>
            </w:div>
            <w:div w:id="1515916597">
              <w:marLeft w:val="0"/>
              <w:marRight w:val="0"/>
              <w:marTop w:val="0"/>
              <w:marBottom w:val="0"/>
              <w:divBdr>
                <w:top w:val="none" w:sz="0" w:space="0" w:color="auto"/>
                <w:left w:val="none" w:sz="0" w:space="0" w:color="auto"/>
                <w:bottom w:val="none" w:sz="0" w:space="0" w:color="auto"/>
                <w:right w:val="none" w:sz="0" w:space="0" w:color="auto"/>
              </w:divBdr>
              <w:divsChild>
                <w:div w:id="1804418014">
                  <w:marLeft w:val="0"/>
                  <w:marRight w:val="0"/>
                  <w:marTop w:val="0"/>
                  <w:marBottom w:val="0"/>
                  <w:divBdr>
                    <w:top w:val="none" w:sz="0" w:space="0" w:color="auto"/>
                    <w:left w:val="none" w:sz="0" w:space="0" w:color="auto"/>
                    <w:bottom w:val="none" w:sz="0" w:space="0" w:color="auto"/>
                    <w:right w:val="none" w:sz="0" w:space="0" w:color="auto"/>
                  </w:divBdr>
                </w:div>
              </w:divsChild>
            </w:div>
            <w:div w:id="1516118572">
              <w:marLeft w:val="0"/>
              <w:marRight w:val="0"/>
              <w:marTop w:val="0"/>
              <w:marBottom w:val="0"/>
              <w:divBdr>
                <w:top w:val="none" w:sz="0" w:space="0" w:color="auto"/>
                <w:left w:val="none" w:sz="0" w:space="0" w:color="auto"/>
                <w:bottom w:val="none" w:sz="0" w:space="0" w:color="auto"/>
                <w:right w:val="none" w:sz="0" w:space="0" w:color="auto"/>
              </w:divBdr>
              <w:divsChild>
                <w:div w:id="1681927023">
                  <w:marLeft w:val="0"/>
                  <w:marRight w:val="0"/>
                  <w:marTop w:val="0"/>
                  <w:marBottom w:val="0"/>
                  <w:divBdr>
                    <w:top w:val="none" w:sz="0" w:space="0" w:color="auto"/>
                    <w:left w:val="none" w:sz="0" w:space="0" w:color="auto"/>
                    <w:bottom w:val="none" w:sz="0" w:space="0" w:color="auto"/>
                    <w:right w:val="none" w:sz="0" w:space="0" w:color="auto"/>
                  </w:divBdr>
                </w:div>
              </w:divsChild>
            </w:div>
            <w:div w:id="1516771538">
              <w:marLeft w:val="0"/>
              <w:marRight w:val="0"/>
              <w:marTop w:val="0"/>
              <w:marBottom w:val="0"/>
              <w:divBdr>
                <w:top w:val="none" w:sz="0" w:space="0" w:color="auto"/>
                <w:left w:val="none" w:sz="0" w:space="0" w:color="auto"/>
                <w:bottom w:val="none" w:sz="0" w:space="0" w:color="auto"/>
                <w:right w:val="none" w:sz="0" w:space="0" w:color="auto"/>
              </w:divBdr>
              <w:divsChild>
                <w:div w:id="1954238709">
                  <w:marLeft w:val="0"/>
                  <w:marRight w:val="0"/>
                  <w:marTop w:val="0"/>
                  <w:marBottom w:val="0"/>
                  <w:divBdr>
                    <w:top w:val="none" w:sz="0" w:space="0" w:color="auto"/>
                    <w:left w:val="none" w:sz="0" w:space="0" w:color="auto"/>
                    <w:bottom w:val="none" w:sz="0" w:space="0" w:color="auto"/>
                    <w:right w:val="none" w:sz="0" w:space="0" w:color="auto"/>
                  </w:divBdr>
                </w:div>
              </w:divsChild>
            </w:div>
            <w:div w:id="1520309664">
              <w:marLeft w:val="0"/>
              <w:marRight w:val="0"/>
              <w:marTop w:val="0"/>
              <w:marBottom w:val="0"/>
              <w:divBdr>
                <w:top w:val="none" w:sz="0" w:space="0" w:color="auto"/>
                <w:left w:val="none" w:sz="0" w:space="0" w:color="auto"/>
                <w:bottom w:val="none" w:sz="0" w:space="0" w:color="auto"/>
                <w:right w:val="none" w:sz="0" w:space="0" w:color="auto"/>
              </w:divBdr>
              <w:divsChild>
                <w:div w:id="1021318164">
                  <w:marLeft w:val="0"/>
                  <w:marRight w:val="0"/>
                  <w:marTop w:val="0"/>
                  <w:marBottom w:val="0"/>
                  <w:divBdr>
                    <w:top w:val="none" w:sz="0" w:space="0" w:color="auto"/>
                    <w:left w:val="none" w:sz="0" w:space="0" w:color="auto"/>
                    <w:bottom w:val="none" w:sz="0" w:space="0" w:color="auto"/>
                    <w:right w:val="none" w:sz="0" w:space="0" w:color="auto"/>
                  </w:divBdr>
                </w:div>
              </w:divsChild>
            </w:div>
            <w:div w:id="1520700410">
              <w:marLeft w:val="0"/>
              <w:marRight w:val="0"/>
              <w:marTop w:val="300"/>
              <w:marBottom w:val="300"/>
              <w:divBdr>
                <w:top w:val="none" w:sz="0" w:space="0" w:color="auto"/>
                <w:left w:val="none" w:sz="0" w:space="0" w:color="auto"/>
                <w:bottom w:val="none" w:sz="0" w:space="0" w:color="auto"/>
                <w:right w:val="none" w:sz="0" w:space="0" w:color="auto"/>
              </w:divBdr>
            </w:div>
            <w:div w:id="1522090881">
              <w:marLeft w:val="0"/>
              <w:marRight w:val="0"/>
              <w:marTop w:val="0"/>
              <w:marBottom w:val="0"/>
              <w:divBdr>
                <w:top w:val="none" w:sz="0" w:space="0" w:color="auto"/>
                <w:left w:val="none" w:sz="0" w:space="0" w:color="auto"/>
                <w:bottom w:val="none" w:sz="0" w:space="0" w:color="auto"/>
                <w:right w:val="none" w:sz="0" w:space="0" w:color="auto"/>
              </w:divBdr>
              <w:divsChild>
                <w:div w:id="28729910">
                  <w:marLeft w:val="0"/>
                  <w:marRight w:val="0"/>
                  <w:marTop w:val="0"/>
                  <w:marBottom w:val="0"/>
                  <w:divBdr>
                    <w:top w:val="none" w:sz="0" w:space="0" w:color="auto"/>
                    <w:left w:val="none" w:sz="0" w:space="0" w:color="auto"/>
                    <w:bottom w:val="none" w:sz="0" w:space="0" w:color="auto"/>
                    <w:right w:val="none" w:sz="0" w:space="0" w:color="auto"/>
                  </w:divBdr>
                </w:div>
              </w:divsChild>
            </w:div>
            <w:div w:id="1522431457">
              <w:marLeft w:val="0"/>
              <w:marRight w:val="0"/>
              <w:marTop w:val="0"/>
              <w:marBottom w:val="0"/>
              <w:divBdr>
                <w:top w:val="none" w:sz="0" w:space="0" w:color="auto"/>
                <w:left w:val="none" w:sz="0" w:space="0" w:color="auto"/>
                <w:bottom w:val="none" w:sz="0" w:space="0" w:color="auto"/>
                <w:right w:val="none" w:sz="0" w:space="0" w:color="auto"/>
              </w:divBdr>
              <w:divsChild>
                <w:div w:id="895969023">
                  <w:marLeft w:val="0"/>
                  <w:marRight w:val="0"/>
                  <w:marTop w:val="0"/>
                  <w:marBottom w:val="0"/>
                  <w:divBdr>
                    <w:top w:val="none" w:sz="0" w:space="0" w:color="auto"/>
                    <w:left w:val="none" w:sz="0" w:space="0" w:color="auto"/>
                    <w:bottom w:val="none" w:sz="0" w:space="0" w:color="auto"/>
                    <w:right w:val="none" w:sz="0" w:space="0" w:color="auto"/>
                  </w:divBdr>
                </w:div>
              </w:divsChild>
            </w:div>
            <w:div w:id="1523936047">
              <w:marLeft w:val="0"/>
              <w:marRight w:val="0"/>
              <w:marTop w:val="0"/>
              <w:marBottom w:val="0"/>
              <w:divBdr>
                <w:top w:val="none" w:sz="0" w:space="0" w:color="auto"/>
                <w:left w:val="none" w:sz="0" w:space="0" w:color="auto"/>
                <w:bottom w:val="none" w:sz="0" w:space="0" w:color="auto"/>
                <w:right w:val="none" w:sz="0" w:space="0" w:color="auto"/>
              </w:divBdr>
              <w:divsChild>
                <w:div w:id="1993945017">
                  <w:marLeft w:val="0"/>
                  <w:marRight w:val="0"/>
                  <w:marTop w:val="0"/>
                  <w:marBottom w:val="0"/>
                  <w:divBdr>
                    <w:top w:val="none" w:sz="0" w:space="0" w:color="auto"/>
                    <w:left w:val="none" w:sz="0" w:space="0" w:color="auto"/>
                    <w:bottom w:val="none" w:sz="0" w:space="0" w:color="auto"/>
                    <w:right w:val="none" w:sz="0" w:space="0" w:color="auto"/>
                  </w:divBdr>
                </w:div>
              </w:divsChild>
            </w:div>
            <w:div w:id="1524512849">
              <w:marLeft w:val="0"/>
              <w:marRight w:val="0"/>
              <w:marTop w:val="0"/>
              <w:marBottom w:val="0"/>
              <w:divBdr>
                <w:top w:val="none" w:sz="0" w:space="0" w:color="auto"/>
                <w:left w:val="none" w:sz="0" w:space="0" w:color="auto"/>
                <w:bottom w:val="none" w:sz="0" w:space="0" w:color="auto"/>
                <w:right w:val="none" w:sz="0" w:space="0" w:color="auto"/>
              </w:divBdr>
              <w:divsChild>
                <w:div w:id="516239672">
                  <w:marLeft w:val="0"/>
                  <w:marRight w:val="0"/>
                  <w:marTop w:val="0"/>
                  <w:marBottom w:val="0"/>
                  <w:divBdr>
                    <w:top w:val="none" w:sz="0" w:space="0" w:color="auto"/>
                    <w:left w:val="none" w:sz="0" w:space="0" w:color="auto"/>
                    <w:bottom w:val="none" w:sz="0" w:space="0" w:color="auto"/>
                    <w:right w:val="none" w:sz="0" w:space="0" w:color="auto"/>
                  </w:divBdr>
                </w:div>
              </w:divsChild>
            </w:div>
            <w:div w:id="1525091988">
              <w:marLeft w:val="0"/>
              <w:marRight w:val="0"/>
              <w:marTop w:val="0"/>
              <w:marBottom w:val="0"/>
              <w:divBdr>
                <w:top w:val="none" w:sz="0" w:space="0" w:color="auto"/>
                <w:left w:val="none" w:sz="0" w:space="0" w:color="auto"/>
                <w:bottom w:val="none" w:sz="0" w:space="0" w:color="auto"/>
                <w:right w:val="none" w:sz="0" w:space="0" w:color="auto"/>
              </w:divBdr>
              <w:divsChild>
                <w:div w:id="2069523813">
                  <w:marLeft w:val="0"/>
                  <w:marRight w:val="0"/>
                  <w:marTop w:val="0"/>
                  <w:marBottom w:val="0"/>
                  <w:divBdr>
                    <w:top w:val="none" w:sz="0" w:space="0" w:color="auto"/>
                    <w:left w:val="none" w:sz="0" w:space="0" w:color="auto"/>
                    <w:bottom w:val="none" w:sz="0" w:space="0" w:color="auto"/>
                    <w:right w:val="none" w:sz="0" w:space="0" w:color="auto"/>
                  </w:divBdr>
                </w:div>
              </w:divsChild>
            </w:div>
            <w:div w:id="1526753122">
              <w:marLeft w:val="0"/>
              <w:marRight w:val="0"/>
              <w:marTop w:val="0"/>
              <w:marBottom w:val="0"/>
              <w:divBdr>
                <w:top w:val="none" w:sz="0" w:space="0" w:color="auto"/>
                <w:left w:val="none" w:sz="0" w:space="0" w:color="auto"/>
                <w:bottom w:val="none" w:sz="0" w:space="0" w:color="auto"/>
                <w:right w:val="none" w:sz="0" w:space="0" w:color="auto"/>
              </w:divBdr>
              <w:divsChild>
                <w:div w:id="917524071">
                  <w:marLeft w:val="0"/>
                  <w:marRight w:val="0"/>
                  <w:marTop w:val="0"/>
                  <w:marBottom w:val="0"/>
                  <w:divBdr>
                    <w:top w:val="none" w:sz="0" w:space="0" w:color="auto"/>
                    <w:left w:val="none" w:sz="0" w:space="0" w:color="auto"/>
                    <w:bottom w:val="none" w:sz="0" w:space="0" w:color="auto"/>
                    <w:right w:val="none" w:sz="0" w:space="0" w:color="auto"/>
                  </w:divBdr>
                </w:div>
              </w:divsChild>
            </w:div>
            <w:div w:id="1527140106">
              <w:marLeft w:val="0"/>
              <w:marRight w:val="0"/>
              <w:marTop w:val="300"/>
              <w:marBottom w:val="300"/>
              <w:divBdr>
                <w:top w:val="none" w:sz="0" w:space="0" w:color="auto"/>
                <w:left w:val="none" w:sz="0" w:space="0" w:color="auto"/>
                <w:bottom w:val="none" w:sz="0" w:space="0" w:color="auto"/>
                <w:right w:val="none" w:sz="0" w:space="0" w:color="auto"/>
              </w:divBdr>
            </w:div>
            <w:div w:id="1528786087">
              <w:marLeft w:val="0"/>
              <w:marRight w:val="0"/>
              <w:marTop w:val="0"/>
              <w:marBottom w:val="0"/>
              <w:divBdr>
                <w:top w:val="none" w:sz="0" w:space="0" w:color="auto"/>
                <w:left w:val="none" w:sz="0" w:space="0" w:color="auto"/>
                <w:bottom w:val="none" w:sz="0" w:space="0" w:color="auto"/>
                <w:right w:val="none" w:sz="0" w:space="0" w:color="auto"/>
              </w:divBdr>
              <w:divsChild>
                <w:div w:id="1512528551">
                  <w:marLeft w:val="0"/>
                  <w:marRight w:val="0"/>
                  <w:marTop w:val="0"/>
                  <w:marBottom w:val="0"/>
                  <w:divBdr>
                    <w:top w:val="none" w:sz="0" w:space="0" w:color="auto"/>
                    <w:left w:val="none" w:sz="0" w:space="0" w:color="auto"/>
                    <w:bottom w:val="none" w:sz="0" w:space="0" w:color="auto"/>
                    <w:right w:val="none" w:sz="0" w:space="0" w:color="auto"/>
                  </w:divBdr>
                </w:div>
              </w:divsChild>
            </w:div>
            <w:div w:id="1529641328">
              <w:marLeft w:val="0"/>
              <w:marRight w:val="0"/>
              <w:marTop w:val="0"/>
              <w:marBottom w:val="0"/>
              <w:divBdr>
                <w:top w:val="none" w:sz="0" w:space="0" w:color="auto"/>
                <w:left w:val="none" w:sz="0" w:space="0" w:color="auto"/>
                <w:bottom w:val="none" w:sz="0" w:space="0" w:color="auto"/>
                <w:right w:val="none" w:sz="0" w:space="0" w:color="auto"/>
              </w:divBdr>
              <w:divsChild>
                <w:div w:id="1237201445">
                  <w:marLeft w:val="0"/>
                  <w:marRight w:val="0"/>
                  <w:marTop w:val="0"/>
                  <w:marBottom w:val="0"/>
                  <w:divBdr>
                    <w:top w:val="none" w:sz="0" w:space="0" w:color="auto"/>
                    <w:left w:val="none" w:sz="0" w:space="0" w:color="auto"/>
                    <w:bottom w:val="none" w:sz="0" w:space="0" w:color="auto"/>
                    <w:right w:val="none" w:sz="0" w:space="0" w:color="auto"/>
                  </w:divBdr>
                </w:div>
              </w:divsChild>
            </w:div>
            <w:div w:id="1530796138">
              <w:marLeft w:val="0"/>
              <w:marRight w:val="0"/>
              <w:marTop w:val="0"/>
              <w:marBottom w:val="0"/>
              <w:divBdr>
                <w:top w:val="none" w:sz="0" w:space="0" w:color="auto"/>
                <w:left w:val="none" w:sz="0" w:space="0" w:color="auto"/>
                <w:bottom w:val="none" w:sz="0" w:space="0" w:color="auto"/>
                <w:right w:val="none" w:sz="0" w:space="0" w:color="auto"/>
              </w:divBdr>
              <w:divsChild>
                <w:div w:id="446698036">
                  <w:marLeft w:val="0"/>
                  <w:marRight w:val="0"/>
                  <w:marTop w:val="0"/>
                  <w:marBottom w:val="0"/>
                  <w:divBdr>
                    <w:top w:val="none" w:sz="0" w:space="0" w:color="auto"/>
                    <w:left w:val="none" w:sz="0" w:space="0" w:color="auto"/>
                    <w:bottom w:val="none" w:sz="0" w:space="0" w:color="auto"/>
                    <w:right w:val="none" w:sz="0" w:space="0" w:color="auto"/>
                  </w:divBdr>
                </w:div>
              </w:divsChild>
            </w:div>
            <w:div w:id="1531720560">
              <w:marLeft w:val="0"/>
              <w:marRight w:val="0"/>
              <w:marTop w:val="0"/>
              <w:marBottom w:val="0"/>
              <w:divBdr>
                <w:top w:val="none" w:sz="0" w:space="0" w:color="auto"/>
                <w:left w:val="none" w:sz="0" w:space="0" w:color="auto"/>
                <w:bottom w:val="none" w:sz="0" w:space="0" w:color="auto"/>
                <w:right w:val="none" w:sz="0" w:space="0" w:color="auto"/>
              </w:divBdr>
              <w:divsChild>
                <w:div w:id="1848523789">
                  <w:marLeft w:val="0"/>
                  <w:marRight w:val="0"/>
                  <w:marTop w:val="0"/>
                  <w:marBottom w:val="0"/>
                  <w:divBdr>
                    <w:top w:val="none" w:sz="0" w:space="0" w:color="auto"/>
                    <w:left w:val="none" w:sz="0" w:space="0" w:color="auto"/>
                    <w:bottom w:val="none" w:sz="0" w:space="0" w:color="auto"/>
                    <w:right w:val="none" w:sz="0" w:space="0" w:color="auto"/>
                  </w:divBdr>
                </w:div>
              </w:divsChild>
            </w:div>
            <w:div w:id="1533109177">
              <w:marLeft w:val="0"/>
              <w:marRight w:val="0"/>
              <w:marTop w:val="0"/>
              <w:marBottom w:val="0"/>
              <w:divBdr>
                <w:top w:val="none" w:sz="0" w:space="0" w:color="auto"/>
                <w:left w:val="none" w:sz="0" w:space="0" w:color="auto"/>
                <w:bottom w:val="none" w:sz="0" w:space="0" w:color="auto"/>
                <w:right w:val="none" w:sz="0" w:space="0" w:color="auto"/>
              </w:divBdr>
              <w:divsChild>
                <w:div w:id="1487089032">
                  <w:marLeft w:val="0"/>
                  <w:marRight w:val="0"/>
                  <w:marTop w:val="0"/>
                  <w:marBottom w:val="0"/>
                  <w:divBdr>
                    <w:top w:val="none" w:sz="0" w:space="0" w:color="auto"/>
                    <w:left w:val="none" w:sz="0" w:space="0" w:color="auto"/>
                    <w:bottom w:val="none" w:sz="0" w:space="0" w:color="auto"/>
                    <w:right w:val="none" w:sz="0" w:space="0" w:color="auto"/>
                  </w:divBdr>
                </w:div>
              </w:divsChild>
            </w:div>
            <w:div w:id="1535195196">
              <w:marLeft w:val="0"/>
              <w:marRight w:val="0"/>
              <w:marTop w:val="0"/>
              <w:marBottom w:val="0"/>
              <w:divBdr>
                <w:top w:val="none" w:sz="0" w:space="0" w:color="auto"/>
                <w:left w:val="none" w:sz="0" w:space="0" w:color="auto"/>
                <w:bottom w:val="none" w:sz="0" w:space="0" w:color="auto"/>
                <w:right w:val="none" w:sz="0" w:space="0" w:color="auto"/>
              </w:divBdr>
              <w:divsChild>
                <w:div w:id="1459911734">
                  <w:marLeft w:val="0"/>
                  <w:marRight w:val="0"/>
                  <w:marTop w:val="0"/>
                  <w:marBottom w:val="0"/>
                  <w:divBdr>
                    <w:top w:val="none" w:sz="0" w:space="0" w:color="auto"/>
                    <w:left w:val="none" w:sz="0" w:space="0" w:color="auto"/>
                    <w:bottom w:val="none" w:sz="0" w:space="0" w:color="auto"/>
                    <w:right w:val="none" w:sz="0" w:space="0" w:color="auto"/>
                  </w:divBdr>
                </w:div>
              </w:divsChild>
            </w:div>
            <w:div w:id="1535463242">
              <w:marLeft w:val="0"/>
              <w:marRight w:val="0"/>
              <w:marTop w:val="300"/>
              <w:marBottom w:val="300"/>
              <w:divBdr>
                <w:top w:val="none" w:sz="0" w:space="0" w:color="auto"/>
                <w:left w:val="none" w:sz="0" w:space="0" w:color="auto"/>
                <w:bottom w:val="none" w:sz="0" w:space="0" w:color="auto"/>
                <w:right w:val="none" w:sz="0" w:space="0" w:color="auto"/>
              </w:divBdr>
            </w:div>
            <w:div w:id="1535577930">
              <w:marLeft w:val="0"/>
              <w:marRight w:val="0"/>
              <w:marTop w:val="0"/>
              <w:marBottom w:val="0"/>
              <w:divBdr>
                <w:top w:val="none" w:sz="0" w:space="0" w:color="auto"/>
                <w:left w:val="none" w:sz="0" w:space="0" w:color="auto"/>
                <w:bottom w:val="none" w:sz="0" w:space="0" w:color="auto"/>
                <w:right w:val="none" w:sz="0" w:space="0" w:color="auto"/>
              </w:divBdr>
              <w:divsChild>
                <w:div w:id="1301571677">
                  <w:marLeft w:val="0"/>
                  <w:marRight w:val="0"/>
                  <w:marTop w:val="0"/>
                  <w:marBottom w:val="0"/>
                  <w:divBdr>
                    <w:top w:val="none" w:sz="0" w:space="0" w:color="auto"/>
                    <w:left w:val="none" w:sz="0" w:space="0" w:color="auto"/>
                    <w:bottom w:val="none" w:sz="0" w:space="0" w:color="auto"/>
                    <w:right w:val="none" w:sz="0" w:space="0" w:color="auto"/>
                  </w:divBdr>
                </w:div>
              </w:divsChild>
            </w:div>
            <w:div w:id="1536582391">
              <w:marLeft w:val="0"/>
              <w:marRight w:val="0"/>
              <w:marTop w:val="0"/>
              <w:marBottom w:val="0"/>
              <w:divBdr>
                <w:top w:val="none" w:sz="0" w:space="0" w:color="auto"/>
                <w:left w:val="none" w:sz="0" w:space="0" w:color="auto"/>
                <w:bottom w:val="none" w:sz="0" w:space="0" w:color="auto"/>
                <w:right w:val="none" w:sz="0" w:space="0" w:color="auto"/>
              </w:divBdr>
              <w:divsChild>
                <w:div w:id="85344770">
                  <w:marLeft w:val="0"/>
                  <w:marRight w:val="0"/>
                  <w:marTop w:val="0"/>
                  <w:marBottom w:val="0"/>
                  <w:divBdr>
                    <w:top w:val="none" w:sz="0" w:space="0" w:color="auto"/>
                    <w:left w:val="none" w:sz="0" w:space="0" w:color="auto"/>
                    <w:bottom w:val="none" w:sz="0" w:space="0" w:color="auto"/>
                    <w:right w:val="none" w:sz="0" w:space="0" w:color="auto"/>
                  </w:divBdr>
                </w:div>
              </w:divsChild>
            </w:div>
            <w:div w:id="1538160378">
              <w:marLeft w:val="0"/>
              <w:marRight w:val="0"/>
              <w:marTop w:val="0"/>
              <w:marBottom w:val="0"/>
              <w:divBdr>
                <w:top w:val="none" w:sz="0" w:space="0" w:color="auto"/>
                <w:left w:val="none" w:sz="0" w:space="0" w:color="auto"/>
                <w:bottom w:val="none" w:sz="0" w:space="0" w:color="auto"/>
                <w:right w:val="none" w:sz="0" w:space="0" w:color="auto"/>
              </w:divBdr>
              <w:divsChild>
                <w:div w:id="285433251">
                  <w:marLeft w:val="0"/>
                  <w:marRight w:val="0"/>
                  <w:marTop w:val="0"/>
                  <w:marBottom w:val="0"/>
                  <w:divBdr>
                    <w:top w:val="none" w:sz="0" w:space="0" w:color="auto"/>
                    <w:left w:val="none" w:sz="0" w:space="0" w:color="auto"/>
                    <w:bottom w:val="none" w:sz="0" w:space="0" w:color="auto"/>
                    <w:right w:val="none" w:sz="0" w:space="0" w:color="auto"/>
                  </w:divBdr>
                </w:div>
              </w:divsChild>
            </w:div>
            <w:div w:id="1541162968">
              <w:marLeft w:val="0"/>
              <w:marRight w:val="0"/>
              <w:marTop w:val="0"/>
              <w:marBottom w:val="0"/>
              <w:divBdr>
                <w:top w:val="none" w:sz="0" w:space="0" w:color="auto"/>
                <w:left w:val="none" w:sz="0" w:space="0" w:color="auto"/>
                <w:bottom w:val="none" w:sz="0" w:space="0" w:color="auto"/>
                <w:right w:val="none" w:sz="0" w:space="0" w:color="auto"/>
              </w:divBdr>
              <w:divsChild>
                <w:div w:id="62147745">
                  <w:marLeft w:val="0"/>
                  <w:marRight w:val="0"/>
                  <w:marTop w:val="0"/>
                  <w:marBottom w:val="0"/>
                  <w:divBdr>
                    <w:top w:val="none" w:sz="0" w:space="0" w:color="auto"/>
                    <w:left w:val="none" w:sz="0" w:space="0" w:color="auto"/>
                    <w:bottom w:val="none" w:sz="0" w:space="0" w:color="auto"/>
                    <w:right w:val="none" w:sz="0" w:space="0" w:color="auto"/>
                  </w:divBdr>
                </w:div>
              </w:divsChild>
            </w:div>
            <w:div w:id="1541697794">
              <w:marLeft w:val="0"/>
              <w:marRight w:val="0"/>
              <w:marTop w:val="0"/>
              <w:marBottom w:val="0"/>
              <w:divBdr>
                <w:top w:val="none" w:sz="0" w:space="0" w:color="auto"/>
                <w:left w:val="none" w:sz="0" w:space="0" w:color="auto"/>
                <w:bottom w:val="none" w:sz="0" w:space="0" w:color="auto"/>
                <w:right w:val="none" w:sz="0" w:space="0" w:color="auto"/>
              </w:divBdr>
              <w:divsChild>
                <w:div w:id="862087558">
                  <w:marLeft w:val="0"/>
                  <w:marRight w:val="0"/>
                  <w:marTop w:val="0"/>
                  <w:marBottom w:val="0"/>
                  <w:divBdr>
                    <w:top w:val="none" w:sz="0" w:space="0" w:color="auto"/>
                    <w:left w:val="none" w:sz="0" w:space="0" w:color="auto"/>
                    <w:bottom w:val="none" w:sz="0" w:space="0" w:color="auto"/>
                    <w:right w:val="none" w:sz="0" w:space="0" w:color="auto"/>
                  </w:divBdr>
                </w:div>
              </w:divsChild>
            </w:div>
            <w:div w:id="1544290610">
              <w:marLeft w:val="0"/>
              <w:marRight w:val="0"/>
              <w:marTop w:val="0"/>
              <w:marBottom w:val="0"/>
              <w:divBdr>
                <w:top w:val="none" w:sz="0" w:space="0" w:color="auto"/>
                <w:left w:val="none" w:sz="0" w:space="0" w:color="auto"/>
                <w:bottom w:val="none" w:sz="0" w:space="0" w:color="auto"/>
                <w:right w:val="none" w:sz="0" w:space="0" w:color="auto"/>
              </w:divBdr>
              <w:divsChild>
                <w:div w:id="658776973">
                  <w:marLeft w:val="0"/>
                  <w:marRight w:val="0"/>
                  <w:marTop w:val="0"/>
                  <w:marBottom w:val="0"/>
                  <w:divBdr>
                    <w:top w:val="none" w:sz="0" w:space="0" w:color="auto"/>
                    <w:left w:val="none" w:sz="0" w:space="0" w:color="auto"/>
                    <w:bottom w:val="none" w:sz="0" w:space="0" w:color="auto"/>
                    <w:right w:val="none" w:sz="0" w:space="0" w:color="auto"/>
                  </w:divBdr>
                </w:div>
              </w:divsChild>
            </w:div>
            <w:div w:id="1544363251">
              <w:marLeft w:val="0"/>
              <w:marRight w:val="0"/>
              <w:marTop w:val="0"/>
              <w:marBottom w:val="0"/>
              <w:divBdr>
                <w:top w:val="none" w:sz="0" w:space="0" w:color="auto"/>
                <w:left w:val="none" w:sz="0" w:space="0" w:color="auto"/>
                <w:bottom w:val="none" w:sz="0" w:space="0" w:color="auto"/>
                <w:right w:val="none" w:sz="0" w:space="0" w:color="auto"/>
              </w:divBdr>
              <w:divsChild>
                <w:div w:id="1039821163">
                  <w:marLeft w:val="0"/>
                  <w:marRight w:val="0"/>
                  <w:marTop w:val="0"/>
                  <w:marBottom w:val="0"/>
                  <w:divBdr>
                    <w:top w:val="none" w:sz="0" w:space="0" w:color="auto"/>
                    <w:left w:val="none" w:sz="0" w:space="0" w:color="auto"/>
                    <w:bottom w:val="none" w:sz="0" w:space="0" w:color="auto"/>
                    <w:right w:val="none" w:sz="0" w:space="0" w:color="auto"/>
                  </w:divBdr>
                </w:div>
              </w:divsChild>
            </w:div>
            <w:div w:id="1544370739">
              <w:marLeft w:val="0"/>
              <w:marRight w:val="0"/>
              <w:marTop w:val="0"/>
              <w:marBottom w:val="0"/>
              <w:divBdr>
                <w:top w:val="none" w:sz="0" w:space="0" w:color="auto"/>
                <w:left w:val="none" w:sz="0" w:space="0" w:color="auto"/>
                <w:bottom w:val="none" w:sz="0" w:space="0" w:color="auto"/>
                <w:right w:val="none" w:sz="0" w:space="0" w:color="auto"/>
              </w:divBdr>
              <w:divsChild>
                <w:div w:id="377242461">
                  <w:marLeft w:val="0"/>
                  <w:marRight w:val="0"/>
                  <w:marTop w:val="0"/>
                  <w:marBottom w:val="0"/>
                  <w:divBdr>
                    <w:top w:val="none" w:sz="0" w:space="0" w:color="auto"/>
                    <w:left w:val="none" w:sz="0" w:space="0" w:color="auto"/>
                    <w:bottom w:val="none" w:sz="0" w:space="0" w:color="auto"/>
                    <w:right w:val="none" w:sz="0" w:space="0" w:color="auto"/>
                  </w:divBdr>
                </w:div>
              </w:divsChild>
            </w:div>
            <w:div w:id="1546522347">
              <w:marLeft w:val="0"/>
              <w:marRight w:val="0"/>
              <w:marTop w:val="0"/>
              <w:marBottom w:val="0"/>
              <w:divBdr>
                <w:top w:val="none" w:sz="0" w:space="0" w:color="auto"/>
                <w:left w:val="none" w:sz="0" w:space="0" w:color="auto"/>
                <w:bottom w:val="none" w:sz="0" w:space="0" w:color="auto"/>
                <w:right w:val="none" w:sz="0" w:space="0" w:color="auto"/>
              </w:divBdr>
              <w:divsChild>
                <w:div w:id="1041056094">
                  <w:marLeft w:val="0"/>
                  <w:marRight w:val="0"/>
                  <w:marTop w:val="0"/>
                  <w:marBottom w:val="0"/>
                  <w:divBdr>
                    <w:top w:val="none" w:sz="0" w:space="0" w:color="auto"/>
                    <w:left w:val="none" w:sz="0" w:space="0" w:color="auto"/>
                    <w:bottom w:val="none" w:sz="0" w:space="0" w:color="auto"/>
                    <w:right w:val="none" w:sz="0" w:space="0" w:color="auto"/>
                  </w:divBdr>
                </w:div>
              </w:divsChild>
            </w:div>
            <w:div w:id="1546721219">
              <w:marLeft w:val="0"/>
              <w:marRight w:val="0"/>
              <w:marTop w:val="0"/>
              <w:marBottom w:val="0"/>
              <w:divBdr>
                <w:top w:val="none" w:sz="0" w:space="0" w:color="auto"/>
                <w:left w:val="none" w:sz="0" w:space="0" w:color="auto"/>
                <w:bottom w:val="none" w:sz="0" w:space="0" w:color="auto"/>
                <w:right w:val="none" w:sz="0" w:space="0" w:color="auto"/>
              </w:divBdr>
              <w:divsChild>
                <w:div w:id="177354281">
                  <w:marLeft w:val="0"/>
                  <w:marRight w:val="0"/>
                  <w:marTop w:val="0"/>
                  <w:marBottom w:val="0"/>
                  <w:divBdr>
                    <w:top w:val="none" w:sz="0" w:space="0" w:color="auto"/>
                    <w:left w:val="none" w:sz="0" w:space="0" w:color="auto"/>
                    <w:bottom w:val="none" w:sz="0" w:space="0" w:color="auto"/>
                    <w:right w:val="none" w:sz="0" w:space="0" w:color="auto"/>
                  </w:divBdr>
                </w:div>
              </w:divsChild>
            </w:div>
            <w:div w:id="1549796870">
              <w:marLeft w:val="0"/>
              <w:marRight w:val="0"/>
              <w:marTop w:val="0"/>
              <w:marBottom w:val="0"/>
              <w:divBdr>
                <w:top w:val="none" w:sz="0" w:space="0" w:color="auto"/>
                <w:left w:val="none" w:sz="0" w:space="0" w:color="auto"/>
                <w:bottom w:val="none" w:sz="0" w:space="0" w:color="auto"/>
                <w:right w:val="none" w:sz="0" w:space="0" w:color="auto"/>
              </w:divBdr>
              <w:divsChild>
                <w:div w:id="2027367753">
                  <w:marLeft w:val="0"/>
                  <w:marRight w:val="0"/>
                  <w:marTop w:val="0"/>
                  <w:marBottom w:val="0"/>
                  <w:divBdr>
                    <w:top w:val="none" w:sz="0" w:space="0" w:color="auto"/>
                    <w:left w:val="none" w:sz="0" w:space="0" w:color="auto"/>
                    <w:bottom w:val="none" w:sz="0" w:space="0" w:color="auto"/>
                    <w:right w:val="none" w:sz="0" w:space="0" w:color="auto"/>
                  </w:divBdr>
                </w:div>
              </w:divsChild>
            </w:div>
            <w:div w:id="1552182559">
              <w:marLeft w:val="0"/>
              <w:marRight w:val="0"/>
              <w:marTop w:val="300"/>
              <w:marBottom w:val="300"/>
              <w:divBdr>
                <w:top w:val="none" w:sz="0" w:space="0" w:color="auto"/>
                <w:left w:val="none" w:sz="0" w:space="0" w:color="auto"/>
                <w:bottom w:val="none" w:sz="0" w:space="0" w:color="auto"/>
                <w:right w:val="none" w:sz="0" w:space="0" w:color="auto"/>
              </w:divBdr>
            </w:div>
            <w:div w:id="1554848309">
              <w:marLeft w:val="0"/>
              <w:marRight w:val="0"/>
              <w:marTop w:val="0"/>
              <w:marBottom w:val="0"/>
              <w:divBdr>
                <w:top w:val="none" w:sz="0" w:space="0" w:color="auto"/>
                <w:left w:val="none" w:sz="0" w:space="0" w:color="auto"/>
                <w:bottom w:val="none" w:sz="0" w:space="0" w:color="auto"/>
                <w:right w:val="none" w:sz="0" w:space="0" w:color="auto"/>
              </w:divBdr>
              <w:divsChild>
                <w:div w:id="56632065">
                  <w:marLeft w:val="0"/>
                  <w:marRight w:val="0"/>
                  <w:marTop w:val="0"/>
                  <w:marBottom w:val="0"/>
                  <w:divBdr>
                    <w:top w:val="none" w:sz="0" w:space="0" w:color="auto"/>
                    <w:left w:val="none" w:sz="0" w:space="0" w:color="auto"/>
                    <w:bottom w:val="none" w:sz="0" w:space="0" w:color="auto"/>
                    <w:right w:val="none" w:sz="0" w:space="0" w:color="auto"/>
                  </w:divBdr>
                </w:div>
              </w:divsChild>
            </w:div>
            <w:div w:id="1556308187">
              <w:marLeft w:val="0"/>
              <w:marRight w:val="0"/>
              <w:marTop w:val="0"/>
              <w:marBottom w:val="0"/>
              <w:divBdr>
                <w:top w:val="none" w:sz="0" w:space="0" w:color="auto"/>
                <w:left w:val="none" w:sz="0" w:space="0" w:color="auto"/>
                <w:bottom w:val="none" w:sz="0" w:space="0" w:color="auto"/>
                <w:right w:val="none" w:sz="0" w:space="0" w:color="auto"/>
              </w:divBdr>
              <w:divsChild>
                <w:div w:id="189884028">
                  <w:marLeft w:val="0"/>
                  <w:marRight w:val="0"/>
                  <w:marTop w:val="0"/>
                  <w:marBottom w:val="0"/>
                  <w:divBdr>
                    <w:top w:val="none" w:sz="0" w:space="0" w:color="auto"/>
                    <w:left w:val="none" w:sz="0" w:space="0" w:color="auto"/>
                    <w:bottom w:val="none" w:sz="0" w:space="0" w:color="auto"/>
                    <w:right w:val="none" w:sz="0" w:space="0" w:color="auto"/>
                  </w:divBdr>
                </w:div>
              </w:divsChild>
            </w:div>
            <w:div w:id="1558126259">
              <w:marLeft w:val="0"/>
              <w:marRight w:val="0"/>
              <w:marTop w:val="0"/>
              <w:marBottom w:val="0"/>
              <w:divBdr>
                <w:top w:val="none" w:sz="0" w:space="0" w:color="auto"/>
                <w:left w:val="none" w:sz="0" w:space="0" w:color="auto"/>
                <w:bottom w:val="none" w:sz="0" w:space="0" w:color="auto"/>
                <w:right w:val="none" w:sz="0" w:space="0" w:color="auto"/>
              </w:divBdr>
              <w:divsChild>
                <w:div w:id="1196314248">
                  <w:marLeft w:val="0"/>
                  <w:marRight w:val="0"/>
                  <w:marTop w:val="0"/>
                  <w:marBottom w:val="0"/>
                  <w:divBdr>
                    <w:top w:val="none" w:sz="0" w:space="0" w:color="auto"/>
                    <w:left w:val="none" w:sz="0" w:space="0" w:color="auto"/>
                    <w:bottom w:val="none" w:sz="0" w:space="0" w:color="auto"/>
                    <w:right w:val="none" w:sz="0" w:space="0" w:color="auto"/>
                  </w:divBdr>
                </w:div>
              </w:divsChild>
            </w:div>
            <w:div w:id="1560361911">
              <w:marLeft w:val="0"/>
              <w:marRight w:val="0"/>
              <w:marTop w:val="300"/>
              <w:marBottom w:val="300"/>
              <w:divBdr>
                <w:top w:val="none" w:sz="0" w:space="0" w:color="auto"/>
                <w:left w:val="none" w:sz="0" w:space="0" w:color="auto"/>
                <w:bottom w:val="none" w:sz="0" w:space="0" w:color="auto"/>
                <w:right w:val="none" w:sz="0" w:space="0" w:color="auto"/>
              </w:divBdr>
            </w:div>
            <w:div w:id="1561214233">
              <w:marLeft w:val="0"/>
              <w:marRight w:val="0"/>
              <w:marTop w:val="0"/>
              <w:marBottom w:val="0"/>
              <w:divBdr>
                <w:top w:val="none" w:sz="0" w:space="0" w:color="auto"/>
                <w:left w:val="none" w:sz="0" w:space="0" w:color="auto"/>
                <w:bottom w:val="none" w:sz="0" w:space="0" w:color="auto"/>
                <w:right w:val="none" w:sz="0" w:space="0" w:color="auto"/>
              </w:divBdr>
              <w:divsChild>
                <w:div w:id="356541723">
                  <w:marLeft w:val="0"/>
                  <w:marRight w:val="0"/>
                  <w:marTop w:val="0"/>
                  <w:marBottom w:val="0"/>
                  <w:divBdr>
                    <w:top w:val="none" w:sz="0" w:space="0" w:color="auto"/>
                    <w:left w:val="none" w:sz="0" w:space="0" w:color="auto"/>
                    <w:bottom w:val="none" w:sz="0" w:space="0" w:color="auto"/>
                    <w:right w:val="none" w:sz="0" w:space="0" w:color="auto"/>
                  </w:divBdr>
                </w:div>
              </w:divsChild>
            </w:div>
            <w:div w:id="1563056408">
              <w:marLeft w:val="0"/>
              <w:marRight w:val="0"/>
              <w:marTop w:val="0"/>
              <w:marBottom w:val="0"/>
              <w:divBdr>
                <w:top w:val="none" w:sz="0" w:space="0" w:color="auto"/>
                <w:left w:val="none" w:sz="0" w:space="0" w:color="auto"/>
                <w:bottom w:val="none" w:sz="0" w:space="0" w:color="auto"/>
                <w:right w:val="none" w:sz="0" w:space="0" w:color="auto"/>
              </w:divBdr>
              <w:divsChild>
                <w:div w:id="2115131000">
                  <w:marLeft w:val="0"/>
                  <w:marRight w:val="0"/>
                  <w:marTop w:val="0"/>
                  <w:marBottom w:val="0"/>
                  <w:divBdr>
                    <w:top w:val="none" w:sz="0" w:space="0" w:color="auto"/>
                    <w:left w:val="none" w:sz="0" w:space="0" w:color="auto"/>
                    <w:bottom w:val="none" w:sz="0" w:space="0" w:color="auto"/>
                    <w:right w:val="none" w:sz="0" w:space="0" w:color="auto"/>
                  </w:divBdr>
                </w:div>
              </w:divsChild>
            </w:div>
            <w:div w:id="1563447734">
              <w:marLeft w:val="0"/>
              <w:marRight w:val="0"/>
              <w:marTop w:val="0"/>
              <w:marBottom w:val="0"/>
              <w:divBdr>
                <w:top w:val="none" w:sz="0" w:space="0" w:color="auto"/>
                <w:left w:val="none" w:sz="0" w:space="0" w:color="auto"/>
                <w:bottom w:val="none" w:sz="0" w:space="0" w:color="auto"/>
                <w:right w:val="none" w:sz="0" w:space="0" w:color="auto"/>
              </w:divBdr>
              <w:divsChild>
                <w:div w:id="908033372">
                  <w:marLeft w:val="0"/>
                  <w:marRight w:val="0"/>
                  <w:marTop w:val="0"/>
                  <w:marBottom w:val="0"/>
                  <w:divBdr>
                    <w:top w:val="none" w:sz="0" w:space="0" w:color="auto"/>
                    <w:left w:val="none" w:sz="0" w:space="0" w:color="auto"/>
                    <w:bottom w:val="none" w:sz="0" w:space="0" w:color="auto"/>
                    <w:right w:val="none" w:sz="0" w:space="0" w:color="auto"/>
                  </w:divBdr>
                </w:div>
              </w:divsChild>
            </w:div>
            <w:div w:id="1564829804">
              <w:marLeft w:val="0"/>
              <w:marRight w:val="0"/>
              <w:marTop w:val="0"/>
              <w:marBottom w:val="0"/>
              <w:divBdr>
                <w:top w:val="none" w:sz="0" w:space="0" w:color="auto"/>
                <w:left w:val="none" w:sz="0" w:space="0" w:color="auto"/>
                <w:bottom w:val="none" w:sz="0" w:space="0" w:color="auto"/>
                <w:right w:val="none" w:sz="0" w:space="0" w:color="auto"/>
              </w:divBdr>
              <w:divsChild>
                <w:div w:id="1323314038">
                  <w:marLeft w:val="0"/>
                  <w:marRight w:val="0"/>
                  <w:marTop w:val="0"/>
                  <w:marBottom w:val="0"/>
                  <w:divBdr>
                    <w:top w:val="none" w:sz="0" w:space="0" w:color="auto"/>
                    <w:left w:val="none" w:sz="0" w:space="0" w:color="auto"/>
                    <w:bottom w:val="none" w:sz="0" w:space="0" w:color="auto"/>
                    <w:right w:val="none" w:sz="0" w:space="0" w:color="auto"/>
                  </w:divBdr>
                </w:div>
              </w:divsChild>
            </w:div>
            <w:div w:id="1566525147">
              <w:marLeft w:val="0"/>
              <w:marRight w:val="0"/>
              <w:marTop w:val="0"/>
              <w:marBottom w:val="0"/>
              <w:divBdr>
                <w:top w:val="none" w:sz="0" w:space="0" w:color="auto"/>
                <w:left w:val="none" w:sz="0" w:space="0" w:color="auto"/>
                <w:bottom w:val="none" w:sz="0" w:space="0" w:color="auto"/>
                <w:right w:val="none" w:sz="0" w:space="0" w:color="auto"/>
              </w:divBdr>
              <w:divsChild>
                <w:div w:id="1893105565">
                  <w:marLeft w:val="0"/>
                  <w:marRight w:val="0"/>
                  <w:marTop w:val="0"/>
                  <w:marBottom w:val="0"/>
                  <w:divBdr>
                    <w:top w:val="none" w:sz="0" w:space="0" w:color="auto"/>
                    <w:left w:val="none" w:sz="0" w:space="0" w:color="auto"/>
                    <w:bottom w:val="none" w:sz="0" w:space="0" w:color="auto"/>
                    <w:right w:val="none" w:sz="0" w:space="0" w:color="auto"/>
                  </w:divBdr>
                </w:div>
              </w:divsChild>
            </w:div>
            <w:div w:id="1566866721">
              <w:marLeft w:val="0"/>
              <w:marRight w:val="0"/>
              <w:marTop w:val="0"/>
              <w:marBottom w:val="0"/>
              <w:divBdr>
                <w:top w:val="none" w:sz="0" w:space="0" w:color="auto"/>
                <w:left w:val="none" w:sz="0" w:space="0" w:color="auto"/>
                <w:bottom w:val="none" w:sz="0" w:space="0" w:color="auto"/>
                <w:right w:val="none" w:sz="0" w:space="0" w:color="auto"/>
              </w:divBdr>
              <w:divsChild>
                <w:div w:id="1815557980">
                  <w:marLeft w:val="0"/>
                  <w:marRight w:val="0"/>
                  <w:marTop w:val="0"/>
                  <w:marBottom w:val="0"/>
                  <w:divBdr>
                    <w:top w:val="none" w:sz="0" w:space="0" w:color="auto"/>
                    <w:left w:val="none" w:sz="0" w:space="0" w:color="auto"/>
                    <w:bottom w:val="none" w:sz="0" w:space="0" w:color="auto"/>
                    <w:right w:val="none" w:sz="0" w:space="0" w:color="auto"/>
                  </w:divBdr>
                </w:div>
              </w:divsChild>
            </w:div>
            <w:div w:id="1567715989">
              <w:marLeft w:val="0"/>
              <w:marRight w:val="0"/>
              <w:marTop w:val="0"/>
              <w:marBottom w:val="0"/>
              <w:divBdr>
                <w:top w:val="none" w:sz="0" w:space="0" w:color="auto"/>
                <w:left w:val="none" w:sz="0" w:space="0" w:color="auto"/>
                <w:bottom w:val="none" w:sz="0" w:space="0" w:color="auto"/>
                <w:right w:val="none" w:sz="0" w:space="0" w:color="auto"/>
              </w:divBdr>
              <w:divsChild>
                <w:div w:id="467817867">
                  <w:marLeft w:val="0"/>
                  <w:marRight w:val="0"/>
                  <w:marTop w:val="0"/>
                  <w:marBottom w:val="0"/>
                  <w:divBdr>
                    <w:top w:val="none" w:sz="0" w:space="0" w:color="auto"/>
                    <w:left w:val="none" w:sz="0" w:space="0" w:color="auto"/>
                    <w:bottom w:val="none" w:sz="0" w:space="0" w:color="auto"/>
                    <w:right w:val="none" w:sz="0" w:space="0" w:color="auto"/>
                  </w:divBdr>
                </w:div>
              </w:divsChild>
            </w:div>
            <w:div w:id="1568951869">
              <w:marLeft w:val="0"/>
              <w:marRight w:val="0"/>
              <w:marTop w:val="300"/>
              <w:marBottom w:val="300"/>
              <w:divBdr>
                <w:top w:val="none" w:sz="0" w:space="0" w:color="auto"/>
                <w:left w:val="none" w:sz="0" w:space="0" w:color="auto"/>
                <w:bottom w:val="none" w:sz="0" w:space="0" w:color="auto"/>
                <w:right w:val="none" w:sz="0" w:space="0" w:color="auto"/>
              </w:divBdr>
            </w:div>
            <w:div w:id="1569419049">
              <w:marLeft w:val="0"/>
              <w:marRight w:val="0"/>
              <w:marTop w:val="0"/>
              <w:marBottom w:val="0"/>
              <w:divBdr>
                <w:top w:val="none" w:sz="0" w:space="0" w:color="auto"/>
                <w:left w:val="none" w:sz="0" w:space="0" w:color="auto"/>
                <w:bottom w:val="none" w:sz="0" w:space="0" w:color="auto"/>
                <w:right w:val="none" w:sz="0" w:space="0" w:color="auto"/>
              </w:divBdr>
              <w:divsChild>
                <w:div w:id="1130513025">
                  <w:marLeft w:val="0"/>
                  <w:marRight w:val="0"/>
                  <w:marTop w:val="0"/>
                  <w:marBottom w:val="0"/>
                  <w:divBdr>
                    <w:top w:val="none" w:sz="0" w:space="0" w:color="auto"/>
                    <w:left w:val="none" w:sz="0" w:space="0" w:color="auto"/>
                    <w:bottom w:val="none" w:sz="0" w:space="0" w:color="auto"/>
                    <w:right w:val="none" w:sz="0" w:space="0" w:color="auto"/>
                  </w:divBdr>
                </w:div>
              </w:divsChild>
            </w:div>
            <w:div w:id="1572734500">
              <w:marLeft w:val="0"/>
              <w:marRight w:val="0"/>
              <w:marTop w:val="0"/>
              <w:marBottom w:val="0"/>
              <w:divBdr>
                <w:top w:val="none" w:sz="0" w:space="0" w:color="auto"/>
                <w:left w:val="none" w:sz="0" w:space="0" w:color="auto"/>
                <w:bottom w:val="none" w:sz="0" w:space="0" w:color="auto"/>
                <w:right w:val="none" w:sz="0" w:space="0" w:color="auto"/>
              </w:divBdr>
              <w:divsChild>
                <w:div w:id="1045375652">
                  <w:marLeft w:val="0"/>
                  <w:marRight w:val="0"/>
                  <w:marTop w:val="0"/>
                  <w:marBottom w:val="0"/>
                  <w:divBdr>
                    <w:top w:val="none" w:sz="0" w:space="0" w:color="auto"/>
                    <w:left w:val="none" w:sz="0" w:space="0" w:color="auto"/>
                    <w:bottom w:val="none" w:sz="0" w:space="0" w:color="auto"/>
                    <w:right w:val="none" w:sz="0" w:space="0" w:color="auto"/>
                  </w:divBdr>
                </w:div>
              </w:divsChild>
            </w:div>
            <w:div w:id="1572736865">
              <w:marLeft w:val="0"/>
              <w:marRight w:val="0"/>
              <w:marTop w:val="0"/>
              <w:marBottom w:val="0"/>
              <w:divBdr>
                <w:top w:val="none" w:sz="0" w:space="0" w:color="auto"/>
                <w:left w:val="none" w:sz="0" w:space="0" w:color="auto"/>
                <w:bottom w:val="none" w:sz="0" w:space="0" w:color="auto"/>
                <w:right w:val="none" w:sz="0" w:space="0" w:color="auto"/>
              </w:divBdr>
              <w:divsChild>
                <w:div w:id="1509445056">
                  <w:marLeft w:val="0"/>
                  <w:marRight w:val="0"/>
                  <w:marTop w:val="0"/>
                  <w:marBottom w:val="0"/>
                  <w:divBdr>
                    <w:top w:val="none" w:sz="0" w:space="0" w:color="auto"/>
                    <w:left w:val="none" w:sz="0" w:space="0" w:color="auto"/>
                    <w:bottom w:val="none" w:sz="0" w:space="0" w:color="auto"/>
                    <w:right w:val="none" w:sz="0" w:space="0" w:color="auto"/>
                  </w:divBdr>
                </w:div>
              </w:divsChild>
            </w:div>
            <w:div w:id="1574006126">
              <w:marLeft w:val="0"/>
              <w:marRight w:val="0"/>
              <w:marTop w:val="0"/>
              <w:marBottom w:val="0"/>
              <w:divBdr>
                <w:top w:val="none" w:sz="0" w:space="0" w:color="auto"/>
                <w:left w:val="none" w:sz="0" w:space="0" w:color="auto"/>
                <w:bottom w:val="none" w:sz="0" w:space="0" w:color="auto"/>
                <w:right w:val="none" w:sz="0" w:space="0" w:color="auto"/>
              </w:divBdr>
              <w:divsChild>
                <w:div w:id="62873068">
                  <w:marLeft w:val="0"/>
                  <w:marRight w:val="0"/>
                  <w:marTop w:val="0"/>
                  <w:marBottom w:val="0"/>
                  <w:divBdr>
                    <w:top w:val="none" w:sz="0" w:space="0" w:color="auto"/>
                    <w:left w:val="none" w:sz="0" w:space="0" w:color="auto"/>
                    <w:bottom w:val="none" w:sz="0" w:space="0" w:color="auto"/>
                    <w:right w:val="none" w:sz="0" w:space="0" w:color="auto"/>
                  </w:divBdr>
                </w:div>
              </w:divsChild>
            </w:div>
            <w:div w:id="1575815108">
              <w:marLeft w:val="0"/>
              <w:marRight w:val="0"/>
              <w:marTop w:val="0"/>
              <w:marBottom w:val="0"/>
              <w:divBdr>
                <w:top w:val="none" w:sz="0" w:space="0" w:color="auto"/>
                <w:left w:val="none" w:sz="0" w:space="0" w:color="auto"/>
                <w:bottom w:val="none" w:sz="0" w:space="0" w:color="auto"/>
                <w:right w:val="none" w:sz="0" w:space="0" w:color="auto"/>
              </w:divBdr>
              <w:divsChild>
                <w:div w:id="496651158">
                  <w:marLeft w:val="0"/>
                  <w:marRight w:val="0"/>
                  <w:marTop w:val="0"/>
                  <w:marBottom w:val="0"/>
                  <w:divBdr>
                    <w:top w:val="none" w:sz="0" w:space="0" w:color="auto"/>
                    <w:left w:val="none" w:sz="0" w:space="0" w:color="auto"/>
                    <w:bottom w:val="none" w:sz="0" w:space="0" w:color="auto"/>
                    <w:right w:val="none" w:sz="0" w:space="0" w:color="auto"/>
                  </w:divBdr>
                </w:div>
              </w:divsChild>
            </w:div>
            <w:div w:id="1576742276">
              <w:marLeft w:val="0"/>
              <w:marRight w:val="0"/>
              <w:marTop w:val="0"/>
              <w:marBottom w:val="0"/>
              <w:divBdr>
                <w:top w:val="none" w:sz="0" w:space="0" w:color="auto"/>
                <w:left w:val="none" w:sz="0" w:space="0" w:color="auto"/>
                <w:bottom w:val="none" w:sz="0" w:space="0" w:color="auto"/>
                <w:right w:val="none" w:sz="0" w:space="0" w:color="auto"/>
              </w:divBdr>
              <w:divsChild>
                <w:div w:id="1691102787">
                  <w:marLeft w:val="0"/>
                  <w:marRight w:val="0"/>
                  <w:marTop w:val="0"/>
                  <w:marBottom w:val="0"/>
                  <w:divBdr>
                    <w:top w:val="none" w:sz="0" w:space="0" w:color="auto"/>
                    <w:left w:val="none" w:sz="0" w:space="0" w:color="auto"/>
                    <w:bottom w:val="none" w:sz="0" w:space="0" w:color="auto"/>
                    <w:right w:val="none" w:sz="0" w:space="0" w:color="auto"/>
                  </w:divBdr>
                </w:div>
              </w:divsChild>
            </w:div>
            <w:div w:id="1577131897">
              <w:marLeft w:val="0"/>
              <w:marRight w:val="0"/>
              <w:marTop w:val="0"/>
              <w:marBottom w:val="0"/>
              <w:divBdr>
                <w:top w:val="none" w:sz="0" w:space="0" w:color="auto"/>
                <w:left w:val="none" w:sz="0" w:space="0" w:color="auto"/>
                <w:bottom w:val="none" w:sz="0" w:space="0" w:color="auto"/>
                <w:right w:val="none" w:sz="0" w:space="0" w:color="auto"/>
              </w:divBdr>
              <w:divsChild>
                <w:div w:id="532576230">
                  <w:marLeft w:val="0"/>
                  <w:marRight w:val="0"/>
                  <w:marTop w:val="0"/>
                  <w:marBottom w:val="0"/>
                  <w:divBdr>
                    <w:top w:val="none" w:sz="0" w:space="0" w:color="auto"/>
                    <w:left w:val="none" w:sz="0" w:space="0" w:color="auto"/>
                    <w:bottom w:val="none" w:sz="0" w:space="0" w:color="auto"/>
                    <w:right w:val="none" w:sz="0" w:space="0" w:color="auto"/>
                  </w:divBdr>
                </w:div>
              </w:divsChild>
            </w:div>
            <w:div w:id="1577856734">
              <w:marLeft w:val="0"/>
              <w:marRight w:val="0"/>
              <w:marTop w:val="300"/>
              <w:marBottom w:val="300"/>
              <w:divBdr>
                <w:top w:val="none" w:sz="0" w:space="0" w:color="auto"/>
                <w:left w:val="none" w:sz="0" w:space="0" w:color="auto"/>
                <w:bottom w:val="none" w:sz="0" w:space="0" w:color="auto"/>
                <w:right w:val="none" w:sz="0" w:space="0" w:color="auto"/>
              </w:divBdr>
            </w:div>
            <w:div w:id="1578899259">
              <w:marLeft w:val="0"/>
              <w:marRight w:val="0"/>
              <w:marTop w:val="0"/>
              <w:marBottom w:val="0"/>
              <w:divBdr>
                <w:top w:val="none" w:sz="0" w:space="0" w:color="auto"/>
                <w:left w:val="none" w:sz="0" w:space="0" w:color="auto"/>
                <w:bottom w:val="none" w:sz="0" w:space="0" w:color="auto"/>
                <w:right w:val="none" w:sz="0" w:space="0" w:color="auto"/>
              </w:divBdr>
              <w:divsChild>
                <w:div w:id="1630891175">
                  <w:marLeft w:val="0"/>
                  <w:marRight w:val="0"/>
                  <w:marTop w:val="0"/>
                  <w:marBottom w:val="0"/>
                  <w:divBdr>
                    <w:top w:val="none" w:sz="0" w:space="0" w:color="auto"/>
                    <w:left w:val="none" w:sz="0" w:space="0" w:color="auto"/>
                    <w:bottom w:val="none" w:sz="0" w:space="0" w:color="auto"/>
                    <w:right w:val="none" w:sz="0" w:space="0" w:color="auto"/>
                  </w:divBdr>
                </w:div>
              </w:divsChild>
            </w:div>
            <w:div w:id="1579486480">
              <w:marLeft w:val="0"/>
              <w:marRight w:val="0"/>
              <w:marTop w:val="0"/>
              <w:marBottom w:val="0"/>
              <w:divBdr>
                <w:top w:val="none" w:sz="0" w:space="0" w:color="auto"/>
                <w:left w:val="none" w:sz="0" w:space="0" w:color="auto"/>
                <w:bottom w:val="none" w:sz="0" w:space="0" w:color="auto"/>
                <w:right w:val="none" w:sz="0" w:space="0" w:color="auto"/>
              </w:divBdr>
              <w:divsChild>
                <w:div w:id="5256108">
                  <w:marLeft w:val="0"/>
                  <w:marRight w:val="0"/>
                  <w:marTop w:val="0"/>
                  <w:marBottom w:val="0"/>
                  <w:divBdr>
                    <w:top w:val="none" w:sz="0" w:space="0" w:color="auto"/>
                    <w:left w:val="none" w:sz="0" w:space="0" w:color="auto"/>
                    <w:bottom w:val="none" w:sz="0" w:space="0" w:color="auto"/>
                    <w:right w:val="none" w:sz="0" w:space="0" w:color="auto"/>
                  </w:divBdr>
                </w:div>
              </w:divsChild>
            </w:div>
            <w:div w:id="1579748089">
              <w:marLeft w:val="0"/>
              <w:marRight w:val="0"/>
              <w:marTop w:val="0"/>
              <w:marBottom w:val="0"/>
              <w:divBdr>
                <w:top w:val="none" w:sz="0" w:space="0" w:color="auto"/>
                <w:left w:val="none" w:sz="0" w:space="0" w:color="auto"/>
                <w:bottom w:val="none" w:sz="0" w:space="0" w:color="auto"/>
                <w:right w:val="none" w:sz="0" w:space="0" w:color="auto"/>
              </w:divBdr>
              <w:divsChild>
                <w:div w:id="1036197869">
                  <w:marLeft w:val="0"/>
                  <w:marRight w:val="0"/>
                  <w:marTop w:val="0"/>
                  <w:marBottom w:val="0"/>
                  <w:divBdr>
                    <w:top w:val="none" w:sz="0" w:space="0" w:color="auto"/>
                    <w:left w:val="none" w:sz="0" w:space="0" w:color="auto"/>
                    <w:bottom w:val="none" w:sz="0" w:space="0" w:color="auto"/>
                    <w:right w:val="none" w:sz="0" w:space="0" w:color="auto"/>
                  </w:divBdr>
                </w:div>
              </w:divsChild>
            </w:div>
            <w:div w:id="1581284207">
              <w:marLeft w:val="0"/>
              <w:marRight w:val="0"/>
              <w:marTop w:val="300"/>
              <w:marBottom w:val="300"/>
              <w:divBdr>
                <w:top w:val="none" w:sz="0" w:space="0" w:color="auto"/>
                <w:left w:val="none" w:sz="0" w:space="0" w:color="auto"/>
                <w:bottom w:val="none" w:sz="0" w:space="0" w:color="auto"/>
                <w:right w:val="none" w:sz="0" w:space="0" w:color="auto"/>
              </w:divBdr>
            </w:div>
            <w:div w:id="1582326725">
              <w:marLeft w:val="0"/>
              <w:marRight w:val="0"/>
              <w:marTop w:val="300"/>
              <w:marBottom w:val="300"/>
              <w:divBdr>
                <w:top w:val="none" w:sz="0" w:space="0" w:color="auto"/>
                <w:left w:val="none" w:sz="0" w:space="0" w:color="auto"/>
                <w:bottom w:val="none" w:sz="0" w:space="0" w:color="auto"/>
                <w:right w:val="none" w:sz="0" w:space="0" w:color="auto"/>
              </w:divBdr>
            </w:div>
            <w:div w:id="1582838527">
              <w:marLeft w:val="0"/>
              <w:marRight w:val="0"/>
              <w:marTop w:val="0"/>
              <w:marBottom w:val="0"/>
              <w:divBdr>
                <w:top w:val="none" w:sz="0" w:space="0" w:color="auto"/>
                <w:left w:val="none" w:sz="0" w:space="0" w:color="auto"/>
                <w:bottom w:val="none" w:sz="0" w:space="0" w:color="auto"/>
                <w:right w:val="none" w:sz="0" w:space="0" w:color="auto"/>
              </w:divBdr>
              <w:divsChild>
                <w:div w:id="123501149">
                  <w:marLeft w:val="0"/>
                  <w:marRight w:val="0"/>
                  <w:marTop w:val="0"/>
                  <w:marBottom w:val="0"/>
                  <w:divBdr>
                    <w:top w:val="none" w:sz="0" w:space="0" w:color="auto"/>
                    <w:left w:val="none" w:sz="0" w:space="0" w:color="auto"/>
                    <w:bottom w:val="none" w:sz="0" w:space="0" w:color="auto"/>
                    <w:right w:val="none" w:sz="0" w:space="0" w:color="auto"/>
                  </w:divBdr>
                </w:div>
              </w:divsChild>
            </w:div>
            <w:div w:id="1584292462">
              <w:marLeft w:val="0"/>
              <w:marRight w:val="0"/>
              <w:marTop w:val="0"/>
              <w:marBottom w:val="0"/>
              <w:divBdr>
                <w:top w:val="none" w:sz="0" w:space="0" w:color="auto"/>
                <w:left w:val="none" w:sz="0" w:space="0" w:color="auto"/>
                <w:bottom w:val="none" w:sz="0" w:space="0" w:color="auto"/>
                <w:right w:val="none" w:sz="0" w:space="0" w:color="auto"/>
              </w:divBdr>
              <w:divsChild>
                <w:div w:id="121383448">
                  <w:marLeft w:val="0"/>
                  <w:marRight w:val="0"/>
                  <w:marTop w:val="0"/>
                  <w:marBottom w:val="0"/>
                  <w:divBdr>
                    <w:top w:val="none" w:sz="0" w:space="0" w:color="auto"/>
                    <w:left w:val="none" w:sz="0" w:space="0" w:color="auto"/>
                    <w:bottom w:val="none" w:sz="0" w:space="0" w:color="auto"/>
                    <w:right w:val="none" w:sz="0" w:space="0" w:color="auto"/>
                  </w:divBdr>
                </w:div>
              </w:divsChild>
            </w:div>
            <w:div w:id="1584490866">
              <w:marLeft w:val="0"/>
              <w:marRight w:val="0"/>
              <w:marTop w:val="300"/>
              <w:marBottom w:val="300"/>
              <w:divBdr>
                <w:top w:val="none" w:sz="0" w:space="0" w:color="auto"/>
                <w:left w:val="none" w:sz="0" w:space="0" w:color="auto"/>
                <w:bottom w:val="none" w:sz="0" w:space="0" w:color="auto"/>
                <w:right w:val="none" w:sz="0" w:space="0" w:color="auto"/>
              </w:divBdr>
            </w:div>
            <w:div w:id="1585408215">
              <w:marLeft w:val="0"/>
              <w:marRight w:val="0"/>
              <w:marTop w:val="0"/>
              <w:marBottom w:val="0"/>
              <w:divBdr>
                <w:top w:val="none" w:sz="0" w:space="0" w:color="auto"/>
                <w:left w:val="none" w:sz="0" w:space="0" w:color="auto"/>
                <w:bottom w:val="none" w:sz="0" w:space="0" w:color="auto"/>
                <w:right w:val="none" w:sz="0" w:space="0" w:color="auto"/>
              </w:divBdr>
              <w:divsChild>
                <w:div w:id="746734129">
                  <w:marLeft w:val="0"/>
                  <w:marRight w:val="0"/>
                  <w:marTop w:val="0"/>
                  <w:marBottom w:val="0"/>
                  <w:divBdr>
                    <w:top w:val="none" w:sz="0" w:space="0" w:color="auto"/>
                    <w:left w:val="none" w:sz="0" w:space="0" w:color="auto"/>
                    <w:bottom w:val="none" w:sz="0" w:space="0" w:color="auto"/>
                    <w:right w:val="none" w:sz="0" w:space="0" w:color="auto"/>
                  </w:divBdr>
                </w:div>
              </w:divsChild>
            </w:div>
            <w:div w:id="1586499617">
              <w:marLeft w:val="0"/>
              <w:marRight w:val="0"/>
              <w:marTop w:val="300"/>
              <w:marBottom w:val="300"/>
              <w:divBdr>
                <w:top w:val="none" w:sz="0" w:space="0" w:color="auto"/>
                <w:left w:val="none" w:sz="0" w:space="0" w:color="auto"/>
                <w:bottom w:val="none" w:sz="0" w:space="0" w:color="auto"/>
                <w:right w:val="none" w:sz="0" w:space="0" w:color="auto"/>
              </w:divBdr>
            </w:div>
            <w:div w:id="1586643050">
              <w:marLeft w:val="0"/>
              <w:marRight w:val="0"/>
              <w:marTop w:val="0"/>
              <w:marBottom w:val="0"/>
              <w:divBdr>
                <w:top w:val="none" w:sz="0" w:space="0" w:color="auto"/>
                <w:left w:val="none" w:sz="0" w:space="0" w:color="auto"/>
                <w:bottom w:val="none" w:sz="0" w:space="0" w:color="auto"/>
                <w:right w:val="none" w:sz="0" w:space="0" w:color="auto"/>
              </w:divBdr>
              <w:divsChild>
                <w:div w:id="1082724219">
                  <w:marLeft w:val="0"/>
                  <w:marRight w:val="0"/>
                  <w:marTop w:val="0"/>
                  <w:marBottom w:val="0"/>
                  <w:divBdr>
                    <w:top w:val="none" w:sz="0" w:space="0" w:color="auto"/>
                    <w:left w:val="none" w:sz="0" w:space="0" w:color="auto"/>
                    <w:bottom w:val="none" w:sz="0" w:space="0" w:color="auto"/>
                    <w:right w:val="none" w:sz="0" w:space="0" w:color="auto"/>
                  </w:divBdr>
                </w:div>
              </w:divsChild>
            </w:div>
            <w:div w:id="1587419378">
              <w:marLeft w:val="0"/>
              <w:marRight w:val="0"/>
              <w:marTop w:val="300"/>
              <w:marBottom w:val="300"/>
              <w:divBdr>
                <w:top w:val="none" w:sz="0" w:space="0" w:color="auto"/>
                <w:left w:val="none" w:sz="0" w:space="0" w:color="auto"/>
                <w:bottom w:val="none" w:sz="0" w:space="0" w:color="auto"/>
                <w:right w:val="none" w:sz="0" w:space="0" w:color="auto"/>
              </w:divBdr>
            </w:div>
            <w:div w:id="1588073547">
              <w:marLeft w:val="0"/>
              <w:marRight w:val="0"/>
              <w:marTop w:val="0"/>
              <w:marBottom w:val="0"/>
              <w:divBdr>
                <w:top w:val="none" w:sz="0" w:space="0" w:color="auto"/>
                <w:left w:val="none" w:sz="0" w:space="0" w:color="auto"/>
                <w:bottom w:val="none" w:sz="0" w:space="0" w:color="auto"/>
                <w:right w:val="none" w:sz="0" w:space="0" w:color="auto"/>
              </w:divBdr>
              <w:divsChild>
                <w:div w:id="51274711">
                  <w:marLeft w:val="0"/>
                  <w:marRight w:val="0"/>
                  <w:marTop w:val="0"/>
                  <w:marBottom w:val="0"/>
                  <w:divBdr>
                    <w:top w:val="none" w:sz="0" w:space="0" w:color="auto"/>
                    <w:left w:val="none" w:sz="0" w:space="0" w:color="auto"/>
                    <w:bottom w:val="none" w:sz="0" w:space="0" w:color="auto"/>
                    <w:right w:val="none" w:sz="0" w:space="0" w:color="auto"/>
                  </w:divBdr>
                </w:div>
              </w:divsChild>
            </w:div>
            <w:div w:id="1588491381">
              <w:marLeft w:val="0"/>
              <w:marRight w:val="0"/>
              <w:marTop w:val="300"/>
              <w:marBottom w:val="300"/>
              <w:divBdr>
                <w:top w:val="none" w:sz="0" w:space="0" w:color="auto"/>
                <w:left w:val="none" w:sz="0" w:space="0" w:color="auto"/>
                <w:bottom w:val="none" w:sz="0" w:space="0" w:color="auto"/>
                <w:right w:val="none" w:sz="0" w:space="0" w:color="auto"/>
              </w:divBdr>
            </w:div>
            <w:div w:id="1592884308">
              <w:marLeft w:val="0"/>
              <w:marRight w:val="0"/>
              <w:marTop w:val="0"/>
              <w:marBottom w:val="0"/>
              <w:divBdr>
                <w:top w:val="none" w:sz="0" w:space="0" w:color="auto"/>
                <w:left w:val="none" w:sz="0" w:space="0" w:color="auto"/>
                <w:bottom w:val="none" w:sz="0" w:space="0" w:color="auto"/>
                <w:right w:val="none" w:sz="0" w:space="0" w:color="auto"/>
              </w:divBdr>
              <w:divsChild>
                <w:div w:id="227082569">
                  <w:marLeft w:val="0"/>
                  <w:marRight w:val="0"/>
                  <w:marTop w:val="0"/>
                  <w:marBottom w:val="0"/>
                  <w:divBdr>
                    <w:top w:val="none" w:sz="0" w:space="0" w:color="auto"/>
                    <w:left w:val="none" w:sz="0" w:space="0" w:color="auto"/>
                    <w:bottom w:val="none" w:sz="0" w:space="0" w:color="auto"/>
                    <w:right w:val="none" w:sz="0" w:space="0" w:color="auto"/>
                  </w:divBdr>
                </w:div>
              </w:divsChild>
            </w:div>
            <w:div w:id="1593508772">
              <w:marLeft w:val="0"/>
              <w:marRight w:val="0"/>
              <w:marTop w:val="300"/>
              <w:marBottom w:val="300"/>
              <w:divBdr>
                <w:top w:val="none" w:sz="0" w:space="0" w:color="auto"/>
                <w:left w:val="none" w:sz="0" w:space="0" w:color="auto"/>
                <w:bottom w:val="none" w:sz="0" w:space="0" w:color="auto"/>
                <w:right w:val="none" w:sz="0" w:space="0" w:color="auto"/>
              </w:divBdr>
            </w:div>
            <w:div w:id="1593927347">
              <w:marLeft w:val="0"/>
              <w:marRight w:val="0"/>
              <w:marTop w:val="0"/>
              <w:marBottom w:val="0"/>
              <w:divBdr>
                <w:top w:val="none" w:sz="0" w:space="0" w:color="auto"/>
                <w:left w:val="none" w:sz="0" w:space="0" w:color="auto"/>
                <w:bottom w:val="none" w:sz="0" w:space="0" w:color="auto"/>
                <w:right w:val="none" w:sz="0" w:space="0" w:color="auto"/>
              </w:divBdr>
              <w:divsChild>
                <w:div w:id="1604221880">
                  <w:marLeft w:val="0"/>
                  <w:marRight w:val="0"/>
                  <w:marTop w:val="0"/>
                  <w:marBottom w:val="0"/>
                  <w:divBdr>
                    <w:top w:val="none" w:sz="0" w:space="0" w:color="auto"/>
                    <w:left w:val="none" w:sz="0" w:space="0" w:color="auto"/>
                    <w:bottom w:val="none" w:sz="0" w:space="0" w:color="auto"/>
                    <w:right w:val="none" w:sz="0" w:space="0" w:color="auto"/>
                  </w:divBdr>
                </w:div>
              </w:divsChild>
            </w:div>
            <w:div w:id="1594045186">
              <w:marLeft w:val="0"/>
              <w:marRight w:val="0"/>
              <w:marTop w:val="0"/>
              <w:marBottom w:val="0"/>
              <w:divBdr>
                <w:top w:val="none" w:sz="0" w:space="0" w:color="auto"/>
                <w:left w:val="none" w:sz="0" w:space="0" w:color="auto"/>
                <w:bottom w:val="none" w:sz="0" w:space="0" w:color="auto"/>
                <w:right w:val="none" w:sz="0" w:space="0" w:color="auto"/>
              </w:divBdr>
              <w:divsChild>
                <w:div w:id="1811482003">
                  <w:marLeft w:val="0"/>
                  <w:marRight w:val="0"/>
                  <w:marTop w:val="0"/>
                  <w:marBottom w:val="0"/>
                  <w:divBdr>
                    <w:top w:val="none" w:sz="0" w:space="0" w:color="auto"/>
                    <w:left w:val="none" w:sz="0" w:space="0" w:color="auto"/>
                    <w:bottom w:val="none" w:sz="0" w:space="0" w:color="auto"/>
                    <w:right w:val="none" w:sz="0" w:space="0" w:color="auto"/>
                  </w:divBdr>
                </w:div>
              </w:divsChild>
            </w:div>
            <w:div w:id="1594045677">
              <w:marLeft w:val="0"/>
              <w:marRight w:val="0"/>
              <w:marTop w:val="0"/>
              <w:marBottom w:val="0"/>
              <w:divBdr>
                <w:top w:val="none" w:sz="0" w:space="0" w:color="auto"/>
                <w:left w:val="none" w:sz="0" w:space="0" w:color="auto"/>
                <w:bottom w:val="none" w:sz="0" w:space="0" w:color="auto"/>
                <w:right w:val="none" w:sz="0" w:space="0" w:color="auto"/>
              </w:divBdr>
              <w:divsChild>
                <w:div w:id="1555117953">
                  <w:marLeft w:val="0"/>
                  <w:marRight w:val="0"/>
                  <w:marTop w:val="0"/>
                  <w:marBottom w:val="0"/>
                  <w:divBdr>
                    <w:top w:val="none" w:sz="0" w:space="0" w:color="auto"/>
                    <w:left w:val="none" w:sz="0" w:space="0" w:color="auto"/>
                    <w:bottom w:val="none" w:sz="0" w:space="0" w:color="auto"/>
                    <w:right w:val="none" w:sz="0" w:space="0" w:color="auto"/>
                  </w:divBdr>
                </w:div>
              </w:divsChild>
            </w:div>
            <w:div w:id="1594976422">
              <w:marLeft w:val="0"/>
              <w:marRight w:val="0"/>
              <w:marTop w:val="300"/>
              <w:marBottom w:val="300"/>
              <w:divBdr>
                <w:top w:val="none" w:sz="0" w:space="0" w:color="auto"/>
                <w:left w:val="none" w:sz="0" w:space="0" w:color="auto"/>
                <w:bottom w:val="none" w:sz="0" w:space="0" w:color="auto"/>
                <w:right w:val="none" w:sz="0" w:space="0" w:color="auto"/>
              </w:divBdr>
            </w:div>
            <w:div w:id="1596861080">
              <w:marLeft w:val="0"/>
              <w:marRight w:val="0"/>
              <w:marTop w:val="0"/>
              <w:marBottom w:val="0"/>
              <w:divBdr>
                <w:top w:val="none" w:sz="0" w:space="0" w:color="auto"/>
                <w:left w:val="none" w:sz="0" w:space="0" w:color="auto"/>
                <w:bottom w:val="none" w:sz="0" w:space="0" w:color="auto"/>
                <w:right w:val="none" w:sz="0" w:space="0" w:color="auto"/>
              </w:divBdr>
              <w:divsChild>
                <w:div w:id="249898830">
                  <w:marLeft w:val="0"/>
                  <w:marRight w:val="0"/>
                  <w:marTop w:val="0"/>
                  <w:marBottom w:val="0"/>
                  <w:divBdr>
                    <w:top w:val="none" w:sz="0" w:space="0" w:color="auto"/>
                    <w:left w:val="none" w:sz="0" w:space="0" w:color="auto"/>
                    <w:bottom w:val="none" w:sz="0" w:space="0" w:color="auto"/>
                    <w:right w:val="none" w:sz="0" w:space="0" w:color="auto"/>
                  </w:divBdr>
                </w:div>
              </w:divsChild>
            </w:div>
            <w:div w:id="1598058590">
              <w:marLeft w:val="0"/>
              <w:marRight w:val="0"/>
              <w:marTop w:val="0"/>
              <w:marBottom w:val="0"/>
              <w:divBdr>
                <w:top w:val="none" w:sz="0" w:space="0" w:color="auto"/>
                <w:left w:val="none" w:sz="0" w:space="0" w:color="auto"/>
                <w:bottom w:val="none" w:sz="0" w:space="0" w:color="auto"/>
                <w:right w:val="none" w:sz="0" w:space="0" w:color="auto"/>
              </w:divBdr>
              <w:divsChild>
                <w:div w:id="496458384">
                  <w:marLeft w:val="0"/>
                  <w:marRight w:val="0"/>
                  <w:marTop w:val="0"/>
                  <w:marBottom w:val="0"/>
                  <w:divBdr>
                    <w:top w:val="none" w:sz="0" w:space="0" w:color="auto"/>
                    <w:left w:val="none" w:sz="0" w:space="0" w:color="auto"/>
                    <w:bottom w:val="none" w:sz="0" w:space="0" w:color="auto"/>
                    <w:right w:val="none" w:sz="0" w:space="0" w:color="auto"/>
                  </w:divBdr>
                </w:div>
              </w:divsChild>
            </w:div>
            <w:div w:id="1598178234">
              <w:marLeft w:val="0"/>
              <w:marRight w:val="0"/>
              <w:marTop w:val="0"/>
              <w:marBottom w:val="0"/>
              <w:divBdr>
                <w:top w:val="none" w:sz="0" w:space="0" w:color="auto"/>
                <w:left w:val="none" w:sz="0" w:space="0" w:color="auto"/>
                <w:bottom w:val="none" w:sz="0" w:space="0" w:color="auto"/>
                <w:right w:val="none" w:sz="0" w:space="0" w:color="auto"/>
              </w:divBdr>
              <w:divsChild>
                <w:div w:id="302274619">
                  <w:marLeft w:val="0"/>
                  <w:marRight w:val="0"/>
                  <w:marTop w:val="0"/>
                  <w:marBottom w:val="0"/>
                  <w:divBdr>
                    <w:top w:val="none" w:sz="0" w:space="0" w:color="auto"/>
                    <w:left w:val="none" w:sz="0" w:space="0" w:color="auto"/>
                    <w:bottom w:val="none" w:sz="0" w:space="0" w:color="auto"/>
                    <w:right w:val="none" w:sz="0" w:space="0" w:color="auto"/>
                  </w:divBdr>
                </w:div>
              </w:divsChild>
            </w:div>
            <w:div w:id="1598293059">
              <w:marLeft w:val="0"/>
              <w:marRight w:val="0"/>
              <w:marTop w:val="0"/>
              <w:marBottom w:val="0"/>
              <w:divBdr>
                <w:top w:val="none" w:sz="0" w:space="0" w:color="auto"/>
                <w:left w:val="none" w:sz="0" w:space="0" w:color="auto"/>
                <w:bottom w:val="none" w:sz="0" w:space="0" w:color="auto"/>
                <w:right w:val="none" w:sz="0" w:space="0" w:color="auto"/>
              </w:divBdr>
              <w:divsChild>
                <w:div w:id="964389704">
                  <w:marLeft w:val="0"/>
                  <w:marRight w:val="0"/>
                  <w:marTop w:val="0"/>
                  <w:marBottom w:val="0"/>
                  <w:divBdr>
                    <w:top w:val="none" w:sz="0" w:space="0" w:color="auto"/>
                    <w:left w:val="none" w:sz="0" w:space="0" w:color="auto"/>
                    <w:bottom w:val="none" w:sz="0" w:space="0" w:color="auto"/>
                    <w:right w:val="none" w:sz="0" w:space="0" w:color="auto"/>
                  </w:divBdr>
                </w:div>
              </w:divsChild>
            </w:div>
            <w:div w:id="1599678693">
              <w:marLeft w:val="0"/>
              <w:marRight w:val="0"/>
              <w:marTop w:val="0"/>
              <w:marBottom w:val="0"/>
              <w:divBdr>
                <w:top w:val="none" w:sz="0" w:space="0" w:color="auto"/>
                <w:left w:val="none" w:sz="0" w:space="0" w:color="auto"/>
                <w:bottom w:val="none" w:sz="0" w:space="0" w:color="auto"/>
                <w:right w:val="none" w:sz="0" w:space="0" w:color="auto"/>
              </w:divBdr>
              <w:divsChild>
                <w:div w:id="1996032490">
                  <w:marLeft w:val="0"/>
                  <w:marRight w:val="0"/>
                  <w:marTop w:val="0"/>
                  <w:marBottom w:val="0"/>
                  <w:divBdr>
                    <w:top w:val="none" w:sz="0" w:space="0" w:color="auto"/>
                    <w:left w:val="none" w:sz="0" w:space="0" w:color="auto"/>
                    <w:bottom w:val="none" w:sz="0" w:space="0" w:color="auto"/>
                    <w:right w:val="none" w:sz="0" w:space="0" w:color="auto"/>
                  </w:divBdr>
                </w:div>
              </w:divsChild>
            </w:div>
            <w:div w:id="1600484501">
              <w:marLeft w:val="0"/>
              <w:marRight w:val="0"/>
              <w:marTop w:val="0"/>
              <w:marBottom w:val="0"/>
              <w:divBdr>
                <w:top w:val="none" w:sz="0" w:space="0" w:color="auto"/>
                <w:left w:val="none" w:sz="0" w:space="0" w:color="auto"/>
                <w:bottom w:val="none" w:sz="0" w:space="0" w:color="auto"/>
                <w:right w:val="none" w:sz="0" w:space="0" w:color="auto"/>
              </w:divBdr>
              <w:divsChild>
                <w:div w:id="1289051258">
                  <w:marLeft w:val="0"/>
                  <w:marRight w:val="0"/>
                  <w:marTop w:val="0"/>
                  <w:marBottom w:val="0"/>
                  <w:divBdr>
                    <w:top w:val="none" w:sz="0" w:space="0" w:color="auto"/>
                    <w:left w:val="none" w:sz="0" w:space="0" w:color="auto"/>
                    <w:bottom w:val="none" w:sz="0" w:space="0" w:color="auto"/>
                    <w:right w:val="none" w:sz="0" w:space="0" w:color="auto"/>
                  </w:divBdr>
                </w:div>
              </w:divsChild>
            </w:div>
            <w:div w:id="1603565882">
              <w:marLeft w:val="0"/>
              <w:marRight w:val="0"/>
              <w:marTop w:val="0"/>
              <w:marBottom w:val="0"/>
              <w:divBdr>
                <w:top w:val="none" w:sz="0" w:space="0" w:color="auto"/>
                <w:left w:val="none" w:sz="0" w:space="0" w:color="auto"/>
                <w:bottom w:val="none" w:sz="0" w:space="0" w:color="auto"/>
                <w:right w:val="none" w:sz="0" w:space="0" w:color="auto"/>
              </w:divBdr>
              <w:divsChild>
                <w:div w:id="1966963496">
                  <w:marLeft w:val="0"/>
                  <w:marRight w:val="0"/>
                  <w:marTop w:val="0"/>
                  <w:marBottom w:val="0"/>
                  <w:divBdr>
                    <w:top w:val="none" w:sz="0" w:space="0" w:color="auto"/>
                    <w:left w:val="none" w:sz="0" w:space="0" w:color="auto"/>
                    <w:bottom w:val="none" w:sz="0" w:space="0" w:color="auto"/>
                    <w:right w:val="none" w:sz="0" w:space="0" w:color="auto"/>
                  </w:divBdr>
                </w:div>
              </w:divsChild>
            </w:div>
            <w:div w:id="1603607056">
              <w:marLeft w:val="0"/>
              <w:marRight w:val="0"/>
              <w:marTop w:val="0"/>
              <w:marBottom w:val="0"/>
              <w:divBdr>
                <w:top w:val="none" w:sz="0" w:space="0" w:color="auto"/>
                <w:left w:val="none" w:sz="0" w:space="0" w:color="auto"/>
                <w:bottom w:val="none" w:sz="0" w:space="0" w:color="auto"/>
                <w:right w:val="none" w:sz="0" w:space="0" w:color="auto"/>
              </w:divBdr>
              <w:divsChild>
                <w:div w:id="59788719">
                  <w:marLeft w:val="0"/>
                  <w:marRight w:val="0"/>
                  <w:marTop w:val="0"/>
                  <w:marBottom w:val="0"/>
                  <w:divBdr>
                    <w:top w:val="none" w:sz="0" w:space="0" w:color="auto"/>
                    <w:left w:val="none" w:sz="0" w:space="0" w:color="auto"/>
                    <w:bottom w:val="none" w:sz="0" w:space="0" w:color="auto"/>
                    <w:right w:val="none" w:sz="0" w:space="0" w:color="auto"/>
                  </w:divBdr>
                </w:div>
              </w:divsChild>
            </w:div>
            <w:div w:id="1603882360">
              <w:marLeft w:val="0"/>
              <w:marRight w:val="0"/>
              <w:marTop w:val="0"/>
              <w:marBottom w:val="0"/>
              <w:divBdr>
                <w:top w:val="none" w:sz="0" w:space="0" w:color="auto"/>
                <w:left w:val="none" w:sz="0" w:space="0" w:color="auto"/>
                <w:bottom w:val="none" w:sz="0" w:space="0" w:color="auto"/>
                <w:right w:val="none" w:sz="0" w:space="0" w:color="auto"/>
              </w:divBdr>
              <w:divsChild>
                <w:div w:id="2070688153">
                  <w:marLeft w:val="0"/>
                  <w:marRight w:val="0"/>
                  <w:marTop w:val="0"/>
                  <w:marBottom w:val="0"/>
                  <w:divBdr>
                    <w:top w:val="none" w:sz="0" w:space="0" w:color="auto"/>
                    <w:left w:val="none" w:sz="0" w:space="0" w:color="auto"/>
                    <w:bottom w:val="none" w:sz="0" w:space="0" w:color="auto"/>
                    <w:right w:val="none" w:sz="0" w:space="0" w:color="auto"/>
                  </w:divBdr>
                </w:div>
              </w:divsChild>
            </w:div>
            <w:div w:id="1605454589">
              <w:marLeft w:val="0"/>
              <w:marRight w:val="0"/>
              <w:marTop w:val="0"/>
              <w:marBottom w:val="0"/>
              <w:divBdr>
                <w:top w:val="none" w:sz="0" w:space="0" w:color="auto"/>
                <w:left w:val="none" w:sz="0" w:space="0" w:color="auto"/>
                <w:bottom w:val="none" w:sz="0" w:space="0" w:color="auto"/>
                <w:right w:val="none" w:sz="0" w:space="0" w:color="auto"/>
              </w:divBdr>
              <w:divsChild>
                <w:div w:id="1272861978">
                  <w:marLeft w:val="0"/>
                  <w:marRight w:val="0"/>
                  <w:marTop w:val="0"/>
                  <w:marBottom w:val="0"/>
                  <w:divBdr>
                    <w:top w:val="none" w:sz="0" w:space="0" w:color="auto"/>
                    <w:left w:val="none" w:sz="0" w:space="0" w:color="auto"/>
                    <w:bottom w:val="none" w:sz="0" w:space="0" w:color="auto"/>
                    <w:right w:val="none" w:sz="0" w:space="0" w:color="auto"/>
                  </w:divBdr>
                </w:div>
              </w:divsChild>
            </w:div>
            <w:div w:id="1605573188">
              <w:marLeft w:val="0"/>
              <w:marRight w:val="0"/>
              <w:marTop w:val="0"/>
              <w:marBottom w:val="0"/>
              <w:divBdr>
                <w:top w:val="none" w:sz="0" w:space="0" w:color="auto"/>
                <w:left w:val="none" w:sz="0" w:space="0" w:color="auto"/>
                <w:bottom w:val="none" w:sz="0" w:space="0" w:color="auto"/>
                <w:right w:val="none" w:sz="0" w:space="0" w:color="auto"/>
              </w:divBdr>
              <w:divsChild>
                <w:div w:id="1879976068">
                  <w:marLeft w:val="0"/>
                  <w:marRight w:val="0"/>
                  <w:marTop w:val="0"/>
                  <w:marBottom w:val="0"/>
                  <w:divBdr>
                    <w:top w:val="none" w:sz="0" w:space="0" w:color="auto"/>
                    <w:left w:val="none" w:sz="0" w:space="0" w:color="auto"/>
                    <w:bottom w:val="none" w:sz="0" w:space="0" w:color="auto"/>
                    <w:right w:val="none" w:sz="0" w:space="0" w:color="auto"/>
                  </w:divBdr>
                </w:div>
              </w:divsChild>
            </w:div>
            <w:div w:id="1607345032">
              <w:marLeft w:val="0"/>
              <w:marRight w:val="0"/>
              <w:marTop w:val="300"/>
              <w:marBottom w:val="300"/>
              <w:divBdr>
                <w:top w:val="none" w:sz="0" w:space="0" w:color="auto"/>
                <w:left w:val="none" w:sz="0" w:space="0" w:color="auto"/>
                <w:bottom w:val="none" w:sz="0" w:space="0" w:color="auto"/>
                <w:right w:val="none" w:sz="0" w:space="0" w:color="auto"/>
              </w:divBdr>
            </w:div>
            <w:div w:id="1608007186">
              <w:marLeft w:val="0"/>
              <w:marRight w:val="0"/>
              <w:marTop w:val="0"/>
              <w:marBottom w:val="0"/>
              <w:divBdr>
                <w:top w:val="none" w:sz="0" w:space="0" w:color="auto"/>
                <w:left w:val="none" w:sz="0" w:space="0" w:color="auto"/>
                <w:bottom w:val="none" w:sz="0" w:space="0" w:color="auto"/>
                <w:right w:val="none" w:sz="0" w:space="0" w:color="auto"/>
              </w:divBdr>
              <w:divsChild>
                <w:div w:id="594706317">
                  <w:marLeft w:val="0"/>
                  <w:marRight w:val="0"/>
                  <w:marTop w:val="0"/>
                  <w:marBottom w:val="0"/>
                  <w:divBdr>
                    <w:top w:val="none" w:sz="0" w:space="0" w:color="auto"/>
                    <w:left w:val="none" w:sz="0" w:space="0" w:color="auto"/>
                    <w:bottom w:val="none" w:sz="0" w:space="0" w:color="auto"/>
                    <w:right w:val="none" w:sz="0" w:space="0" w:color="auto"/>
                  </w:divBdr>
                </w:div>
              </w:divsChild>
            </w:div>
            <w:div w:id="1608073609">
              <w:marLeft w:val="0"/>
              <w:marRight w:val="0"/>
              <w:marTop w:val="0"/>
              <w:marBottom w:val="0"/>
              <w:divBdr>
                <w:top w:val="none" w:sz="0" w:space="0" w:color="auto"/>
                <w:left w:val="none" w:sz="0" w:space="0" w:color="auto"/>
                <w:bottom w:val="none" w:sz="0" w:space="0" w:color="auto"/>
                <w:right w:val="none" w:sz="0" w:space="0" w:color="auto"/>
              </w:divBdr>
              <w:divsChild>
                <w:div w:id="21128755">
                  <w:marLeft w:val="0"/>
                  <w:marRight w:val="0"/>
                  <w:marTop w:val="0"/>
                  <w:marBottom w:val="0"/>
                  <w:divBdr>
                    <w:top w:val="none" w:sz="0" w:space="0" w:color="auto"/>
                    <w:left w:val="none" w:sz="0" w:space="0" w:color="auto"/>
                    <w:bottom w:val="none" w:sz="0" w:space="0" w:color="auto"/>
                    <w:right w:val="none" w:sz="0" w:space="0" w:color="auto"/>
                  </w:divBdr>
                </w:div>
              </w:divsChild>
            </w:div>
            <w:div w:id="1608274060">
              <w:marLeft w:val="0"/>
              <w:marRight w:val="0"/>
              <w:marTop w:val="0"/>
              <w:marBottom w:val="0"/>
              <w:divBdr>
                <w:top w:val="none" w:sz="0" w:space="0" w:color="auto"/>
                <w:left w:val="none" w:sz="0" w:space="0" w:color="auto"/>
                <w:bottom w:val="none" w:sz="0" w:space="0" w:color="auto"/>
                <w:right w:val="none" w:sz="0" w:space="0" w:color="auto"/>
              </w:divBdr>
              <w:divsChild>
                <w:div w:id="1640069825">
                  <w:marLeft w:val="0"/>
                  <w:marRight w:val="0"/>
                  <w:marTop w:val="0"/>
                  <w:marBottom w:val="0"/>
                  <w:divBdr>
                    <w:top w:val="none" w:sz="0" w:space="0" w:color="auto"/>
                    <w:left w:val="none" w:sz="0" w:space="0" w:color="auto"/>
                    <w:bottom w:val="none" w:sz="0" w:space="0" w:color="auto"/>
                    <w:right w:val="none" w:sz="0" w:space="0" w:color="auto"/>
                  </w:divBdr>
                </w:div>
              </w:divsChild>
            </w:div>
            <w:div w:id="1613592056">
              <w:marLeft w:val="0"/>
              <w:marRight w:val="0"/>
              <w:marTop w:val="0"/>
              <w:marBottom w:val="0"/>
              <w:divBdr>
                <w:top w:val="none" w:sz="0" w:space="0" w:color="auto"/>
                <w:left w:val="none" w:sz="0" w:space="0" w:color="auto"/>
                <w:bottom w:val="none" w:sz="0" w:space="0" w:color="auto"/>
                <w:right w:val="none" w:sz="0" w:space="0" w:color="auto"/>
              </w:divBdr>
              <w:divsChild>
                <w:div w:id="918291789">
                  <w:marLeft w:val="0"/>
                  <w:marRight w:val="0"/>
                  <w:marTop w:val="0"/>
                  <w:marBottom w:val="0"/>
                  <w:divBdr>
                    <w:top w:val="none" w:sz="0" w:space="0" w:color="auto"/>
                    <w:left w:val="none" w:sz="0" w:space="0" w:color="auto"/>
                    <w:bottom w:val="none" w:sz="0" w:space="0" w:color="auto"/>
                    <w:right w:val="none" w:sz="0" w:space="0" w:color="auto"/>
                  </w:divBdr>
                </w:div>
              </w:divsChild>
            </w:div>
            <w:div w:id="1619028131">
              <w:marLeft w:val="0"/>
              <w:marRight w:val="0"/>
              <w:marTop w:val="0"/>
              <w:marBottom w:val="0"/>
              <w:divBdr>
                <w:top w:val="none" w:sz="0" w:space="0" w:color="auto"/>
                <w:left w:val="none" w:sz="0" w:space="0" w:color="auto"/>
                <w:bottom w:val="none" w:sz="0" w:space="0" w:color="auto"/>
                <w:right w:val="none" w:sz="0" w:space="0" w:color="auto"/>
              </w:divBdr>
              <w:divsChild>
                <w:div w:id="285895099">
                  <w:marLeft w:val="0"/>
                  <w:marRight w:val="0"/>
                  <w:marTop w:val="0"/>
                  <w:marBottom w:val="0"/>
                  <w:divBdr>
                    <w:top w:val="none" w:sz="0" w:space="0" w:color="auto"/>
                    <w:left w:val="none" w:sz="0" w:space="0" w:color="auto"/>
                    <w:bottom w:val="none" w:sz="0" w:space="0" w:color="auto"/>
                    <w:right w:val="none" w:sz="0" w:space="0" w:color="auto"/>
                  </w:divBdr>
                </w:div>
              </w:divsChild>
            </w:div>
            <w:div w:id="1619607683">
              <w:marLeft w:val="0"/>
              <w:marRight w:val="0"/>
              <w:marTop w:val="0"/>
              <w:marBottom w:val="0"/>
              <w:divBdr>
                <w:top w:val="none" w:sz="0" w:space="0" w:color="auto"/>
                <w:left w:val="none" w:sz="0" w:space="0" w:color="auto"/>
                <w:bottom w:val="none" w:sz="0" w:space="0" w:color="auto"/>
                <w:right w:val="none" w:sz="0" w:space="0" w:color="auto"/>
              </w:divBdr>
              <w:divsChild>
                <w:div w:id="1868366327">
                  <w:marLeft w:val="0"/>
                  <w:marRight w:val="0"/>
                  <w:marTop w:val="0"/>
                  <w:marBottom w:val="0"/>
                  <w:divBdr>
                    <w:top w:val="none" w:sz="0" w:space="0" w:color="auto"/>
                    <w:left w:val="none" w:sz="0" w:space="0" w:color="auto"/>
                    <w:bottom w:val="none" w:sz="0" w:space="0" w:color="auto"/>
                    <w:right w:val="none" w:sz="0" w:space="0" w:color="auto"/>
                  </w:divBdr>
                </w:div>
              </w:divsChild>
            </w:div>
            <w:div w:id="1622688452">
              <w:marLeft w:val="0"/>
              <w:marRight w:val="0"/>
              <w:marTop w:val="0"/>
              <w:marBottom w:val="0"/>
              <w:divBdr>
                <w:top w:val="none" w:sz="0" w:space="0" w:color="auto"/>
                <w:left w:val="none" w:sz="0" w:space="0" w:color="auto"/>
                <w:bottom w:val="none" w:sz="0" w:space="0" w:color="auto"/>
                <w:right w:val="none" w:sz="0" w:space="0" w:color="auto"/>
              </w:divBdr>
              <w:divsChild>
                <w:div w:id="1492600496">
                  <w:marLeft w:val="0"/>
                  <w:marRight w:val="0"/>
                  <w:marTop w:val="0"/>
                  <w:marBottom w:val="0"/>
                  <w:divBdr>
                    <w:top w:val="none" w:sz="0" w:space="0" w:color="auto"/>
                    <w:left w:val="none" w:sz="0" w:space="0" w:color="auto"/>
                    <w:bottom w:val="none" w:sz="0" w:space="0" w:color="auto"/>
                    <w:right w:val="none" w:sz="0" w:space="0" w:color="auto"/>
                  </w:divBdr>
                </w:div>
              </w:divsChild>
            </w:div>
            <w:div w:id="1623224950">
              <w:marLeft w:val="0"/>
              <w:marRight w:val="0"/>
              <w:marTop w:val="0"/>
              <w:marBottom w:val="0"/>
              <w:divBdr>
                <w:top w:val="none" w:sz="0" w:space="0" w:color="auto"/>
                <w:left w:val="none" w:sz="0" w:space="0" w:color="auto"/>
                <w:bottom w:val="none" w:sz="0" w:space="0" w:color="auto"/>
                <w:right w:val="none" w:sz="0" w:space="0" w:color="auto"/>
              </w:divBdr>
              <w:divsChild>
                <w:div w:id="1491099117">
                  <w:marLeft w:val="0"/>
                  <w:marRight w:val="0"/>
                  <w:marTop w:val="0"/>
                  <w:marBottom w:val="0"/>
                  <w:divBdr>
                    <w:top w:val="none" w:sz="0" w:space="0" w:color="auto"/>
                    <w:left w:val="none" w:sz="0" w:space="0" w:color="auto"/>
                    <w:bottom w:val="none" w:sz="0" w:space="0" w:color="auto"/>
                    <w:right w:val="none" w:sz="0" w:space="0" w:color="auto"/>
                  </w:divBdr>
                </w:div>
              </w:divsChild>
            </w:div>
            <w:div w:id="1628125318">
              <w:marLeft w:val="0"/>
              <w:marRight w:val="0"/>
              <w:marTop w:val="300"/>
              <w:marBottom w:val="300"/>
              <w:divBdr>
                <w:top w:val="none" w:sz="0" w:space="0" w:color="auto"/>
                <w:left w:val="none" w:sz="0" w:space="0" w:color="auto"/>
                <w:bottom w:val="none" w:sz="0" w:space="0" w:color="auto"/>
                <w:right w:val="none" w:sz="0" w:space="0" w:color="auto"/>
              </w:divBdr>
            </w:div>
            <w:div w:id="1628314464">
              <w:marLeft w:val="0"/>
              <w:marRight w:val="0"/>
              <w:marTop w:val="0"/>
              <w:marBottom w:val="0"/>
              <w:divBdr>
                <w:top w:val="none" w:sz="0" w:space="0" w:color="auto"/>
                <w:left w:val="none" w:sz="0" w:space="0" w:color="auto"/>
                <w:bottom w:val="none" w:sz="0" w:space="0" w:color="auto"/>
                <w:right w:val="none" w:sz="0" w:space="0" w:color="auto"/>
              </w:divBdr>
              <w:divsChild>
                <w:div w:id="1540704040">
                  <w:marLeft w:val="0"/>
                  <w:marRight w:val="0"/>
                  <w:marTop w:val="0"/>
                  <w:marBottom w:val="0"/>
                  <w:divBdr>
                    <w:top w:val="none" w:sz="0" w:space="0" w:color="auto"/>
                    <w:left w:val="none" w:sz="0" w:space="0" w:color="auto"/>
                    <w:bottom w:val="none" w:sz="0" w:space="0" w:color="auto"/>
                    <w:right w:val="none" w:sz="0" w:space="0" w:color="auto"/>
                  </w:divBdr>
                </w:div>
              </w:divsChild>
            </w:div>
            <w:div w:id="1628467591">
              <w:marLeft w:val="0"/>
              <w:marRight w:val="0"/>
              <w:marTop w:val="0"/>
              <w:marBottom w:val="0"/>
              <w:divBdr>
                <w:top w:val="none" w:sz="0" w:space="0" w:color="auto"/>
                <w:left w:val="none" w:sz="0" w:space="0" w:color="auto"/>
                <w:bottom w:val="none" w:sz="0" w:space="0" w:color="auto"/>
                <w:right w:val="none" w:sz="0" w:space="0" w:color="auto"/>
              </w:divBdr>
              <w:divsChild>
                <w:div w:id="622882156">
                  <w:marLeft w:val="0"/>
                  <w:marRight w:val="0"/>
                  <w:marTop w:val="0"/>
                  <w:marBottom w:val="0"/>
                  <w:divBdr>
                    <w:top w:val="none" w:sz="0" w:space="0" w:color="auto"/>
                    <w:left w:val="none" w:sz="0" w:space="0" w:color="auto"/>
                    <w:bottom w:val="none" w:sz="0" w:space="0" w:color="auto"/>
                    <w:right w:val="none" w:sz="0" w:space="0" w:color="auto"/>
                  </w:divBdr>
                </w:div>
              </w:divsChild>
            </w:div>
            <w:div w:id="1629167757">
              <w:marLeft w:val="0"/>
              <w:marRight w:val="0"/>
              <w:marTop w:val="0"/>
              <w:marBottom w:val="0"/>
              <w:divBdr>
                <w:top w:val="none" w:sz="0" w:space="0" w:color="auto"/>
                <w:left w:val="none" w:sz="0" w:space="0" w:color="auto"/>
                <w:bottom w:val="none" w:sz="0" w:space="0" w:color="auto"/>
                <w:right w:val="none" w:sz="0" w:space="0" w:color="auto"/>
              </w:divBdr>
              <w:divsChild>
                <w:div w:id="4862532">
                  <w:marLeft w:val="0"/>
                  <w:marRight w:val="0"/>
                  <w:marTop w:val="0"/>
                  <w:marBottom w:val="0"/>
                  <w:divBdr>
                    <w:top w:val="none" w:sz="0" w:space="0" w:color="auto"/>
                    <w:left w:val="none" w:sz="0" w:space="0" w:color="auto"/>
                    <w:bottom w:val="none" w:sz="0" w:space="0" w:color="auto"/>
                    <w:right w:val="none" w:sz="0" w:space="0" w:color="auto"/>
                  </w:divBdr>
                </w:div>
              </w:divsChild>
            </w:div>
            <w:div w:id="1629776026">
              <w:marLeft w:val="0"/>
              <w:marRight w:val="0"/>
              <w:marTop w:val="0"/>
              <w:marBottom w:val="0"/>
              <w:divBdr>
                <w:top w:val="none" w:sz="0" w:space="0" w:color="auto"/>
                <w:left w:val="none" w:sz="0" w:space="0" w:color="auto"/>
                <w:bottom w:val="none" w:sz="0" w:space="0" w:color="auto"/>
                <w:right w:val="none" w:sz="0" w:space="0" w:color="auto"/>
              </w:divBdr>
              <w:divsChild>
                <w:div w:id="652953541">
                  <w:marLeft w:val="0"/>
                  <w:marRight w:val="0"/>
                  <w:marTop w:val="0"/>
                  <w:marBottom w:val="0"/>
                  <w:divBdr>
                    <w:top w:val="none" w:sz="0" w:space="0" w:color="auto"/>
                    <w:left w:val="none" w:sz="0" w:space="0" w:color="auto"/>
                    <w:bottom w:val="none" w:sz="0" w:space="0" w:color="auto"/>
                    <w:right w:val="none" w:sz="0" w:space="0" w:color="auto"/>
                  </w:divBdr>
                </w:div>
              </w:divsChild>
            </w:div>
            <w:div w:id="1630237597">
              <w:marLeft w:val="0"/>
              <w:marRight w:val="0"/>
              <w:marTop w:val="0"/>
              <w:marBottom w:val="0"/>
              <w:divBdr>
                <w:top w:val="none" w:sz="0" w:space="0" w:color="auto"/>
                <w:left w:val="none" w:sz="0" w:space="0" w:color="auto"/>
                <w:bottom w:val="none" w:sz="0" w:space="0" w:color="auto"/>
                <w:right w:val="none" w:sz="0" w:space="0" w:color="auto"/>
              </w:divBdr>
              <w:divsChild>
                <w:div w:id="1978879397">
                  <w:marLeft w:val="0"/>
                  <w:marRight w:val="0"/>
                  <w:marTop w:val="0"/>
                  <w:marBottom w:val="0"/>
                  <w:divBdr>
                    <w:top w:val="none" w:sz="0" w:space="0" w:color="auto"/>
                    <w:left w:val="none" w:sz="0" w:space="0" w:color="auto"/>
                    <w:bottom w:val="none" w:sz="0" w:space="0" w:color="auto"/>
                    <w:right w:val="none" w:sz="0" w:space="0" w:color="auto"/>
                  </w:divBdr>
                </w:div>
              </w:divsChild>
            </w:div>
            <w:div w:id="1630433901">
              <w:marLeft w:val="0"/>
              <w:marRight w:val="0"/>
              <w:marTop w:val="0"/>
              <w:marBottom w:val="0"/>
              <w:divBdr>
                <w:top w:val="none" w:sz="0" w:space="0" w:color="auto"/>
                <w:left w:val="none" w:sz="0" w:space="0" w:color="auto"/>
                <w:bottom w:val="none" w:sz="0" w:space="0" w:color="auto"/>
                <w:right w:val="none" w:sz="0" w:space="0" w:color="auto"/>
              </w:divBdr>
              <w:divsChild>
                <w:div w:id="188376621">
                  <w:marLeft w:val="0"/>
                  <w:marRight w:val="0"/>
                  <w:marTop w:val="0"/>
                  <w:marBottom w:val="0"/>
                  <w:divBdr>
                    <w:top w:val="none" w:sz="0" w:space="0" w:color="auto"/>
                    <w:left w:val="none" w:sz="0" w:space="0" w:color="auto"/>
                    <w:bottom w:val="none" w:sz="0" w:space="0" w:color="auto"/>
                    <w:right w:val="none" w:sz="0" w:space="0" w:color="auto"/>
                  </w:divBdr>
                </w:div>
              </w:divsChild>
            </w:div>
            <w:div w:id="1630434659">
              <w:marLeft w:val="0"/>
              <w:marRight w:val="0"/>
              <w:marTop w:val="0"/>
              <w:marBottom w:val="0"/>
              <w:divBdr>
                <w:top w:val="none" w:sz="0" w:space="0" w:color="auto"/>
                <w:left w:val="none" w:sz="0" w:space="0" w:color="auto"/>
                <w:bottom w:val="none" w:sz="0" w:space="0" w:color="auto"/>
                <w:right w:val="none" w:sz="0" w:space="0" w:color="auto"/>
              </w:divBdr>
              <w:divsChild>
                <w:div w:id="1649165276">
                  <w:marLeft w:val="0"/>
                  <w:marRight w:val="0"/>
                  <w:marTop w:val="0"/>
                  <w:marBottom w:val="0"/>
                  <w:divBdr>
                    <w:top w:val="none" w:sz="0" w:space="0" w:color="auto"/>
                    <w:left w:val="none" w:sz="0" w:space="0" w:color="auto"/>
                    <w:bottom w:val="none" w:sz="0" w:space="0" w:color="auto"/>
                    <w:right w:val="none" w:sz="0" w:space="0" w:color="auto"/>
                  </w:divBdr>
                </w:div>
              </w:divsChild>
            </w:div>
            <w:div w:id="1632244868">
              <w:marLeft w:val="0"/>
              <w:marRight w:val="0"/>
              <w:marTop w:val="0"/>
              <w:marBottom w:val="0"/>
              <w:divBdr>
                <w:top w:val="none" w:sz="0" w:space="0" w:color="auto"/>
                <w:left w:val="none" w:sz="0" w:space="0" w:color="auto"/>
                <w:bottom w:val="none" w:sz="0" w:space="0" w:color="auto"/>
                <w:right w:val="none" w:sz="0" w:space="0" w:color="auto"/>
              </w:divBdr>
              <w:divsChild>
                <w:div w:id="1920938120">
                  <w:marLeft w:val="0"/>
                  <w:marRight w:val="0"/>
                  <w:marTop w:val="0"/>
                  <w:marBottom w:val="0"/>
                  <w:divBdr>
                    <w:top w:val="none" w:sz="0" w:space="0" w:color="auto"/>
                    <w:left w:val="none" w:sz="0" w:space="0" w:color="auto"/>
                    <w:bottom w:val="none" w:sz="0" w:space="0" w:color="auto"/>
                    <w:right w:val="none" w:sz="0" w:space="0" w:color="auto"/>
                  </w:divBdr>
                </w:div>
              </w:divsChild>
            </w:div>
            <w:div w:id="1634141958">
              <w:marLeft w:val="0"/>
              <w:marRight w:val="0"/>
              <w:marTop w:val="0"/>
              <w:marBottom w:val="0"/>
              <w:divBdr>
                <w:top w:val="none" w:sz="0" w:space="0" w:color="auto"/>
                <w:left w:val="none" w:sz="0" w:space="0" w:color="auto"/>
                <w:bottom w:val="none" w:sz="0" w:space="0" w:color="auto"/>
                <w:right w:val="none" w:sz="0" w:space="0" w:color="auto"/>
              </w:divBdr>
              <w:divsChild>
                <w:div w:id="170680032">
                  <w:marLeft w:val="0"/>
                  <w:marRight w:val="0"/>
                  <w:marTop w:val="0"/>
                  <w:marBottom w:val="0"/>
                  <w:divBdr>
                    <w:top w:val="none" w:sz="0" w:space="0" w:color="auto"/>
                    <w:left w:val="none" w:sz="0" w:space="0" w:color="auto"/>
                    <w:bottom w:val="none" w:sz="0" w:space="0" w:color="auto"/>
                    <w:right w:val="none" w:sz="0" w:space="0" w:color="auto"/>
                  </w:divBdr>
                </w:div>
              </w:divsChild>
            </w:div>
            <w:div w:id="1634868816">
              <w:marLeft w:val="0"/>
              <w:marRight w:val="0"/>
              <w:marTop w:val="0"/>
              <w:marBottom w:val="0"/>
              <w:divBdr>
                <w:top w:val="none" w:sz="0" w:space="0" w:color="auto"/>
                <w:left w:val="none" w:sz="0" w:space="0" w:color="auto"/>
                <w:bottom w:val="none" w:sz="0" w:space="0" w:color="auto"/>
                <w:right w:val="none" w:sz="0" w:space="0" w:color="auto"/>
              </w:divBdr>
              <w:divsChild>
                <w:div w:id="1184246733">
                  <w:marLeft w:val="0"/>
                  <w:marRight w:val="0"/>
                  <w:marTop w:val="0"/>
                  <w:marBottom w:val="0"/>
                  <w:divBdr>
                    <w:top w:val="none" w:sz="0" w:space="0" w:color="auto"/>
                    <w:left w:val="none" w:sz="0" w:space="0" w:color="auto"/>
                    <w:bottom w:val="none" w:sz="0" w:space="0" w:color="auto"/>
                    <w:right w:val="none" w:sz="0" w:space="0" w:color="auto"/>
                  </w:divBdr>
                </w:div>
              </w:divsChild>
            </w:div>
            <w:div w:id="1635938881">
              <w:marLeft w:val="0"/>
              <w:marRight w:val="0"/>
              <w:marTop w:val="0"/>
              <w:marBottom w:val="0"/>
              <w:divBdr>
                <w:top w:val="none" w:sz="0" w:space="0" w:color="auto"/>
                <w:left w:val="none" w:sz="0" w:space="0" w:color="auto"/>
                <w:bottom w:val="none" w:sz="0" w:space="0" w:color="auto"/>
                <w:right w:val="none" w:sz="0" w:space="0" w:color="auto"/>
              </w:divBdr>
              <w:divsChild>
                <w:div w:id="1364164359">
                  <w:marLeft w:val="0"/>
                  <w:marRight w:val="0"/>
                  <w:marTop w:val="0"/>
                  <w:marBottom w:val="0"/>
                  <w:divBdr>
                    <w:top w:val="none" w:sz="0" w:space="0" w:color="auto"/>
                    <w:left w:val="none" w:sz="0" w:space="0" w:color="auto"/>
                    <w:bottom w:val="none" w:sz="0" w:space="0" w:color="auto"/>
                    <w:right w:val="none" w:sz="0" w:space="0" w:color="auto"/>
                  </w:divBdr>
                </w:div>
              </w:divsChild>
            </w:div>
            <w:div w:id="1638146617">
              <w:marLeft w:val="0"/>
              <w:marRight w:val="0"/>
              <w:marTop w:val="0"/>
              <w:marBottom w:val="0"/>
              <w:divBdr>
                <w:top w:val="none" w:sz="0" w:space="0" w:color="auto"/>
                <w:left w:val="none" w:sz="0" w:space="0" w:color="auto"/>
                <w:bottom w:val="none" w:sz="0" w:space="0" w:color="auto"/>
                <w:right w:val="none" w:sz="0" w:space="0" w:color="auto"/>
              </w:divBdr>
              <w:divsChild>
                <w:div w:id="58091339">
                  <w:marLeft w:val="0"/>
                  <w:marRight w:val="0"/>
                  <w:marTop w:val="0"/>
                  <w:marBottom w:val="0"/>
                  <w:divBdr>
                    <w:top w:val="none" w:sz="0" w:space="0" w:color="auto"/>
                    <w:left w:val="none" w:sz="0" w:space="0" w:color="auto"/>
                    <w:bottom w:val="none" w:sz="0" w:space="0" w:color="auto"/>
                    <w:right w:val="none" w:sz="0" w:space="0" w:color="auto"/>
                  </w:divBdr>
                </w:div>
              </w:divsChild>
            </w:div>
            <w:div w:id="1638798159">
              <w:marLeft w:val="0"/>
              <w:marRight w:val="0"/>
              <w:marTop w:val="0"/>
              <w:marBottom w:val="0"/>
              <w:divBdr>
                <w:top w:val="none" w:sz="0" w:space="0" w:color="auto"/>
                <w:left w:val="none" w:sz="0" w:space="0" w:color="auto"/>
                <w:bottom w:val="none" w:sz="0" w:space="0" w:color="auto"/>
                <w:right w:val="none" w:sz="0" w:space="0" w:color="auto"/>
              </w:divBdr>
              <w:divsChild>
                <w:div w:id="883326173">
                  <w:marLeft w:val="0"/>
                  <w:marRight w:val="0"/>
                  <w:marTop w:val="0"/>
                  <w:marBottom w:val="0"/>
                  <w:divBdr>
                    <w:top w:val="none" w:sz="0" w:space="0" w:color="auto"/>
                    <w:left w:val="none" w:sz="0" w:space="0" w:color="auto"/>
                    <w:bottom w:val="none" w:sz="0" w:space="0" w:color="auto"/>
                    <w:right w:val="none" w:sz="0" w:space="0" w:color="auto"/>
                  </w:divBdr>
                </w:div>
              </w:divsChild>
            </w:div>
            <w:div w:id="1641612605">
              <w:marLeft w:val="0"/>
              <w:marRight w:val="0"/>
              <w:marTop w:val="0"/>
              <w:marBottom w:val="0"/>
              <w:divBdr>
                <w:top w:val="none" w:sz="0" w:space="0" w:color="auto"/>
                <w:left w:val="none" w:sz="0" w:space="0" w:color="auto"/>
                <w:bottom w:val="none" w:sz="0" w:space="0" w:color="auto"/>
                <w:right w:val="none" w:sz="0" w:space="0" w:color="auto"/>
              </w:divBdr>
              <w:divsChild>
                <w:div w:id="1715424174">
                  <w:marLeft w:val="0"/>
                  <w:marRight w:val="0"/>
                  <w:marTop w:val="0"/>
                  <w:marBottom w:val="0"/>
                  <w:divBdr>
                    <w:top w:val="none" w:sz="0" w:space="0" w:color="auto"/>
                    <w:left w:val="none" w:sz="0" w:space="0" w:color="auto"/>
                    <w:bottom w:val="none" w:sz="0" w:space="0" w:color="auto"/>
                    <w:right w:val="none" w:sz="0" w:space="0" w:color="auto"/>
                  </w:divBdr>
                </w:div>
              </w:divsChild>
            </w:div>
            <w:div w:id="1642032362">
              <w:marLeft w:val="0"/>
              <w:marRight w:val="0"/>
              <w:marTop w:val="0"/>
              <w:marBottom w:val="0"/>
              <w:divBdr>
                <w:top w:val="none" w:sz="0" w:space="0" w:color="auto"/>
                <w:left w:val="none" w:sz="0" w:space="0" w:color="auto"/>
                <w:bottom w:val="none" w:sz="0" w:space="0" w:color="auto"/>
                <w:right w:val="none" w:sz="0" w:space="0" w:color="auto"/>
              </w:divBdr>
              <w:divsChild>
                <w:div w:id="1557232254">
                  <w:marLeft w:val="0"/>
                  <w:marRight w:val="0"/>
                  <w:marTop w:val="0"/>
                  <w:marBottom w:val="0"/>
                  <w:divBdr>
                    <w:top w:val="none" w:sz="0" w:space="0" w:color="auto"/>
                    <w:left w:val="none" w:sz="0" w:space="0" w:color="auto"/>
                    <w:bottom w:val="none" w:sz="0" w:space="0" w:color="auto"/>
                    <w:right w:val="none" w:sz="0" w:space="0" w:color="auto"/>
                  </w:divBdr>
                </w:div>
              </w:divsChild>
            </w:div>
            <w:div w:id="1642416353">
              <w:marLeft w:val="0"/>
              <w:marRight w:val="0"/>
              <w:marTop w:val="0"/>
              <w:marBottom w:val="0"/>
              <w:divBdr>
                <w:top w:val="none" w:sz="0" w:space="0" w:color="auto"/>
                <w:left w:val="none" w:sz="0" w:space="0" w:color="auto"/>
                <w:bottom w:val="none" w:sz="0" w:space="0" w:color="auto"/>
                <w:right w:val="none" w:sz="0" w:space="0" w:color="auto"/>
              </w:divBdr>
              <w:divsChild>
                <w:div w:id="905846492">
                  <w:marLeft w:val="0"/>
                  <w:marRight w:val="0"/>
                  <w:marTop w:val="0"/>
                  <w:marBottom w:val="0"/>
                  <w:divBdr>
                    <w:top w:val="none" w:sz="0" w:space="0" w:color="auto"/>
                    <w:left w:val="none" w:sz="0" w:space="0" w:color="auto"/>
                    <w:bottom w:val="none" w:sz="0" w:space="0" w:color="auto"/>
                    <w:right w:val="none" w:sz="0" w:space="0" w:color="auto"/>
                  </w:divBdr>
                </w:div>
              </w:divsChild>
            </w:div>
            <w:div w:id="1643540795">
              <w:marLeft w:val="0"/>
              <w:marRight w:val="0"/>
              <w:marTop w:val="0"/>
              <w:marBottom w:val="0"/>
              <w:divBdr>
                <w:top w:val="none" w:sz="0" w:space="0" w:color="auto"/>
                <w:left w:val="none" w:sz="0" w:space="0" w:color="auto"/>
                <w:bottom w:val="none" w:sz="0" w:space="0" w:color="auto"/>
                <w:right w:val="none" w:sz="0" w:space="0" w:color="auto"/>
              </w:divBdr>
              <w:divsChild>
                <w:div w:id="2044280225">
                  <w:marLeft w:val="0"/>
                  <w:marRight w:val="0"/>
                  <w:marTop w:val="0"/>
                  <w:marBottom w:val="0"/>
                  <w:divBdr>
                    <w:top w:val="none" w:sz="0" w:space="0" w:color="auto"/>
                    <w:left w:val="none" w:sz="0" w:space="0" w:color="auto"/>
                    <w:bottom w:val="none" w:sz="0" w:space="0" w:color="auto"/>
                    <w:right w:val="none" w:sz="0" w:space="0" w:color="auto"/>
                  </w:divBdr>
                </w:div>
              </w:divsChild>
            </w:div>
            <w:div w:id="1643585343">
              <w:marLeft w:val="0"/>
              <w:marRight w:val="0"/>
              <w:marTop w:val="0"/>
              <w:marBottom w:val="0"/>
              <w:divBdr>
                <w:top w:val="none" w:sz="0" w:space="0" w:color="auto"/>
                <w:left w:val="none" w:sz="0" w:space="0" w:color="auto"/>
                <w:bottom w:val="none" w:sz="0" w:space="0" w:color="auto"/>
                <w:right w:val="none" w:sz="0" w:space="0" w:color="auto"/>
              </w:divBdr>
              <w:divsChild>
                <w:div w:id="484394829">
                  <w:marLeft w:val="0"/>
                  <w:marRight w:val="0"/>
                  <w:marTop w:val="0"/>
                  <w:marBottom w:val="0"/>
                  <w:divBdr>
                    <w:top w:val="none" w:sz="0" w:space="0" w:color="auto"/>
                    <w:left w:val="none" w:sz="0" w:space="0" w:color="auto"/>
                    <w:bottom w:val="none" w:sz="0" w:space="0" w:color="auto"/>
                    <w:right w:val="none" w:sz="0" w:space="0" w:color="auto"/>
                  </w:divBdr>
                </w:div>
              </w:divsChild>
            </w:div>
            <w:div w:id="1644119132">
              <w:marLeft w:val="0"/>
              <w:marRight w:val="0"/>
              <w:marTop w:val="0"/>
              <w:marBottom w:val="0"/>
              <w:divBdr>
                <w:top w:val="none" w:sz="0" w:space="0" w:color="auto"/>
                <w:left w:val="none" w:sz="0" w:space="0" w:color="auto"/>
                <w:bottom w:val="none" w:sz="0" w:space="0" w:color="auto"/>
                <w:right w:val="none" w:sz="0" w:space="0" w:color="auto"/>
              </w:divBdr>
              <w:divsChild>
                <w:div w:id="1426340347">
                  <w:marLeft w:val="0"/>
                  <w:marRight w:val="0"/>
                  <w:marTop w:val="0"/>
                  <w:marBottom w:val="0"/>
                  <w:divBdr>
                    <w:top w:val="none" w:sz="0" w:space="0" w:color="auto"/>
                    <w:left w:val="none" w:sz="0" w:space="0" w:color="auto"/>
                    <w:bottom w:val="none" w:sz="0" w:space="0" w:color="auto"/>
                    <w:right w:val="none" w:sz="0" w:space="0" w:color="auto"/>
                  </w:divBdr>
                </w:div>
              </w:divsChild>
            </w:div>
            <w:div w:id="1650010453">
              <w:marLeft w:val="0"/>
              <w:marRight w:val="0"/>
              <w:marTop w:val="0"/>
              <w:marBottom w:val="0"/>
              <w:divBdr>
                <w:top w:val="none" w:sz="0" w:space="0" w:color="auto"/>
                <w:left w:val="none" w:sz="0" w:space="0" w:color="auto"/>
                <w:bottom w:val="none" w:sz="0" w:space="0" w:color="auto"/>
                <w:right w:val="none" w:sz="0" w:space="0" w:color="auto"/>
              </w:divBdr>
              <w:divsChild>
                <w:div w:id="197551814">
                  <w:marLeft w:val="0"/>
                  <w:marRight w:val="0"/>
                  <w:marTop w:val="0"/>
                  <w:marBottom w:val="0"/>
                  <w:divBdr>
                    <w:top w:val="none" w:sz="0" w:space="0" w:color="auto"/>
                    <w:left w:val="none" w:sz="0" w:space="0" w:color="auto"/>
                    <w:bottom w:val="none" w:sz="0" w:space="0" w:color="auto"/>
                    <w:right w:val="none" w:sz="0" w:space="0" w:color="auto"/>
                  </w:divBdr>
                </w:div>
              </w:divsChild>
            </w:div>
            <w:div w:id="1650132631">
              <w:marLeft w:val="0"/>
              <w:marRight w:val="0"/>
              <w:marTop w:val="0"/>
              <w:marBottom w:val="0"/>
              <w:divBdr>
                <w:top w:val="none" w:sz="0" w:space="0" w:color="auto"/>
                <w:left w:val="none" w:sz="0" w:space="0" w:color="auto"/>
                <w:bottom w:val="none" w:sz="0" w:space="0" w:color="auto"/>
                <w:right w:val="none" w:sz="0" w:space="0" w:color="auto"/>
              </w:divBdr>
              <w:divsChild>
                <w:div w:id="1862087853">
                  <w:marLeft w:val="0"/>
                  <w:marRight w:val="0"/>
                  <w:marTop w:val="0"/>
                  <w:marBottom w:val="0"/>
                  <w:divBdr>
                    <w:top w:val="none" w:sz="0" w:space="0" w:color="auto"/>
                    <w:left w:val="none" w:sz="0" w:space="0" w:color="auto"/>
                    <w:bottom w:val="none" w:sz="0" w:space="0" w:color="auto"/>
                    <w:right w:val="none" w:sz="0" w:space="0" w:color="auto"/>
                  </w:divBdr>
                </w:div>
              </w:divsChild>
            </w:div>
            <w:div w:id="1650549250">
              <w:marLeft w:val="0"/>
              <w:marRight w:val="0"/>
              <w:marTop w:val="0"/>
              <w:marBottom w:val="0"/>
              <w:divBdr>
                <w:top w:val="none" w:sz="0" w:space="0" w:color="auto"/>
                <w:left w:val="none" w:sz="0" w:space="0" w:color="auto"/>
                <w:bottom w:val="none" w:sz="0" w:space="0" w:color="auto"/>
                <w:right w:val="none" w:sz="0" w:space="0" w:color="auto"/>
              </w:divBdr>
              <w:divsChild>
                <w:div w:id="597523907">
                  <w:marLeft w:val="0"/>
                  <w:marRight w:val="0"/>
                  <w:marTop w:val="0"/>
                  <w:marBottom w:val="0"/>
                  <w:divBdr>
                    <w:top w:val="none" w:sz="0" w:space="0" w:color="auto"/>
                    <w:left w:val="none" w:sz="0" w:space="0" w:color="auto"/>
                    <w:bottom w:val="none" w:sz="0" w:space="0" w:color="auto"/>
                    <w:right w:val="none" w:sz="0" w:space="0" w:color="auto"/>
                  </w:divBdr>
                </w:div>
              </w:divsChild>
            </w:div>
            <w:div w:id="1650862037">
              <w:marLeft w:val="0"/>
              <w:marRight w:val="0"/>
              <w:marTop w:val="300"/>
              <w:marBottom w:val="300"/>
              <w:divBdr>
                <w:top w:val="none" w:sz="0" w:space="0" w:color="auto"/>
                <w:left w:val="none" w:sz="0" w:space="0" w:color="auto"/>
                <w:bottom w:val="none" w:sz="0" w:space="0" w:color="auto"/>
                <w:right w:val="none" w:sz="0" w:space="0" w:color="auto"/>
              </w:divBdr>
            </w:div>
            <w:div w:id="1651595906">
              <w:marLeft w:val="0"/>
              <w:marRight w:val="0"/>
              <w:marTop w:val="0"/>
              <w:marBottom w:val="0"/>
              <w:divBdr>
                <w:top w:val="none" w:sz="0" w:space="0" w:color="auto"/>
                <w:left w:val="none" w:sz="0" w:space="0" w:color="auto"/>
                <w:bottom w:val="none" w:sz="0" w:space="0" w:color="auto"/>
                <w:right w:val="none" w:sz="0" w:space="0" w:color="auto"/>
              </w:divBdr>
              <w:divsChild>
                <w:div w:id="188032952">
                  <w:marLeft w:val="0"/>
                  <w:marRight w:val="0"/>
                  <w:marTop w:val="0"/>
                  <w:marBottom w:val="0"/>
                  <w:divBdr>
                    <w:top w:val="none" w:sz="0" w:space="0" w:color="auto"/>
                    <w:left w:val="none" w:sz="0" w:space="0" w:color="auto"/>
                    <w:bottom w:val="none" w:sz="0" w:space="0" w:color="auto"/>
                    <w:right w:val="none" w:sz="0" w:space="0" w:color="auto"/>
                  </w:divBdr>
                </w:div>
              </w:divsChild>
            </w:div>
            <w:div w:id="1651867282">
              <w:marLeft w:val="0"/>
              <w:marRight w:val="0"/>
              <w:marTop w:val="300"/>
              <w:marBottom w:val="300"/>
              <w:divBdr>
                <w:top w:val="none" w:sz="0" w:space="0" w:color="auto"/>
                <w:left w:val="none" w:sz="0" w:space="0" w:color="auto"/>
                <w:bottom w:val="none" w:sz="0" w:space="0" w:color="auto"/>
                <w:right w:val="none" w:sz="0" w:space="0" w:color="auto"/>
              </w:divBdr>
            </w:div>
            <w:div w:id="1651983373">
              <w:marLeft w:val="0"/>
              <w:marRight w:val="0"/>
              <w:marTop w:val="0"/>
              <w:marBottom w:val="0"/>
              <w:divBdr>
                <w:top w:val="none" w:sz="0" w:space="0" w:color="auto"/>
                <w:left w:val="none" w:sz="0" w:space="0" w:color="auto"/>
                <w:bottom w:val="none" w:sz="0" w:space="0" w:color="auto"/>
                <w:right w:val="none" w:sz="0" w:space="0" w:color="auto"/>
              </w:divBdr>
              <w:divsChild>
                <w:div w:id="470290556">
                  <w:marLeft w:val="0"/>
                  <w:marRight w:val="0"/>
                  <w:marTop w:val="0"/>
                  <w:marBottom w:val="0"/>
                  <w:divBdr>
                    <w:top w:val="none" w:sz="0" w:space="0" w:color="auto"/>
                    <w:left w:val="none" w:sz="0" w:space="0" w:color="auto"/>
                    <w:bottom w:val="none" w:sz="0" w:space="0" w:color="auto"/>
                    <w:right w:val="none" w:sz="0" w:space="0" w:color="auto"/>
                  </w:divBdr>
                </w:div>
              </w:divsChild>
            </w:div>
            <w:div w:id="1653824740">
              <w:marLeft w:val="0"/>
              <w:marRight w:val="0"/>
              <w:marTop w:val="0"/>
              <w:marBottom w:val="0"/>
              <w:divBdr>
                <w:top w:val="none" w:sz="0" w:space="0" w:color="auto"/>
                <w:left w:val="none" w:sz="0" w:space="0" w:color="auto"/>
                <w:bottom w:val="none" w:sz="0" w:space="0" w:color="auto"/>
                <w:right w:val="none" w:sz="0" w:space="0" w:color="auto"/>
              </w:divBdr>
              <w:divsChild>
                <w:div w:id="256906938">
                  <w:marLeft w:val="0"/>
                  <w:marRight w:val="0"/>
                  <w:marTop w:val="0"/>
                  <w:marBottom w:val="0"/>
                  <w:divBdr>
                    <w:top w:val="none" w:sz="0" w:space="0" w:color="auto"/>
                    <w:left w:val="none" w:sz="0" w:space="0" w:color="auto"/>
                    <w:bottom w:val="none" w:sz="0" w:space="0" w:color="auto"/>
                    <w:right w:val="none" w:sz="0" w:space="0" w:color="auto"/>
                  </w:divBdr>
                </w:div>
              </w:divsChild>
            </w:div>
            <w:div w:id="1654529062">
              <w:marLeft w:val="0"/>
              <w:marRight w:val="0"/>
              <w:marTop w:val="0"/>
              <w:marBottom w:val="0"/>
              <w:divBdr>
                <w:top w:val="none" w:sz="0" w:space="0" w:color="auto"/>
                <w:left w:val="none" w:sz="0" w:space="0" w:color="auto"/>
                <w:bottom w:val="none" w:sz="0" w:space="0" w:color="auto"/>
                <w:right w:val="none" w:sz="0" w:space="0" w:color="auto"/>
              </w:divBdr>
              <w:divsChild>
                <w:div w:id="1974745548">
                  <w:marLeft w:val="0"/>
                  <w:marRight w:val="0"/>
                  <w:marTop w:val="0"/>
                  <w:marBottom w:val="0"/>
                  <w:divBdr>
                    <w:top w:val="none" w:sz="0" w:space="0" w:color="auto"/>
                    <w:left w:val="none" w:sz="0" w:space="0" w:color="auto"/>
                    <w:bottom w:val="none" w:sz="0" w:space="0" w:color="auto"/>
                    <w:right w:val="none" w:sz="0" w:space="0" w:color="auto"/>
                  </w:divBdr>
                </w:div>
              </w:divsChild>
            </w:div>
            <w:div w:id="1656374122">
              <w:marLeft w:val="0"/>
              <w:marRight w:val="0"/>
              <w:marTop w:val="0"/>
              <w:marBottom w:val="0"/>
              <w:divBdr>
                <w:top w:val="none" w:sz="0" w:space="0" w:color="auto"/>
                <w:left w:val="none" w:sz="0" w:space="0" w:color="auto"/>
                <w:bottom w:val="none" w:sz="0" w:space="0" w:color="auto"/>
                <w:right w:val="none" w:sz="0" w:space="0" w:color="auto"/>
              </w:divBdr>
              <w:divsChild>
                <w:div w:id="1415013612">
                  <w:marLeft w:val="0"/>
                  <w:marRight w:val="0"/>
                  <w:marTop w:val="0"/>
                  <w:marBottom w:val="0"/>
                  <w:divBdr>
                    <w:top w:val="none" w:sz="0" w:space="0" w:color="auto"/>
                    <w:left w:val="none" w:sz="0" w:space="0" w:color="auto"/>
                    <w:bottom w:val="none" w:sz="0" w:space="0" w:color="auto"/>
                    <w:right w:val="none" w:sz="0" w:space="0" w:color="auto"/>
                  </w:divBdr>
                </w:div>
              </w:divsChild>
            </w:div>
            <w:div w:id="1657681227">
              <w:marLeft w:val="0"/>
              <w:marRight w:val="0"/>
              <w:marTop w:val="0"/>
              <w:marBottom w:val="0"/>
              <w:divBdr>
                <w:top w:val="none" w:sz="0" w:space="0" w:color="auto"/>
                <w:left w:val="none" w:sz="0" w:space="0" w:color="auto"/>
                <w:bottom w:val="none" w:sz="0" w:space="0" w:color="auto"/>
                <w:right w:val="none" w:sz="0" w:space="0" w:color="auto"/>
              </w:divBdr>
              <w:divsChild>
                <w:div w:id="1925870145">
                  <w:marLeft w:val="0"/>
                  <w:marRight w:val="0"/>
                  <w:marTop w:val="0"/>
                  <w:marBottom w:val="0"/>
                  <w:divBdr>
                    <w:top w:val="none" w:sz="0" w:space="0" w:color="auto"/>
                    <w:left w:val="none" w:sz="0" w:space="0" w:color="auto"/>
                    <w:bottom w:val="none" w:sz="0" w:space="0" w:color="auto"/>
                    <w:right w:val="none" w:sz="0" w:space="0" w:color="auto"/>
                  </w:divBdr>
                </w:div>
              </w:divsChild>
            </w:div>
            <w:div w:id="1658345015">
              <w:marLeft w:val="0"/>
              <w:marRight w:val="0"/>
              <w:marTop w:val="0"/>
              <w:marBottom w:val="0"/>
              <w:divBdr>
                <w:top w:val="none" w:sz="0" w:space="0" w:color="auto"/>
                <w:left w:val="none" w:sz="0" w:space="0" w:color="auto"/>
                <w:bottom w:val="none" w:sz="0" w:space="0" w:color="auto"/>
                <w:right w:val="none" w:sz="0" w:space="0" w:color="auto"/>
              </w:divBdr>
              <w:divsChild>
                <w:div w:id="1793860446">
                  <w:marLeft w:val="0"/>
                  <w:marRight w:val="0"/>
                  <w:marTop w:val="0"/>
                  <w:marBottom w:val="0"/>
                  <w:divBdr>
                    <w:top w:val="none" w:sz="0" w:space="0" w:color="auto"/>
                    <w:left w:val="none" w:sz="0" w:space="0" w:color="auto"/>
                    <w:bottom w:val="none" w:sz="0" w:space="0" w:color="auto"/>
                    <w:right w:val="none" w:sz="0" w:space="0" w:color="auto"/>
                  </w:divBdr>
                </w:div>
              </w:divsChild>
            </w:div>
            <w:div w:id="1660108815">
              <w:marLeft w:val="0"/>
              <w:marRight w:val="0"/>
              <w:marTop w:val="0"/>
              <w:marBottom w:val="0"/>
              <w:divBdr>
                <w:top w:val="none" w:sz="0" w:space="0" w:color="auto"/>
                <w:left w:val="none" w:sz="0" w:space="0" w:color="auto"/>
                <w:bottom w:val="none" w:sz="0" w:space="0" w:color="auto"/>
                <w:right w:val="none" w:sz="0" w:space="0" w:color="auto"/>
              </w:divBdr>
              <w:divsChild>
                <w:div w:id="1206217424">
                  <w:marLeft w:val="0"/>
                  <w:marRight w:val="0"/>
                  <w:marTop w:val="0"/>
                  <w:marBottom w:val="0"/>
                  <w:divBdr>
                    <w:top w:val="none" w:sz="0" w:space="0" w:color="auto"/>
                    <w:left w:val="none" w:sz="0" w:space="0" w:color="auto"/>
                    <w:bottom w:val="none" w:sz="0" w:space="0" w:color="auto"/>
                    <w:right w:val="none" w:sz="0" w:space="0" w:color="auto"/>
                  </w:divBdr>
                </w:div>
              </w:divsChild>
            </w:div>
            <w:div w:id="1663393135">
              <w:marLeft w:val="0"/>
              <w:marRight w:val="0"/>
              <w:marTop w:val="0"/>
              <w:marBottom w:val="0"/>
              <w:divBdr>
                <w:top w:val="none" w:sz="0" w:space="0" w:color="auto"/>
                <w:left w:val="none" w:sz="0" w:space="0" w:color="auto"/>
                <w:bottom w:val="none" w:sz="0" w:space="0" w:color="auto"/>
                <w:right w:val="none" w:sz="0" w:space="0" w:color="auto"/>
              </w:divBdr>
              <w:divsChild>
                <w:div w:id="2134980301">
                  <w:marLeft w:val="0"/>
                  <w:marRight w:val="0"/>
                  <w:marTop w:val="0"/>
                  <w:marBottom w:val="0"/>
                  <w:divBdr>
                    <w:top w:val="none" w:sz="0" w:space="0" w:color="auto"/>
                    <w:left w:val="none" w:sz="0" w:space="0" w:color="auto"/>
                    <w:bottom w:val="none" w:sz="0" w:space="0" w:color="auto"/>
                    <w:right w:val="none" w:sz="0" w:space="0" w:color="auto"/>
                  </w:divBdr>
                </w:div>
              </w:divsChild>
            </w:div>
            <w:div w:id="1663971786">
              <w:marLeft w:val="0"/>
              <w:marRight w:val="0"/>
              <w:marTop w:val="300"/>
              <w:marBottom w:val="300"/>
              <w:divBdr>
                <w:top w:val="none" w:sz="0" w:space="0" w:color="auto"/>
                <w:left w:val="none" w:sz="0" w:space="0" w:color="auto"/>
                <w:bottom w:val="none" w:sz="0" w:space="0" w:color="auto"/>
                <w:right w:val="none" w:sz="0" w:space="0" w:color="auto"/>
              </w:divBdr>
            </w:div>
            <w:div w:id="1667250303">
              <w:marLeft w:val="0"/>
              <w:marRight w:val="0"/>
              <w:marTop w:val="0"/>
              <w:marBottom w:val="0"/>
              <w:divBdr>
                <w:top w:val="none" w:sz="0" w:space="0" w:color="auto"/>
                <w:left w:val="none" w:sz="0" w:space="0" w:color="auto"/>
                <w:bottom w:val="none" w:sz="0" w:space="0" w:color="auto"/>
                <w:right w:val="none" w:sz="0" w:space="0" w:color="auto"/>
              </w:divBdr>
              <w:divsChild>
                <w:div w:id="1220751306">
                  <w:marLeft w:val="0"/>
                  <w:marRight w:val="0"/>
                  <w:marTop w:val="0"/>
                  <w:marBottom w:val="0"/>
                  <w:divBdr>
                    <w:top w:val="none" w:sz="0" w:space="0" w:color="auto"/>
                    <w:left w:val="none" w:sz="0" w:space="0" w:color="auto"/>
                    <w:bottom w:val="none" w:sz="0" w:space="0" w:color="auto"/>
                    <w:right w:val="none" w:sz="0" w:space="0" w:color="auto"/>
                  </w:divBdr>
                </w:div>
              </w:divsChild>
            </w:div>
            <w:div w:id="1670131652">
              <w:marLeft w:val="0"/>
              <w:marRight w:val="0"/>
              <w:marTop w:val="0"/>
              <w:marBottom w:val="0"/>
              <w:divBdr>
                <w:top w:val="none" w:sz="0" w:space="0" w:color="auto"/>
                <w:left w:val="none" w:sz="0" w:space="0" w:color="auto"/>
                <w:bottom w:val="none" w:sz="0" w:space="0" w:color="auto"/>
                <w:right w:val="none" w:sz="0" w:space="0" w:color="auto"/>
              </w:divBdr>
              <w:divsChild>
                <w:div w:id="1498423521">
                  <w:marLeft w:val="0"/>
                  <w:marRight w:val="0"/>
                  <w:marTop w:val="0"/>
                  <w:marBottom w:val="0"/>
                  <w:divBdr>
                    <w:top w:val="none" w:sz="0" w:space="0" w:color="auto"/>
                    <w:left w:val="none" w:sz="0" w:space="0" w:color="auto"/>
                    <w:bottom w:val="none" w:sz="0" w:space="0" w:color="auto"/>
                    <w:right w:val="none" w:sz="0" w:space="0" w:color="auto"/>
                  </w:divBdr>
                </w:div>
              </w:divsChild>
            </w:div>
            <w:div w:id="1672828151">
              <w:marLeft w:val="0"/>
              <w:marRight w:val="0"/>
              <w:marTop w:val="300"/>
              <w:marBottom w:val="300"/>
              <w:divBdr>
                <w:top w:val="none" w:sz="0" w:space="0" w:color="auto"/>
                <w:left w:val="none" w:sz="0" w:space="0" w:color="auto"/>
                <w:bottom w:val="none" w:sz="0" w:space="0" w:color="auto"/>
                <w:right w:val="none" w:sz="0" w:space="0" w:color="auto"/>
              </w:divBdr>
            </w:div>
            <w:div w:id="1673069332">
              <w:marLeft w:val="0"/>
              <w:marRight w:val="0"/>
              <w:marTop w:val="0"/>
              <w:marBottom w:val="0"/>
              <w:divBdr>
                <w:top w:val="none" w:sz="0" w:space="0" w:color="auto"/>
                <w:left w:val="none" w:sz="0" w:space="0" w:color="auto"/>
                <w:bottom w:val="none" w:sz="0" w:space="0" w:color="auto"/>
                <w:right w:val="none" w:sz="0" w:space="0" w:color="auto"/>
              </w:divBdr>
              <w:divsChild>
                <w:div w:id="1737045562">
                  <w:marLeft w:val="0"/>
                  <w:marRight w:val="0"/>
                  <w:marTop w:val="0"/>
                  <w:marBottom w:val="0"/>
                  <w:divBdr>
                    <w:top w:val="none" w:sz="0" w:space="0" w:color="auto"/>
                    <w:left w:val="none" w:sz="0" w:space="0" w:color="auto"/>
                    <w:bottom w:val="none" w:sz="0" w:space="0" w:color="auto"/>
                    <w:right w:val="none" w:sz="0" w:space="0" w:color="auto"/>
                  </w:divBdr>
                </w:div>
              </w:divsChild>
            </w:div>
            <w:div w:id="1674257127">
              <w:marLeft w:val="0"/>
              <w:marRight w:val="0"/>
              <w:marTop w:val="0"/>
              <w:marBottom w:val="0"/>
              <w:divBdr>
                <w:top w:val="none" w:sz="0" w:space="0" w:color="auto"/>
                <w:left w:val="none" w:sz="0" w:space="0" w:color="auto"/>
                <w:bottom w:val="none" w:sz="0" w:space="0" w:color="auto"/>
                <w:right w:val="none" w:sz="0" w:space="0" w:color="auto"/>
              </w:divBdr>
              <w:divsChild>
                <w:div w:id="372538986">
                  <w:marLeft w:val="0"/>
                  <w:marRight w:val="0"/>
                  <w:marTop w:val="0"/>
                  <w:marBottom w:val="0"/>
                  <w:divBdr>
                    <w:top w:val="none" w:sz="0" w:space="0" w:color="auto"/>
                    <w:left w:val="none" w:sz="0" w:space="0" w:color="auto"/>
                    <w:bottom w:val="none" w:sz="0" w:space="0" w:color="auto"/>
                    <w:right w:val="none" w:sz="0" w:space="0" w:color="auto"/>
                  </w:divBdr>
                </w:div>
              </w:divsChild>
            </w:div>
            <w:div w:id="1676766929">
              <w:marLeft w:val="0"/>
              <w:marRight w:val="0"/>
              <w:marTop w:val="0"/>
              <w:marBottom w:val="0"/>
              <w:divBdr>
                <w:top w:val="none" w:sz="0" w:space="0" w:color="auto"/>
                <w:left w:val="none" w:sz="0" w:space="0" w:color="auto"/>
                <w:bottom w:val="none" w:sz="0" w:space="0" w:color="auto"/>
                <w:right w:val="none" w:sz="0" w:space="0" w:color="auto"/>
              </w:divBdr>
              <w:divsChild>
                <w:div w:id="1702900228">
                  <w:marLeft w:val="0"/>
                  <w:marRight w:val="0"/>
                  <w:marTop w:val="0"/>
                  <w:marBottom w:val="0"/>
                  <w:divBdr>
                    <w:top w:val="none" w:sz="0" w:space="0" w:color="auto"/>
                    <w:left w:val="none" w:sz="0" w:space="0" w:color="auto"/>
                    <w:bottom w:val="none" w:sz="0" w:space="0" w:color="auto"/>
                    <w:right w:val="none" w:sz="0" w:space="0" w:color="auto"/>
                  </w:divBdr>
                </w:div>
              </w:divsChild>
            </w:div>
            <w:div w:id="1677077483">
              <w:marLeft w:val="0"/>
              <w:marRight w:val="0"/>
              <w:marTop w:val="300"/>
              <w:marBottom w:val="300"/>
              <w:divBdr>
                <w:top w:val="none" w:sz="0" w:space="0" w:color="auto"/>
                <w:left w:val="none" w:sz="0" w:space="0" w:color="auto"/>
                <w:bottom w:val="none" w:sz="0" w:space="0" w:color="auto"/>
                <w:right w:val="none" w:sz="0" w:space="0" w:color="auto"/>
              </w:divBdr>
            </w:div>
            <w:div w:id="1677998158">
              <w:marLeft w:val="0"/>
              <w:marRight w:val="0"/>
              <w:marTop w:val="0"/>
              <w:marBottom w:val="0"/>
              <w:divBdr>
                <w:top w:val="none" w:sz="0" w:space="0" w:color="auto"/>
                <w:left w:val="none" w:sz="0" w:space="0" w:color="auto"/>
                <w:bottom w:val="none" w:sz="0" w:space="0" w:color="auto"/>
                <w:right w:val="none" w:sz="0" w:space="0" w:color="auto"/>
              </w:divBdr>
              <w:divsChild>
                <w:div w:id="1605920704">
                  <w:marLeft w:val="0"/>
                  <w:marRight w:val="0"/>
                  <w:marTop w:val="0"/>
                  <w:marBottom w:val="0"/>
                  <w:divBdr>
                    <w:top w:val="none" w:sz="0" w:space="0" w:color="auto"/>
                    <w:left w:val="none" w:sz="0" w:space="0" w:color="auto"/>
                    <w:bottom w:val="none" w:sz="0" w:space="0" w:color="auto"/>
                    <w:right w:val="none" w:sz="0" w:space="0" w:color="auto"/>
                  </w:divBdr>
                </w:div>
              </w:divsChild>
            </w:div>
            <w:div w:id="1680738162">
              <w:marLeft w:val="0"/>
              <w:marRight w:val="0"/>
              <w:marTop w:val="0"/>
              <w:marBottom w:val="0"/>
              <w:divBdr>
                <w:top w:val="none" w:sz="0" w:space="0" w:color="auto"/>
                <w:left w:val="none" w:sz="0" w:space="0" w:color="auto"/>
                <w:bottom w:val="none" w:sz="0" w:space="0" w:color="auto"/>
                <w:right w:val="none" w:sz="0" w:space="0" w:color="auto"/>
              </w:divBdr>
              <w:divsChild>
                <w:div w:id="943537803">
                  <w:marLeft w:val="0"/>
                  <w:marRight w:val="0"/>
                  <w:marTop w:val="0"/>
                  <w:marBottom w:val="0"/>
                  <w:divBdr>
                    <w:top w:val="none" w:sz="0" w:space="0" w:color="auto"/>
                    <w:left w:val="none" w:sz="0" w:space="0" w:color="auto"/>
                    <w:bottom w:val="none" w:sz="0" w:space="0" w:color="auto"/>
                    <w:right w:val="none" w:sz="0" w:space="0" w:color="auto"/>
                  </w:divBdr>
                </w:div>
              </w:divsChild>
            </w:div>
            <w:div w:id="1683123252">
              <w:marLeft w:val="0"/>
              <w:marRight w:val="0"/>
              <w:marTop w:val="0"/>
              <w:marBottom w:val="0"/>
              <w:divBdr>
                <w:top w:val="none" w:sz="0" w:space="0" w:color="auto"/>
                <w:left w:val="none" w:sz="0" w:space="0" w:color="auto"/>
                <w:bottom w:val="none" w:sz="0" w:space="0" w:color="auto"/>
                <w:right w:val="none" w:sz="0" w:space="0" w:color="auto"/>
              </w:divBdr>
              <w:divsChild>
                <w:div w:id="649024354">
                  <w:marLeft w:val="0"/>
                  <w:marRight w:val="0"/>
                  <w:marTop w:val="0"/>
                  <w:marBottom w:val="0"/>
                  <w:divBdr>
                    <w:top w:val="none" w:sz="0" w:space="0" w:color="auto"/>
                    <w:left w:val="none" w:sz="0" w:space="0" w:color="auto"/>
                    <w:bottom w:val="none" w:sz="0" w:space="0" w:color="auto"/>
                    <w:right w:val="none" w:sz="0" w:space="0" w:color="auto"/>
                  </w:divBdr>
                </w:div>
              </w:divsChild>
            </w:div>
            <w:div w:id="1683431598">
              <w:marLeft w:val="0"/>
              <w:marRight w:val="0"/>
              <w:marTop w:val="0"/>
              <w:marBottom w:val="0"/>
              <w:divBdr>
                <w:top w:val="none" w:sz="0" w:space="0" w:color="auto"/>
                <w:left w:val="none" w:sz="0" w:space="0" w:color="auto"/>
                <w:bottom w:val="none" w:sz="0" w:space="0" w:color="auto"/>
                <w:right w:val="none" w:sz="0" w:space="0" w:color="auto"/>
              </w:divBdr>
              <w:divsChild>
                <w:div w:id="71852442">
                  <w:marLeft w:val="0"/>
                  <w:marRight w:val="0"/>
                  <w:marTop w:val="0"/>
                  <w:marBottom w:val="0"/>
                  <w:divBdr>
                    <w:top w:val="none" w:sz="0" w:space="0" w:color="auto"/>
                    <w:left w:val="none" w:sz="0" w:space="0" w:color="auto"/>
                    <w:bottom w:val="none" w:sz="0" w:space="0" w:color="auto"/>
                    <w:right w:val="none" w:sz="0" w:space="0" w:color="auto"/>
                  </w:divBdr>
                </w:div>
              </w:divsChild>
            </w:div>
            <w:div w:id="1684084762">
              <w:marLeft w:val="0"/>
              <w:marRight w:val="0"/>
              <w:marTop w:val="0"/>
              <w:marBottom w:val="0"/>
              <w:divBdr>
                <w:top w:val="none" w:sz="0" w:space="0" w:color="auto"/>
                <w:left w:val="none" w:sz="0" w:space="0" w:color="auto"/>
                <w:bottom w:val="none" w:sz="0" w:space="0" w:color="auto"/>
                <w:right w:val="none" w:sz="0" w:space="0" w:color="auto"/>
              </w:divBdr>
              <w:divsChild>
                <w:div w:id="2045791677">
                  <w:marLeft w:val="0"/>
                  <w:marRight w:val="0"/>
                  <w:marTop w:val="0"/>
                  <w:marBottom w:val="0"/>
                  <w:divBdr>
                    <w:top w:val="none" w:sz="0" w:space="0" w:color="auto"/>
                    <w:left w:val="none" w:sz="0" w:space="0" w:color="auto"/>
                    <w:bottom w:val="none" w:sz="0" w:space="0" w:color="auto"/>
                    <w:right w:val="none" w:sz="0" w:space="0" w:color="auto"/>
                  </w:divBdr>
                </w:div>
              </w:divsChild>
            </w:div>
            <w:div w:id="1684282300">
              <w:marLeft w:val="0"/>
              <w:marRight w:val="0"/>
              <w:marTop w:val="300"/>
              <w:marBottom w:val="300"/>
              <w:divBdr>
                <w:top w:val="none" w:sz="0" w:space="0" w:color="auto"/>
                <w:left w:val="none" w:sz="0" w:space="0" w:color="auto"/>
                <w:bottom w:val="none" w:sz="0" w:space="0" w:color="auto"/>
                <w:right w:val="none" w:sz="0" w:space="0" w:color="auto"/>
              </w:divBdr>
            </w:div>
            <w:div w:id="1684941113">
              <w:marLeft w:val="0"/>
              <w:marRight w:val="0"/>
              <w:marTop w:val="0"/>
              <w:marBottom w:val="0"/>
              <w:divBdr>
                <w:top w:val="none" w:sz="0" w:space="0" w:color="auto"/>
                <w:left w:val="none" w:sz="0" w:space="0" w:color="auto"/>
                <w:bottom w:val="none" w:sz="0" w:space="0" w:color="auto"/>
                <w:right w:val="none" w:sz="0" w:space="0" w:color="auto"/>
              </w:divBdr>
              <w:divsChild>
                <w:div w:id="995961254">
                  <w:marLeft w:val="0"/>
                  <w:marRight w:val="0"/>
                  <w:marTop w:val="0"/>
                  <w:marBottom w:val="0"/>
                  <w:divBdr>
                    <w:top w:val="none" w:sz="0" w:space="0" w:color="auto"/>
                    <w:left w:val="none" w:sz="0" w:space="0" w:color="auto"/>
                    <w:bottom w:val="none" w:sz="0" w:space="0" w:color="auto"/>
                    <w:right w:val="none" w:sz="0" w:space="0" w:color="auto"/>
                  </w:divBdr>
                </w:div>
              </w:divsChild>
            </w:div>
            <w:div w:id="1685090663">
              <w:marLeft w:val="0"/>
              <w:marRight w:val="0"/>
              <w:marTop w:val="0"/>
              <w:marBottom w:val="0"/>
              <w:divBdr>
                <w:top w:val="none" w:sz="0" w:space="0" w:color="auto"/>
                <w:left w:val="none" w:sz="0" w:space="0" w:color="auto"/>
                <w:bottom w:val="none" w:sz="0" w:space="0" w:color="auto"/>
                <w:right w:val="none" w:sz="0" w:space="0" w:color="auto"/>
              </w:divBdr>
              <w:divsChild>
                <w:div w:id="1250577166">
                  <w:marLeft w:val="0"/>
                  <w:marRight w:val="0"/>
                  <w:marTop w:val="0"/>
                  <w:marBottom w:val="0"/>
                  <w:divBdr>
                    <w:top w:val="none" w:sz="0" w:space="0" w:color="auto"/>
                    <w:left w:val="none" w:sz="0" w:space="0" w:color="auto"/>
                    <w:bottom w:val="none" w:sz="0" w:space="0" w:color="auto"/>
                    <w:right w:val="none" w:sz="0" w:space="0" w:color="auto"/>
                  </w:divBdr>
                </w:div>
              </w:divsChild>
            </w:div>
            <w:div w:id="1685282414">
              <w:marLeft w:val="0"/>
              <w:marRight w:val="0"/>
              <w:marTop w:val="0"/>
              <w:marBottom w:val="0"/>
              <w:divBdr>
                <w:top w:val="none" w:sz="0" w:space="0" w:color="auto"/>
                <w:left w:val="none" w:sz="0" w:space="0" w:color="auto"/>
                <w:bottom w:val="none" w:sz="0" w:space="0" w:color="auto"/>
                <w:right w:val="none" w:sz="0" w:space="0" w:color="auto"/>
              </w:divBdr>
              <w:divsChild>
                <w:div w:id="1764523630">
                  <w:marLeft w:val="0"/>
                  <w:marRight w:val="0"/>
                  <w:marTop w:val="0"/>
                  <w:marBottom w:val="0"/>
                  <w:divBdr>
                    <w:top w:val="none" w:sz="0" w:space="0" w:color="auto"/>
                    <w:left w:val="none" w:sz="0" w:space="0" w:color="auto"/>
                    <w:bottom w:val="none" w:sz="0" w:space="0" w:color="auto"/>
                    <w:right w:val="none" w:sz="0" w:space="0" w:color="auto"/>
                  </w:divBdr>
                </w:div>
              </w:divsChild>
            </w:div>
            <w:div w:id="1685401164">
              <w:marLeft w:val="0"/>
              <w:marRight w:val="0"/>
              <w:marTop w:val="0"/>
              <w:marBottom w:val="0"/>
              <w:divBdr>
                <w:top w:val="none" w:sz="0" w:space="0" w:color="auto"/>
                <w:left w:val="none" w:sz="0" w:space="0" w:color="auto"/>
                <w:bottom w:val="none" w:sz="0" w:space="0" w:color="auto"/>
                <w:right w:val="none" w:sz="0" w:space="0" w:color="auto"/>
              </w:divBdr>
              <w:divsChild>
                <w:div w:id="614870389">
                  <w:marLeft w:val="0"/>
                  <w:marRight w:val="0"/>
                  <w:marTop w:val="0"/>
                  <w:marBottom w:val="0"/>
                  <w:divBdr>
                    <w:top w:val="none" w:sz="0" w:space="0" w:color="auto"/>
                    <w:left w:val="none" w:sz="0" w:space="0" w:color="auto"/>
                    <w:bottom w:val="none" w:sz="0" w:space="0" w:color="auto"/>
                    <w:right w:val="none" w:sz="0" w:space="0" w:color="auto"/>
                  </w:divBdr>
                </w:div>
              </w:divsChild>
            </w:div>
            <w:div w:id="1686011427">
              <w:marLeft w:val="0"/>
              <w:marRight w:val="0"/>
              <w:marTop w:val="0"/>
              <w:marBottom w:val="0"/>
              <w:divBdr>
                <w:top w:val="none" w:sz="0" w:space="0" w:color="auto"/>
                <w:left w:val="none" w:sz="0" w:space="0" w:color="auto"/>
                <w:bottom w:val="none" w:sz="0" w:space="0" w:color="auto"/>
                <w:right w:val="none" w:sz="0" w:space="0" w:color="auto"/>
              </w:divBdr>
              <w:divsChild>
                <w:div w:id="916328081">
                  <w:marLeft w:val="0"/>
                  <w:marRight w:val="0"/>
                  <w:marTop w:val="0"/>
                  <w:marBottom w:val="0"/>
                  <w:divBdr>
                    <w:top w:val="none" w:sz="0" w:space="0" w:color="auto"/>
                    <w:left w:val="none" w:sz="0" w:space="0" w:color="auto"/>
                    <w:bottom w:val="none" w:sz="0" w:space="0" w:color="auto"/>
                    <w:right w:val="none" w:sz="0" w:space="0" w:color="auto"/>
                  </w:divBdr>
                </w:div>
              </w:divsChild>
            </w:div>
            <w:div w:id="1686638470">
              <w:marLeft w:val="0"/>
              <w:marRight w:val="0"/>
              <w:marTop w:val="0"/>
              <w:marBottom w:val="0"/>
              <w:divBdr>
                <w:top w:val="none" w:sz="0" w:space="0" w:color="auto"/>
                <w:left w:val="none" w:sz="0" w:space="0" w:color="auto"/>
                <w:bottom w:val="none" w:sz="0" w:space="0" w:color="auto"/>
                <w:right w:val="none" w:sz="0" w:space="0" w:color="auto"/>
              </w:divBdr>
              <w:divsChild>
                <w:div w:id="8265546">
                  <w:marLeft w:val="0"/>
                  <w:marRight w:val="0"/>
                  <w:marTop w:val="0"/>
                  <w:marBottom w:val="0"/>
                  <w:divBdr>
                    <w:top w:val="none" w:sz="0" w:space="0" w:color="auto"/>
                    <w:left w:val="none" w:sz="0" w:space="0" w:color="auto"/>
                    <w:bottom w:val="none" w:sz="0" w:space="0" w:color="auto"/>
                    <w:right w:val="none" w:sz="0" w:space="0" w:color="auto"/>
                  </w:divBdr>
                </w:div>
              </w:divsChild>
            </w:div>
            <w:div w:id="1686782214">
              <w:marLeft w:val="0"/>
              <w:marRight w:val="0"/>
              <w:marTop w:val="0"/>
              <w:marBottom w:val="0"/>
              <w:divBdr>
                <w:top w:val="none" w:sz="0" w:space="0" w:color="auto"/>
                <w:left w:val="none" w:sz="0" w:space="0" w:color="auto"/>
                <w:bottom w:val="none" w:sz="0" w:space="0" w:color="auto"/>
                <w:right w:val="none" w:sz="0" w:space="0" w:color="auto"/>
              </w:divBdr>
              <w:divsChild>
                <w:div w:id="907767058">
                  <w:marLeft w:val="0"/>
                  <w:marRight w:val="0"/>
                  <w:marTop w:val="0"/>
                  <w:marBottom w:val="0"/>
                  <w:divBdr>
                    <w:top w:val="none" w:sz="0" w:space="0" w:color="auto"/>
                    <w:left w:val="none" w:sz="0" w:space="0" w:color="auto"/>
                    <w:bottom w:val="none" w:sz="0" w:space="0" w:color="auto"/>
                    <w:right w:val="none" w:sz="0" w:space="0" w:color="auto"/>
                  </w:divBdr>
                </w:div>
              </w:divsChild>
            </w:div>
            <w:div w:id="1686860801">
              <w:marLeft w:val="0"/>
              <w:marRight w:val="0"/>
              <w:marTop w:val="0"/>
              <w:marBottom w:val="0"/>
              <w:divBdr>
                <w:top w:val="none" w:sz="0" w:space="0" w:color="auto"/>
                <w:left w:val="none" w:sz="0" w:space="0" w:color="auto"/>
                <w:bottom w:val="none" w:sz="0" w:space="0" w:color="auto"/>
                <w:right w:val="none" w:sz="0" w:space="0" w:color="auto"/>
              </w:divBdr>
              <w:divsChild>
                <w:div w:id="395783827">
                  <w:marLeft w:val="0"/>
                  <w:marRight w:val="0"/>
                  <w:marTop w:val="0"/>
                  <w:marBottom w:val="0"/>
                  <w:divBdr>
                    <w:top w:val="none" w:sz="0" w:space="0" w:color="auto"/>
                    <w:left w:val="none" w:sz="0" w:space="0" w:color="auto"/>
                    <w:bottom w:val="none" w:sz="0" w:space="0" w:color="auto"/>
                    <w:right w:val="none" w:sz="0" w:space="0" w:color="auto"/>
                  </w:divBdr>
                </w:div>
              </w:divsChild>
            </w:div>
            <w:div w:id="1687750881">
              <w:marLeft w:val="0"/>
              <w:marRight w:val="0"/>
              <w:marTop w:val="300"/>
              <w:marBottom w:val="300"/>
              <w:divBdr>
                <w:top w:val="none" w:sz="0" w:space="0" w:color="auto"/>
                <w:left w:val="none" w:sz="0" w:space="0" w:color="auto"/>
                <w:bottom w:val="none" w:sz="0" w:space="0" w:color="auto"/>
                <w:right w:val="none" w:sz="0" w:space="0" w:color="auto"/>
              </w:divBdr>
            </w:div>
            <w:div w:id="1690640822">
              <w:marLeft w:val="0"/>
              <w:marRight w:val="0"/>
              <w:marTop w:val="0"/>
              <w:marBottom w:val="0"/>
              <w:divBdr>
                <w:top w:val="none" w:sz="0" w:space="0" w:color="auto"/>
                <w:left w:val="none" w:sz="0" w:space="0" w:color="auto"/>
                <w:bottom w:val="none" w:sz="0" w:space="0" w:color="auto"/>
                <w:right w:val="none" w:sz="0" w:space="0" w:color="auto"/>
              </w:divBdr>
              <w:divsChild>
                <w:div w:id="1005549259">
                  <w:marLeft w:val="0"/>
                  <w:marRight w:val="0"/>
                  <w:marTop w:val="0"/>
                  <w:marBottom w:val="0"/>
                  <w:divBdr>
                    <w:top w:val="none" w:sz="0" w:space="0" w:color="auto"/>
                    <w:left w:val="none" w:sz="0" w:space="0" w:color="auto"/>
                    <w:bottom w:val="none" w:sz="0" w:space="0" w:color="auto"/>
                    <w:right w:val="none" w:sz="0" w:space="0" w:color="auto"/>
                  </w:divBdr>
                </w:div>
              </w:divsChild>
            </w:div>
            <w:div w:id="1690792922">
              <w:marLeft w:val="0"/>
              <w:marRight w:val="0"/>
              <w:marTop w:val="300"/>
              <w:marBottom w:val="300"/>
              <w:divBdr>
                <w:top w:val="none" w:sz="0" w:space="0" w:color="auto"/>
                <w:left w:val="none" w:sz="0" w:space="0" w:color="auto"/>
                <w:bottom w:val="none" w:sz="0" w:space="0" w:color="auto"/>
                <w:right w:val="none" w:sz="0" w:space="0" w:color="auto"/>
              </w:divBdr>
            </w:div>
            <w:div w:id="1692687600">
              <w:marLeft w:val="0"/>
              <w:marRight w:val="0"/>
              <w:marTop w:val="0"/>
              <w:marBottom w:val="0"/>
              <w:divBdr>
                <w:top w:val="none" w:sz="0" w:space="0" w:color="auto"/>
                <w:left w:val="none" w:sz="0" w:space="0" w:color="auto"/>
                <w:bottom w:val="none" w:sz="0" w:space="0" w:color="auto"/>
                <w:right w:val="none" w:sz="0" w:space="0" w:color="auto"/>
              </w:divBdr>
              <w:divsChild>
                <w:div w:id="194468823">
                  <w:marLeft w:val="0"/>
                  <w:marRight w:val="0"/>
                  <w:marTop w:val="0"/>
                  <w:marBottom w:val="0"/>
                  <w:divBdr>
                    <w:top w:val="none" w:sz="0" w:space="0" w:color="auto"/>
                    <w:left w:val="none" w:sz="0" w:space="0" w:color="auto"/>
                    <w:bottom w:val="none" w:sz="0" w:space="0" w:color="auto"/>
                    <w:right w:val="none" w:sz="0" w:space="0" w:color="auto"/>
                  </w:divBdr>
                </w:div>
              </w:divsChild>
            </w:div>
            <w:div w:id="1693652304">
              <w:marLeft w:val="0"/>
              <w:marRight w:val="0"/>
              <w:marTop w:val="0"/>
              <w:marBottom w:val="0"/>
              <w:divBdr>
                <w:top w:val="none" w:sz="0" w:space="0" w:color="auto"/>
                <w:left w:val="none" w:sz="0" w:space="0" w:color="auto"/>
                <w:bottom w:val="none" w:sz="0" w:space="0" w:color="auto"/>
                <w:right w:val="none" w:sz="0" w:space="0" w:color="auto"/>
              </w:divBdr>
              <w:divsChild>
                <w:div w:id="1670988293">
                  <w:marLeft w:val="0"/>
                  <w:marRight w:val="0"/>
                  <w:marTop w:val="0"/>
                  <w:marBottom w:val="0"/>
                  <w:divBdr>
                    <w:top w:val="none" w:sz="0" w:space="0" w:color="auto"/>
                    <w:left w:val="none" w:sz="0" w:space="0" w:color="auto"/>
                    <w:bottom w:val="none" w:sz="0" w:space="0" w:color="auto"/>
                    <w:right w:val="none" w:sz="0" w:space="0" w:color="auto"/>
                  </w:divBdr>
                </w:div>
              </w:divsChild>
            </w:div>
            <w:div w:id="1694040316">
              <w:marLeft w:val="0"/>
              <w:marRight w:val="0"/>
              <w:marTop w:val="0"/>
              <w:marBottom w:val="0"/>
              <w:divBdr>
                <w:top w:val="none" w:sz="0" w:space="0" w:color="auto"/>
                <w:left w:val="none" w:sz="0" w:space="0" w:color="auto"/>
                <w:bottom w:val="none" w:sz="0" w:space="0" w:color="auto"/>
                <w:right w:val="none" w:sz="0" w:space="0" w:color="auto"/>
              </w:divBdr>
              <w:divsChild>
                <w:div w:id="1732846510">
                  <w:marLeft w:val="0"/>
                  <w:marRight w:val="0"/>
                  <w:marTop w:val="0"/>
                  <w:marBottom w:val="0"/>
                  <w:divBdr>
                    <w:top w:val="none" w:sz="0" w:space="0" w:color="auto"/>
                    <w:left w:val="none" w:sz="0" w:space="0" w:color="auto"/>
                    <w:bottom w:val="none" w:sz="0" w:space="0" w:color="auto"/>
                    <w:right w:val="none" w:sz="0" w:space="0" w:color="auto"/>
                  </w:divBdr>
                </w:div>
              </w:divsChild>
            </w:div>
            <w:div w:id="1695301037">
              <w:marLeft w:val="0"/>
              <w:marRight w:val="0"/>
              <w:marTop w:val="0"/>
              <w:marBottom w:val="0"/>
              <w:divBdr>
                <w:top w:val="none" w:sz="0" w:space="0" w:color="auto"/>
                <w:left w:val="none" w:sz="0" w:space="0" w:color="auto"/>
                <w:bottom w:val="none" w:sz="0" w:space="0" w:color="auto"/>
                <w:right w:val="none" w:sz="0" w:space="0" w:color="auto"/>
              </w:divBdr>
              <w:divsChild>
                <w:div w:id="1537422436">
                  <w:marLeft w:val="0"/>
                  <w:marRight w:val="0"/>
                  <w:marTop w:val="0"/>
                  <w:marBottom w:val="0"/>
                  <w:divBdr>
                    <w:top w:val="none" w:sz="0" w:space="0" w:color="auto"/>
                    <w:left w:val="none" w:sz="0" w:space="0" w:color="auto"/>
                    <w:bottom w:val="none" w:sz="0" w:space="0" w:color="auto"/>
                    <w:right w:val="none" w:sz="0" w:space="0" w:color="auto"/>
                  </w:divBdr>
                </w:div>
              </w:divsChild>
            </w:div>
            <w:div w:id="1695424509">
              <w:marLeft w:val="0"/>
              <w:marRight w:val="0"/>
              <w:marTop w:val="0"/>
              <w:marBottom w:val="0"/>
              <w:divBdr>
                <w:top w:val="none" w:sz="0" w:space="0" w:color="auto"/>
                <w:left w:val="none" w:sz="0" w:space="0" w:color="auto"/>
                <w:bottom w:val="none" w:sz="0" w:space="0" w:color="auto"/>
                <w:right w:val="none" w:sz="0" w:space="0" w:color="auto"/>
              </w:divBdr>
              <w:divsChild>
                <w:div w:id="1792093213">
                  <w:marLeft w:val="0"/>
                  <w:marRight w:val="0"/>
                  <w:marTop w:val="0"/>
                  <w:marBottom w:val="0"/>
                  <w:divBdr>
                    <w:top w:val="none" w:sz="0" w:space="0" w:color="auto"/>
                    <w:left w:val="none" w:sz="0" w:space="0" w:color="auto"/>
                    <w:bottom w:val="none" w:sz="0" w:space="0" w:color="auto"/>
                    <w:right w:val="none" w:sz="0" w:space="0" w:color="auto"/>
                  </w:divBdr>
                </w:div>
              </w:divsChild>
            </w:div>
            <w:div w:id="1696073076">
              <w:marLeft w:val="0"/>
              <w:marRight w:val="0"/>
              <w:marTop w:val="0"/>
              <w:marBottom w:val="0"/>
              <w:divBdr>
                <w:top w:val="none" w:sz="0" w:space="0" w:color="auto"/>
                <w:left w:val="none" w:sz="0" w:space="0" w:color="auto"/>
                <w:bottom w:val="none" w:sz="0" w:space="0" w:color="auto"/>
                <w:right w:val="none" w:sz="0" w:space="0" w:color="auto"/>
              </w:divBdr>
              <w:divsChild>
                <w:div w:id="879902944">
                  <w:marLeft w:val="0"/>
                  <w:marRight w:val="0"/>
                  <w:marTop w:val="0"/>
                  <w:marBottom w:val="0"/>
                  <w:divBdr>
                    <w:top w:val="none" w:sz="0" w:space="0" w:color="auto"/>
                    <w:left w:val="none" w:sz="0" w:space="0" w:color="auto"/>
                    <w:bottom w:val="none" w:sz="0" w:space="0" w:color="auto"/>
                    <w:right w:val="none" w:sz="0" w:space="0" w:color="auto"/>
                  </w:divBdr>
                </w:div>
              </w:divsChild>
            </w:div>
            <w:div w:id="1697075693">
              <w:marLeft w:val="0"/>
              <w:marRight w:val="0"/>
              <w:marTop w:val="0"/>
              <w:marBottom w:val="0"/>
              <w:divBdr>
                <w:top w:val="none" w:sz="0" w:space="0" w:color="auto"/>
                <w:left w:val="none" w:sz="0" w:space="0" w:color="auto"/>
                <w:bottom w:val="none" w:sz="0" w:space="0" w:color="auto"/>
                <w:right w:val="none" w:sz="0" w:space="0" w:color="auto"/>
              </w:divBdr>
              <w:divsChild>
                <w:div w:id="1475487072">
                  <w:marLeft w:val="0"/>
                  <w:marRight w:val="0"/>
                  <w:marTop w:val="0"/>
                  <w:marBottom w:val="0"/>
                  <w:divBdr>
                    <w:top w:val="none" w:sz="0" w:space="0" w:color="auto"/>
                    <w:left w:val="none" w:sz="0" w:space="0" w:color="auto"/>
                    <w:bottom w:val="none" w:sz="0" w:space="0" w:color="auto"/>
                    <w:right w:val="none" w:sz="0" w:space="0" w:color="auto"/>
                  </w:divBdr>
                </w:div>
              </w:divsChild>
            </w:div>
            <w:div w:id="1699620504">
              <w:marLeft w:val="0"/>
              <w:marRight w:val="0"/>
              <w:marTop w:val="0"/>
              <w:marBottom w:val="0"/>
              <w:divBdr>
                <w:top w:val="none" w:sz="0" w:space="0" w:color="auto"/>
                <w:left w:val="none" w:sz="0" w:space="0" w:color="auto"/>
                <w:bottom w:val="none" w:sz="0" w:space="0" w:color="auto"/>
                <w:right w:val="none" w:sz="0" w:space="0" w:color="auto"/>
              </w:divBdr>
              <w:divsChild>
                <w:div w:id="1838377824">
                  <w:marLeft w:val="0"/>
                  <w:marRight w:val="0"/>
                  <w:marTop w:val="0"/>
                  <w:marBottom w:val="0"/>
                  <w:divBdr>
                    <w:top w:val="none" w:sz="0" w:space="0" w:color="auto"/>
                    <w:left w:val="none" w:sz="0" w:space="0" w:color="auto"/>
                    <w:bottom w:val="none" w:sz="0" w:space="0" w:color="auto"/>
                    <w:right w:val="none" w:sz="0" w:space="0" w:color="auto"/>
                  </w:divBdr>
                </w:div>
              </w:divsChild>
            </w:div>
            <w:div w:id="1701320322">
              <w:marLeft w:val="0"/>
              <w:marRight w:val="0"/>
              <w:marTop w:val="0"/>
              <w:marBottom w:val="0"/>
              <w:divBdr>
                <w:top w:val="none" w:sz="0" w:space="0" w:color="auto"/>
                <w:left w:val="none" w:sz="0" w:space="0" w:color="auto"/>
                <w:bottom w:val="none" w:sz="0" w:space="0" w:color="auto"/>
                <w:right w:val="none" w:sz="0" w:space="0" w:color="auto"/>
              </w:divBdr>
              <w:divsChild>
                <w:div w:id="1251233837">
                  <w:marLeft w:val="0"/>
                  <w:marRight w:val="0"/>
                  <w:marTop w:val="0"/>
                  <w:marBottom w:val="0"/>
                  <w:divBdr>
                    <w:top w:val="none" w:sz="0" w:space="0" w:color="auto"/>
                    <w:left w:val="none" w:sz="0" w:space="0" w:color="auto"/>
                    <w:bottom w:val="none" w:sz="0" w:space="0" w:color="auto"/>
                    <w:right w:val="none" w:sz="0" w:space="0" w:color="auto"/>
                  </w:divBdr>
                </w:div>
              </w:divsChild>
            </w:div>
            <w:div w:id="1703750578">
              <w:marLeft w:val="0"/>
              <w:marRight w:val="0"/>
              <w:marTop w:val="0"/>
              <w:marBottom w:val="0"/>
              <w:divBdr>
                <w:top w:val="none" w:sz="0" w:space="0" w:color="auto"/>
                <w:left w:val="none" w:sz="0" w:space="0" w:color="auto"/>
                <w:bottom w:val="none" w:sz="0" w:space="0" w:color="auto"/>
                <w:right w:val="none" w:sz="0" w:space="0" w:color="auto"/>
              </w:divBdr>
              <w:divsChild>
                <w:div w:id="1265959465">
                  <w:marLeft w:val="0"/>
                  <w:marRight w:val="0"/>
                  <w:marTop w:val="0"/>
                  <w:marBottom w:val="0"/>
                  <w:divBdr>
                    <w:top w:val="none" w:sz="0" w:space="0" w:color="auto"/>
                    <w:left w:val="none" w:sz="0" w:space="0" w:color="auto"/>
                    <w:bottom w:val="none" w:sz="0" w:space="0" w:color="auto"/>
                    <w:right w:val="none" w:sz="0" w:space="0" w:color="auto"/>
                  </w:divBdr>
                </w:div>
              </w:divsChild>
            </w:div>
            <w:div w:id="1704937619">
              <w:marLeft w:val="0"/>
              <w:marRight w:val="0"/>
              <w:marTop w:val="300"/>
              <w:marBottom w:val="300"/>
              <w:divBdr>
                <w:top w:val="none" w:sz="0" w:space="0" w:color="auto"/>
                <w:left w:val="none" w:sz="0" w:space="0" w:color="auto"/>
                <w:bottom w:val="none" w:sz="0" w:space="0" w:color="auto"/>
                <w:right w:val="none" w:sz="0" w:space="0" w:color="auto"/>
              </w:divBdr>
            </w:div>
            <w:div w:id="1705137190">
              <w:marLeft w:val="0"/>
              <w:marRight w:val="0"/>
              <w:marTop w:val="300"/>
              <w:marBottom w:val="300"/>
              <w:divBdr>
                <w:top w:val="none" w:sz="0" w:space="0" w:color="auto"/>
                <w:left w:val="none" w:sz="0" w:space="0" w:color="auto"/>
                <w:bottom w:val="none" w:sz="0" w:space="0" w:color="auto"/>
                <w:right w:val="none" w:sz="0" w:space="0" w:color="auto"/>
              </w:divBdr>
            </w:div>
            <w:div w:id="1705211996">
              <w:marLeft w:val="0"/>
              <w:marRight w:val="0"/>
              <w:marTop w:val="0"/>
              <w:marBottom w:val="0"/>
              <w:divBdr>
                <w:top w:val="none" w:sz="0" w:space="0" w:color="auto"/>
                <w:left w:val="none" w:sz="0" w:space="0" w:color="auto"/>
                <w:bottom w:val="none" w:sz="0" w:space="0" w:color="auto"/>
                <w:right w:val="none" w:sz="0" w:space="0" w:color="auto"/>
              </w:divBdr>
              <w:divsChild>
                <w:div w:id="1005715492">
                  <w:marLeft w:val="0"/>
                  <w:marRight w:val="0"/>
                  <w:marTop w:val="0"/>
                  <w:marBottom w:val="0"/>
                  <w:divBdr>
                    <w:top w:val="none" w:sz="0" w:space="0" w:color="auto"/>
                    <w:left w:val="none" w:sz="0" w:space="0" w:color="auto"/>
                    <w:bottom w:val="none" w:sz="0" w:space="0" w:color="auto"/>
                    <w:right w:val="none" w:sz="0" w:space="0" w:color="auto"/>
                  </w:divBdr>
                </w:div>
              </w:divsChild>
            </w:div>
            <w:div w:id="1705246875">
              <w:marLeft w:val="0"/>
              <w:marRight w:val="0"/>
              <w:marTop w:val="0"/>
              <w:marBottom w:val="0"/>
              <w:divBdr>
                <w:top w:val="none" w:sz="0" w:space="0" w:color="auto"/>
                <w:left w:val="none" w:sz="0" w:space="0" w:color="auto"/>
                <w:bottom w:val="none" w:sz="0" w:space="0" w:color="auto"/>
                <w:right w:val="none" w:sz="0" w:space="0" w:color="auto"/>
              </w:divBdr>
              <w:divsChild>
                <w:div w:id="2045977462">
                  <w:marLeft w:val="0"/>
                  <w:marRight w:val="0"/>
                  <w:marTop w:val="0"/>
                  <w:marBottom w:val="0"/>
                  <w:divBdr>
                    <w:top w:val="none" w:sz="0" w:space="0" w:color="auto"/>
                    <w:left w:val="none" w:sz="0" w:space="0" w:color="auto"/>
                    <w:bottom w:val="none" w:sz="0" w:space="0" w:color="auto"/>
                    <w:right w:val="none" w:sz="0" w:space="0" w:color="auto"/>
                  </w:divBdr>
                </w:div>
              </w:divsChild>
            </w:div>
            <w:div w:id="1705446177">
              <w:marLeft w:val="0"/>
              <w:marRight w:val="0"/>
              <w:marTop w:val="300"/>
              <w:marBottom w:val="300"/>
              <w:divBdr>
                <w:top w:val="none" w:sz="0" w:space="0" w:color="auto"/>
                <w:left w:val="none" w:sz="0" w:space="0" w:color="auto"/>
                <w:bottom w:val="none" w:sz="0" w:space="0" w:color="auto"/>
                <w:right w:val="none" w:sz="0" w:space="0" w:color="auto"/>
              </w:divBdr>
            </w:div>
            <w:div w:id="1706365896">
              <w:marLeft w:val="0"/>
              <w:marRight w:val="0"/>
              <w:marTop w:val="0"/>
              <w:marBottom w:val="0"/>
              <w:divBdr>
                <w:top w:val="none" w:sz="0" w:space="0" w:color="auto"/>
                <w:left w:val="none" w:sz="0" w:space="0" w:color="auto"/>
                <w:bottom w:val="none" w:sz="0" w:space="0" w:color="auto"/>
                <w:right w:val="none" w:sz="0" w:space="0" w:color="auto"/>
              </w:divBdr>
              <w:divsChild>
                <w:div w:id="553277125">
                  <w:marLeft w:val="0"/>
                  <w:marRight w:val="0"/>
                  <w:marTop w:val="0"/>
                  <w:marBottom w:val="0"/>
                  <w:divBdr>
                    <w:top w:val="none" w:sz="0" w:space="0" w:color="auto"/>
                    <w:left w:val="none" w:sz="0" w:space="0" w:color="auto"/>
                    <w:bottom w:val="none" w:sz="0" w:space="0" w:color="auto"/>
                    <w:right w:val="none" w:sz="0" w:space="0" w:color="auto"/>
                  </w:divBdr>
                </w:div>
              </w:divsChild>
            </w:div>
            <w:div w:id="1707026130">
              <w:marLeft w:val="0"/>
              <w:marRight w:val="0"/>
              <w:marTop w:val="0"/>
              <w:marBottom w:val="0"/>
              <w:divBdr>
                <w:top w:val="none" w:sz="0" w:space="0" w:color="auto"/>
                <w:left w:val="none" w:sz="0" w:space="0" w:color="auto"/>
                <w:bottom w:val="none" w:sz="0" w:space="0" w:color="auto"/>
                <w:right w:val="none" w:sz="0" w:space="0" w:color="auto"/>
              </w:divBdr>
              <w:divsChild>
                <w:div w:id="1653868263">
                  <w:marLeft w:val="0"/>
                  <w:marRight w:val="0"/>
                  <w:marTop w:val="0"/>
                  <w:marBottom w:val="0"/>
                  <w:divBdr>
                    <w:top w:val="none" w:sz="0" w:space="0" w:color="auto"/>
                    <w:left w:val="none" w:sz="0" w:space="0" w:color="auto"/>
                    <w:bottom w:val="none" w:sz="0" w:space="0" w:color="auto"/>
                    <w:right w:val="none" w:sz="0" w:space="0" w:color="auto"/>
                  </w:divBdr>
                </w:div>
              </w:divsChild>
            </w:div>
            <w:div w:id="1707177373">
              <w:marLeft w:val="0"/>
              <w:marRight w:val="0"/>
              <w:marTop w:val="0"/>
              <w:marBottom w:val="0"/>
              <w:divBdr>
                <w:top w:val="none" w:sz="0" w:space="0" w:color="auto"/>
                <w:left w:val="none" w:sz="0" w:space="0" w:color="auto"/>
                <w:bottom w:val="none" w:sz="0" w:space="0" w:color="auto"/>
                <w:right w:val="none" w:sz="0" w:space="0" w:color="auto"/>
              </w:divBdr>
              <w:divsChild>
                <w:div w:id="296037658">
                  <w:marLeft w:val="0"/>
                  <w:marRight w:val="0"/>
                  <w:marTop w:val="0"/>
                  <w:marBottom w:val="0"/>
                  <w:divBdr>
                    <w:top w:val="none" w:sz="0" w:space="0" w:color="auto"/>
                    <w:left w:val="none" w:sz="0" w:space="0" w:color="auto"/>
                    <w:bottom w:val="none" w:sz="0" w:space="0" w:color="auto"/>
                    <w:right w:val="none" w:sz="0" w:space="0" w:color="auto"/>
                  </w:divBdr>
                </w:div>
              </w:divsChild>
            </w:div>
            <w:div w:id="1708065779">
              <w:marLeft w:val="0"/>
              <w:marRight w:val="0"/>
              <w:marTop w:val="0"/>
              <w:marBottom w:val="0"/>
              <w:divBdr>
                <w:top w:val="none" w:sz="0" w:space="0" w:color="auto"/>
                <w:left w:val="none" w:sz="0" w:space="0" w:color="auto"/>
                <w:bottom w:val="none" w:sz="0" w:space="0" w:color="auto"/>
                <w:right w:val="none" w:sz="0" w:space="0" w:color="auto"/>
              </w:divBdr>
              <w:divsChild>
                <w:div w:id="299384932">
                  <w:marLeft w:val="0"/>
                  <w:marRight w:val="0"/>
                  <w:marTop w:val="0"/>
                  <w:marBottom w:val="0"/>
                  <w:divBdr>
                    <w:top w:val="none" w:sz="0" w:space="0" w:color="auto"/>
                    <w:left w:val="none" w:sz="0" w:space="0" w:color="auto"/>
                    <w:bottom w:val="none" w:sz="0" w:space="0" w:color="auto"/>
                    <w:right w:val="none" w:sz="0" w:space="0" w:color="auto"/>
                  </w:divBdr>
                </w:div>
              </w:divsChild>
            </w:div>
            <w:div w:id="1708480924">
              <w:marLeft w:val="0"/>
              <w:marRight w:val="0"/>
              <w:marTop w:val="0"/>
              <w:marBottom w:val="0"/>
              <w:divBdr>
                <w:top w:val="none" w:sz="0" w:space="0" w:color="auto"/>
                <w:left w:val="none" w:sz="0" w:space="0" w:color="auto"/>
                <w:bottom w:val="none" w:sz="0" w:space="0" w:color="auto"/>
                <w:right w:val="none" w:sz="0" w:space="0" w:color="auto"/>
              </w:divBdr>
              <w:divsChild>
                <w:div w:id="520432085">
                  <w:marLeft w:val="0"/>
                  <w:marRight w:val="0"/>
                  <w:marTop w:val="0"/>
                  <w:marBottom w:val="0"/>
                  <w:divBdr>
                    <w:top w:val="none" w:sz="0" w:space="0" w:color="auto"/>
                    <w:left w:val="none" w:sz="0" w:space="0" w:color="auto"/>
                    <w:bottom w:val="none" w:sz="0" w:space="0" w:color="auto"/>
                    <w:right w:val="none" w:sz="0" w:space="0" w:color="auto"/>
                  </w:divBdr>
                </w:div>
              </w:divsChild>
            </w:div>
            <w:div w:id="1708949088">
              <w:marLeft w:val="0"/>
              <w:marRight w:val="0"/>
              <w:marTop w:val="0"/>
              <w:marBottom w:val="0"/>
              <w:divBdr>
                <w:top w:val="none" w:sz="0" w:space="0" w:color="auto"/>
                <w:left w:val="none" w:sz="0" w:space="0" w:color="auto"/>
                <w:bottom w:val="none" w:sz="0" w:space="0" w:color="auto"/>
                <w:right w:val="none" w:sz="0" w:space="0" w:color="auto"/>
              </w:divBdr>
              <w:divsChild>
                <w:div w:id="278537698">
                  <w:marLeft w:val="0"/>
                  <w:marRight w:val="0"/>
                  <w:marTop w:val="0"/>
                  <w:marBottom w:val="0"/>
                  <w:divBdr>
                    <w:top w:val="none" w:sz="0" w:space="0" w:color="auto"/>
                    <w:left w:val="none" w:sz="0" w:space="0" w:color="auto"/>
                    <w:bottom w:val="none" w:sz="0" w:space="0" w:color="auto"/>
                    <w:right w:val="none" w:sz="0" w:space="0" w:color="auto"/>
                  </w:divBdr>
                </w:div>
              </w:divsChild>
            </w:div>
            <w:div w:id="1709604070">
              <w:marLeft w:val="0"/>
              <w:marRight w:val="0"/>
              <w:marTop w:val="0"/>
              <w:marBottom w:val="0"/>
              <w:divBdr>
                <w:top w:val="none" w:sz="0" w:space="0" w:color="auto"/>
                <w:left w:val="none" w:sz="0" w:space="0" w:color="auto"/>
                <w:bottom w:val="none" w:sz="0" w:space="0" w:color="auto"/>
                <w:right w:val="none" w:sz="0" w:space="0" w:color="auto"/>
              </w:divBdr>
              <w:divsChild>
                <w:div w:id="1311329812">
                  <w:marLeft w:val="0"/>
                  <w:marRight w:val="0"/>
                  <w:marTop w:val="0"/>
                  <w:marBottom w:val="0"/>
                  <w:divBdr>
                    <w:top w:val="none" w:sz="0" w:space="0" w:color="auto"/>
                    <w:left w:val="none" w:sz="0" w:space="0" w:color="auto"/>
                    <w:bottom w:val="none" w:sz="0" w:space="0" w:color="auto"/>
                    <w:right w:val="none" w:sz="0" w:space="0" w:color="auto"/>
                  </w:divBdr>
                </w:div>
              </w:divsChild>
            </w:div>
            <w:div w:id="1710375571">
              <w:marLeft w:val="0"/>
              <w:marRight w:val="0"/>
              <w:marTop w:val="0"/>
              <w:marBottom w:val="0"/>
              <w:divBdr>
                <w:top w:val="none" w:sz="0" w:space="0" w:color="auto"/>
                <w:left w:val="none" w:sz="0" w:space="0" w:color="auto"/>
                <w:bottom w:val="none" w:sz="0" w:space="0" w:color="auto"/>
                <w:right w:val="none" w:sz="0" w:space="0" w:color="auto"/>
              </w:divBdr>
              <w:divsChild>
                <w:div w:id="174073868">
                  <w:marLeft w:val="0"/>
                  <w:marRight w:val="0"/>
                  <w:marTop w:val="0"/>
                  <w:marBottom w:val="0"/>
                  <w:divBdr>
                    <w:top w:val="none" w:sz="0" w:space="0" w:color="auto"/>
                    <w:left w:val="none" w:sz="0" w:space="0" w:color="auto"/>
                    <w:bottom w:val="none" w:sz="0" w:space="0" w:color="auto"/>
                    <w:right w:val="none" w:sz="0" w:space="0" w:color="auto"/>
                  </w:divBdr>
                </w:div>
              </w:divsChild>
            </w:div>
            <w:div w:id="1711687727">
              <w:marLeft w:val="0"/>
              <w:marRight w:val="0"/>
              <w:marTop w:val="0"/>
              <w:marBottom w:val="0"/>
              <w:divBdr>
                <w:top w:val="none" w:sz="0" w:space="0" w:color="auto"/>
                <w:left w:val="none" w:sz="0" w:space="0" w:color="auto"/>
                <w:bottom w:val="none" w:sz="0" w:space="0" w:color="auto"/>
                <w:right w:val="none" w:sz="0" w:space="0" w:color="auto"/>
              </w:divBdr>
              <w:divsChild>
                <w:div w:id="1123966511">
                  <w:marLeft w:val="0"/>
                  <w:marRight w:val="0"/>
                  <w:marTop w:val="0"/>
                  <w:marBottom w:val="0"/>
                  <w:divBdr>
                    <w:top w:val="none" w:sz="0" w:space="0" w:color="auto"/>
                    <w:left w:val="none" w:sz="0" w:space="0" w:color="auto"/>
                    <w:bottom w:val="none" w:sz="0" w:space="0" w:color="auto"/>
                    <w:right w:val="none" w:sz="0" w:space="0" w:color="auto"/>
                  </w:divBdr>
                </w:div>
              </w:divsChild>
            </w:div>
            <w:div w:id="1713143268">
              <w:marLeft w:val="0"/>
              <w:marRight w:val="0"/>
              <w:marTop w:val="0"/>
              <w:marBottom w:val="0"/>
              <w:divBdr>
                <w:top w:val="none" w:sz="0" w:space="0" w:color="auto"/>
                <w:left w:val="none" w:sz="0" w:space="0" w:color="auto"/>
                <w:bottom w:val="none" w:sz="0" w:space="0" w:color="auto"/>
                <w:right w:val="none" w:sz="0" w:space="0" w:color="auto"/>
              </w:divBdr>
              <w:divsChild>
                <w:div w:id="307443712">
                  <w:marLeft w:val="0"/>
                  <w:marRight w:val="0"/>
                  <w:marTop w:val="0"/>
                  <w:marBottom w:val="0"/>
                  <w:divBdr>
                    <w:top w:val="none" w:sz="0" w:space="0" w:color="auto"/>
                    <w:left w:val="none" w:sz="0" w:space="0" w:color="auto"/>
                    <w:bottom w:val="none" w:sz="0" w:space="0" w:color="auto"/>
                    <w:right w:val="none" w:sz="0" w:space="0" w:color="auto"/>
                  </w:divBdr>
                </w:div>
              </w:divsChild>
            </w:div>
            <w:div w:id="1713922223">
              <w:marLeft w:val="0"/>
              <w:marRight w:val="0"/>
              <w:marTop w:val="0"/>
              <w:marBottom w:val="0"/>
              <w:divBdr>
                <w:top w:val="none" w:sz="0" w:space="0" w:color="auto"/>
                <w:left w:val="none" w:sz="0" w:space="0" w:color="auto"/>
                <w:bottom w:val="none" w:sz="0" w:space="0" w:color="auto"/>
                <w:right w:val="none" w:sz="0" w:space="0" w:color="auto"/>
              </w:divBdr>
              <w:divsChild>
                <w:div w:id="302851557">
                  <w:marLeft w:val="0"/>
                  <w:marRight w:val="0"/>
                  <w:marTop w:val="0"/>
                  <w:marBottom w:val="0"/>
                  <w:divBdr>
                    <w:top w:val="none" w:sz="0" w:space="0" w:color="auto"/>
                    <w:left w:val="none" w:sz="0" w:space="0" w:color="auto"/>
                    <w:bottom w:val="none" w:sz="0" w:space="0" w:color="auto"/>
                    <w:right w:val="none" w:sz="0" w:space="0" w:color="auto"/>
                  </w:divBdr>
                </w:div>
              </w:divsChild>
            </w:div>
            <w:div w:id="1716657244">
              <w:marLeft w:val="0"/>
              <w:marRight w:val="0"/>
              <w:marTop w:val="0"/>
              <w:marBottom w:val="0"/>
              <w:divBdr>
                <w:top w:val="none" w:sz="0" w:space="0" w:color="auto"/>
                <w:left w:val="none" w:sz="0" w:space="0" w:color="auto"/>
                <w:bottom w:val="none" w:sz="0" w:space="0" w:color="auto"/>
                <w:right w:val="none" w:sz="0" w:space="0" w:color="auto"/>
              </w:divBdr>
              <w:divsChild>
                <w:div w:id="943415505">
                  <w:marLeft w:val="0"/>
                  <w:marRight w:val="0"/>
                  <w:marTop w:val="0"/>
                  <w:marBottom w:val="0"/>
                  <w:divBdr>
                    <w:top w:val="none" w:sz="0" w:space="0" w:color="auto"/>
                    <w:left w:val="none" w:sz="0" w:space="0" w:color="auto"/>
                    <w:bottom w:val="none" w:sz="0" w:space="0" w:color="auto"/>
                    <w:right w:val="none" w:sz="0" w:space="0" w:color="auto"/>
                  </w:divBdr>
                </w:div>
              </w:divsChild>
            </w:div>
            <w:div w:id="1717856630">
              <w:marLeft w:val="0"/>
              <w:marRight w:val="0"/>
              <w:marTop w:val="0"/>
              <w:marBottom w:val="0"/>
              <w:divBdr>
                <w:top w:val="none" w:sz="0" w:space="0" w:color="auto"/>
                <w:left w:val="none" w:sz="0" w:space="0" w:color="auto"/>
                <w:bottom w:val="none" w:sz="0" w:space="0" w:color="auto"/>
                <w:right w:val="none" w:sz="0" w:space="0" w:color="auto"/>
              </w:divBdr>
              <w:divsChild>
                <w:div w:id="62334834">
                  <w:marLeft w:val="0"/>
                  <w:marRight w:val="0"/>
                  <w:marTop w:val="0"/>
                  <w:marBottom w:val="0"/>
                  <w:divBdr>
                    <w:top w:val="none" w:sz="0" w:space="0" w:color="auto"/>
                    <w:left w:val="none" w:sz="0" w:space="0" w:color="auto"/>
                    <w:bottom w:val="none" w:sz="0" w:space="0" w:color="auto"/>
                    <w:right w:val="none" w:sz="0" w:space="0" w:color="auto"/>
                  </w:divBdr>
                </w:div>
              </w:divsChild>
            </w:div>
            <w:div w:id="1718115991">
              <w:marLeft w:val="0"/>
              <w:marRight w:val="0"/>
              <w:marTop w:val="0"/>
              <w:marBottom w:val="0"/>
              <w:divBdr>
                <w:top w:val="none" w:sz="0" w:space="0" w:color="auto"/>
                <w:left w:val="none" w:sz="0" w:space="0" w:color="auto"/>
                <w:bottom w:val="none" w:sz="0" w:space="0" w:color="auto"/>
                <w:right w:val="none" w:sz="0" w:space="0" w:color="auto"/>
              </w:divBdr>
              <w:divsChild>
                <w:div w:id="755900324">
                  <w:marLeft w:val="0"/>
                  <w:marRight w:val="0"/>
                  <w:marTop w:val="0"/>
                  <w:marBottom w:val="0"/>
                  <w:divBdr>
                    <w:top w:val="none" w:sz="0" w:space="0" w:color="auto"/>
                    <w:left w:val="none" w:sz="0" w:space="0" w:color="auto"/>
                    <w:bottom w:val="none" w:sz="0" w:space="0" w:color="auto"/>
                    <w:right w:val="none" w:sz="0" w:space="0" w:color="auto"/>
                  </w:divBdr>
                </w:div>
              </w:divsChild>
            </w:div>
            <w:div w:id="1718815660">
              <w:marLeft w:val="0"/>
              <w:marRight w:val="0"/>
              <w:marTop w:val="0"/>
              <w:marBottom w:val="0"/>
              <w:divBdr>
                <w:top w:val="none" w:sz="0" w:space="0" w:color="auto"/>
                <w:left w:val="none" w:sz="0" w:space="0" w:color="auto"/>
                <w:bottom w:val="none" w:sz="0" w:space="0" w:color="auto"/>
                <w:right w:val="none" w:sz="0" w:space="0" w:color="auto"/>
              </w:divBdr>
              <w:divsChild>
                <w:div w:id="1964378922">
                  <w:marLeft w:val="0"/>
                  <w:marRight w:val="0"/>
                  <w:marTop w:val="0"/>
                  <w:marBottom w:val="0"/>
                  <w:divBdr>
                    <w:top w:val="none" w:sz="0" w:space="0" w:color="auto"/>
                    <w:left w:val="none" w:sz="0" w:space="0" w:color="auto"/>
                    <w:bottom w:val="none" w:sz="0" w:space="0" w:color="auto"/>
                    <w:right w:val="none" w:sz="0" w:space="0" w:color="auto"/>
                  </w:divBdr>
                </w:div>
              </w:divsChild>
            </w:div>
            <w:div w:id="1719739858">
              <w:marLeft w:val="0"/>
              <w:marRight w:val="0"/>
              <w:marTop w:val="0"/>
              <w:marBottom w:val="0"/>
              <w:divBdr>
                <w:top w:val="none" w:sz="0" w:space="0" w:color="auto"/>
                <w:left w:val="none" w:sz="0" w:space="0" w:color="auto"/>
                <w:bottom w:val="none" w:sz="0" w:space="0" w:color="auto"/>
                <w:right w:val="none" w:sz="0" w:space="0" w:color="auto"/>
              </w:divBdr>
              <w:divsChild>
                <w:div w:id="1325090423">
                  <w:marLeft w:val="0"/>
                  <w:marRight w:val="0"/>
                  <w:marTop w:val="0"/>
                  <w:marBottom w:val="0"/>
                  <w:divBdr>
                    <w:top w:val="none" w:sz="0" w:space="0" w:color="auto"/>
                    <w:left w:val="none" w:sz="0" w:space="0" w:color="auto"/>
                    <w:bottom w:val="none" w:sz="0" w:space="0" w:color="auto"/>
                    <w:right w:val="none" w:sz="0" w:space="0" w:color="auto"/>
                  </w:divBdr>
                </w:div>
              </w:divsChild>
            </w:div>
            <w:div w:id="1719742057">
              <w:marLeft w:val="0"/>
              <w:marRight w:val="0"/>
              <w:marTop w:val="0"/>
              <w:marBottom w:val="0"/>
              <w:divBdr>
                <w:top w:val="none" w:sz="0" w:space="0" w:color="auto"/>
                <w:left w:val="none" w:sz="0" w:space="0" w:color="auto"/>
                <w:bottom w:val="none" w:sz="0" w:space="0" w:color="auto"/>
                <w:right w:val="none" w:sz="0" w:space="0" w:color="auto"/>
              </w:divBdr>
              <w:divsChild>
                <w:div w:id="1088428173">
                  <w:marLeft w:val="0"/>
                  <w:marRight w:val="0"/>
                  <w:marTop w:val="0"/>
                  <w:marBottom w:val="0"/>
                  <w:divBdr>
                    <w:top w:val="none" w:sz="0" w:space="0" w:color="auto"/>
                    <w:left w:val="none" w:sz="0" w:space="0" w:color="auto"/>
                    <w:bottom w:val="none" w:sz="0" w:space="0" w:color="auto"/>
                    <w:right w:val="none" w:sz="0" w:space="0" w:color="auto"/>
                  </w:divBdr>
                </w:div>
              </w:divsChild>
            </w:div>
            <w:div w:id="1719933935">
              <w:marLeft w:val="0"/>
              <w:marRight w:val="0"/>
              <w:marTop w:val="300"/>
              <w:marBottom w:val="300"/>
              <w:divBdr>
                <w:top w:val="none" w:sz="0" w:space="0" w:color="auto"/>
                <w:left w:val="none" w:sz="0" w:space="0" w:color="auto"/>
                <w:bottom w:val="none" w:sz="0" w:space="0" w:color="auto"/>
                <w:right w:val="none" w:sz="0" w:space="0" w:color="auto"/>
              </w:divBdr>
            </w:div>
            <w:div w:id="1720394076">
              <w:marLeft w:val="0"/>
              <w:marRight w:val="0"/>
              <w:marTop w:val="0"/>
              <w:marBottom w:val="0"/>
              <w:divBdr>
                <w:top w:val="none" w:sz="0" w:space="0" w:color="auto"/>
                <w:left w:val="none" w:sz="0" w:space="0" w:color="auto"/>
                <w:bottom w:val="none" w:sz="0" w:space="0" w:color="auto"/>
                <w:right w:val="none" w:sz="0" w:space="0" w:color="auto"/>
              </w:divBdr>
              <w:divsChild>
                <w:div w:id="414471420">
                  <w:marLeft w:val="0"/>
                  <w:marRight w:val="0"/>
                  <w:marTop w:val="0"/>
                  <w:marBottom w:val="0"/>
                  <w:divBdr>
                    <w:top w:val="none" w:sz="0" w:space="0" w:color="auto"/>
                    <w:left w:val="none" w:sz="0" w:space="0" w:color="auto"/>
                    <w:bottom w:val="none" w:sz="0" w:space="0" w:color="auto"/>
                    <w:right w:val="none" w:sz="0" w:space="0" w:color="auto"/>
                  </w:divBdr>
                </w:div>
              </w:divsChild>
            </w:div>
            <w:div w:id="1720591940">
              <w:marLeft w:val="0"/>
              <w:marRight w:val="0"/>
              <w:marTop w:val="0"/>
              <w:marBottom w:val="0"/>
              <w:divBdr>
                <w:top w:val="none" w:sz="0" w:space="0" w:color="auto"/>
                <w:left w:val="none" w:sz="0" w:space="0" w:color="auto"/>
                <w:bottom w:val="none" w:sz="0" w:space="0" w:color="auto"/>
                <w:right w:val="none" w:sz="0" w:space="0" w:color="auto"/>
              </w:divBdr>
              <w:divsChild>
                <w:div w:id="1724670008">
                  <w:marLeft w:val="0"/>
                  <w:marRight w:val="0"/>
                  <w:marTop w:val="0"/>
                  <w:marBottom w:val="0"/>
                  <w:divBdr>
                    <w:top w:val="none" w:sz="0" w:space="0" w:color="auto"/>
                    <w:left w:val="none" w:sz="0" w:space="0" w:color="auto"/>
                    <w:bottom w:val="none" w:sz="0" w:space="0" w:color="auto"/>
                    <w:right w:val="none" w:sz="0" w:space="0" w:color="auto"/>
                  </w:divBdr>
                </w:div>
              </w:divsChild>
            </w:div>
            <w:div w:id="1722172881">
              <w:marLeft w:val="0"/>
              <w:marRight w:val="0"/>
              <w:marTop w:val="0"/>
              <w:marBottom w:val="0"/>
              <w:divBdr>
                <w:top w:val="none" w:sz="0" w:space="0" w:color="auto"/>
                <w:left w:val="none" w:sz="0" w:space="0" w:color="auto"/>
                <w:bottom w:val="none" w:sz="0" w:space="0" w:color="auto"/>
                <w:right w:val="none" w:sz="0" w:space="0" w:color="auto"/>
              </w:divBdr>
              <w:divsChild>
                <w:div w:id="1968388563">
                  <w:marLeft w:val="0"/>
                  <w:marRight w:val="0"/>
                  <w:marTop w:val="0"/>
                  <w:marBottom w:val="0"/>
                  <w:divBdr>
                    <w:top w:val="none" w:sz="0" w:space="0" w:color="auto"/>
                    <w:left w:val="none" w:sz="0" w:space="0" w:color="auto"/>
                    <w:bottom w:val="none" w:sz="0" w:space="0" w:color="auto"/>
                    <w:right w:val="none" w:sz="0" w:space="0" w:color="auto"/>
                  </w:divBdr>
                </w:div>
              </w:divsChild>
            </w:div>
            <w:div w:id="1723672347">
              <w:marLeft w:val="0"/>
              <w:marRight w:val="0"/>
              <w:marTop w:val="0"/>
              <w:marBottom w:val="0"/>
              <w:divBdr>
                <w:top w:val="none" w:sz="0" w:space="0" w:color="auto"/>
                <w:left w:val="none" w:sz="0" w:space="0" w:color="auto"/>
                <w:bottom w:val="none" w:sz="0" w:space="0" w:color="auto"/>
                <w:right w:val="none" w:sz="0" w:space="0" w:color="auto"/>
              </w:divBdr>
              <w:divsChild>
                <w:div w:id="1258174147">
                  <w:marLeft w:val="0"/>
                  <w:marRight w:val="0"/>
                  <w:marTop w:val="0"/>
                  <w:marBottom w:val="0"/>
                  <w:divBdr>
                    <w:top w:val="none" w:sz="0" w:space="0" w:color="auto"/>
                    <w:left w:val="none" w:sz="0" w:space="0" w:color="auto"/>
                    <w:bottom w:val="none" w:sz="0" w:space="0" w:color="auto"/>
                    <w:right w:val="none" w:sz="0" w:space="0" w:color="auto"/>
                  </w:divBdr>
                </w:div>
              </w:divsChild>
            </w:div>
            <w:div w:id="1724523527">
              <w:marLeft w:val="0"/>
              <w:marRight w:val="0"/>
              <w:marTop w:val="0"/>
              <w:marBottom w:val="0"/>
              <w:divBdr>
                <w:top w:val="none" w:sz="0" w:space="0" w:color="auto"/>
                <w:left w:val="none" w:sz="0" w:space="0" w:color="auto"/>
                <w:bottom w:val="none" w:sz="0" w:space="0" w:color="auto"/>
                <w:right w:val="none" w:sz="0" w:space="0" w:color="auto"/>
              </w:divBdr>
              <w:divsChild>
                <w:div w:id="1978608943">
                  <w:marLeft w:val="0"/>
                  <w:marRight w:val="0"/>
                  <w:marTop w:val="0"/>
                  <w:marBottom w:val="0"/>
                  <w:divBdr>
                    <w:top w:val="none" w:sz="0" w:space="0" w:color="auto"/>
                    <w:left w:val="none" w:sz="0" w:space="0" w:color="auto"/>
                    <w:bottom w:val="none" w:sz="0" w:space="0" w:color="auto"/>
                    <w:right w:val="none" w:sz="0" w:space="0" w:color="auto"/>
                  </w:divBdr>
                </w:div>
              </w:divsChild>
            </w:div>
            <w:div w:id="1726299329">
              <w:marLeft w:val="0"/>
              <w:marRight w:val="0"/>
              <w:marTop w:val="0"/>
              <w:marBottom w:val="0"/>
              <w:divBdr>
                <w:top w:val="none" w:sz="0" w:space="0" w:color="auto"/>
                <w:left w:val="none" w:sz="0" w:space="0" w:color="auto"/>
                <w:bottom w:val="none" w:sz="0" w:space="0" w:color="auto"/>
                <w:right w:val="none" w:sz="0" w:space="0" w:color="auto"/>
              </w:divBdr>
              <w:divsChild>
                <w:div w:id="1471284310">
                  <w:marLeft w:val="0"/>
                  <w:marRight w:val="0"/>
                  <w:marTop w:val="0"/>
                  <w:marBottom w:val="0"/>
                  <w:divBdr>
                    <w:top w:val="none" w:sz="0" w:space="0" w:color="auto"/>
                    <w:left w:val="none" w:sz="0" w:space="0" w:color="auto"/>
                    <w:bottom w:val="none" w:sz="0" w:space="0" w:color="auto"/>
                    <w:right w:val="none" w:sz="0" w:space="0" w:color="auto"/>
                  </w:divBdr>
                </w:div>
              </w:divsChild>
            </w:div>
            <w:div w:id="1726829881">
              <w:marLeft w:val="0"/>
              <w:marRight w:val="0"/>
              <w:marTop w:val="0"/>
              <w:marBottom w:val="0"/>
              <w:divBdr>
                <w:top w:val="none" w:sz="0" w:space="0" w:color="auto"/>
                <w:left w:val="none" w:sz="0" w:space="0" w:color="auto"/>
                <w:bottom w:val="none" w:sz="0" w:space="0" w:color="auto"/>
                <w:right w:val="none" w:sz="0" w:space="0" w:color="auto"/>
              </w:divBdr>
              <w:divsChild>
                <w:div w:id="2133206535">
                  <w:marLeft w:val="0"/>
                  <w:marRight w:val="0"/>
                  <w:marTop w:val="0"/>
                  <w:marBottom w:val="0"/>
                  <w:divBdr>
                    <w:top w:val="none" w:sz="0" w:space="0" w:color="auto"/>
                    <w:left w:val="none" w:sz="0" w:space="0" w:color="auto"/>
                    <w:bottom w:val="none" w:sz="0" w:space="0" w:color="auto"/>
                    <w:right w:val="none" w:sz="0" w:space="0" w:color="auto"/>
                  </w:divBdr>
                </w:div>
              </w:divsChild>
            </w:div>
            <w:div w:id="1727144373">
              <w:marLeft w:val="0"/>
              <w:marRight w:val="0"/>
              <w:marTop w:val="0"/>
              <w:marBottom w:val="0"/>
              <w:divBdr>
                <w:top w:val="none" w:sz="0" w:space="0" w:color="auto"/>
                <w:left w:val="none" w:sz="0" w:space="0" w:color="auto"/>
                <w:bottom w:val="none" w:sz="0" w:space="0" w:color="auto"/>
                <w:right w:val="none" w:sz="0" w:space="0" w:color="auto"/>
              </w:divBdr>
              <w:divsChild>
                <w:div w:id="654531923">
                  <w:marLeft w:val="0"/>
                  <w:marRight w:val="0"/>
                  <w:marTop w:val="0"/>
                  <w:marBottom w:val="0"/>
                  <w:divBdr>
                    <w:top w:val="none" w:sz="0" w:space="0" w:color="auto"/>
                    <w:left w:val="none" w:sz="0" w:space="0" w:color="auto"/>
                    <w:bottom w:val="none" w:sz="0" w:space="0" w:color="auto"/>
                    <w:right w:val="none" w:sz="0" w:space="0" w:color="auto"/>
                  </w:divBdr>
                </w:div>
              </w:divsChild>
            </w:div>
            <w:div w:id="1727990341">
              <w:marLeft w:val="0"/>
              <w:marRight w:val="0"/>
              <w:marTop w:val="0"/>
              <w:marBottom w:val="0"/>
              <w:divBdr>
                <w:top w:val="none" w:sz="0" w:space="0" w:color="auto"/>
                <w:left w:val="none" w:sz="0" w:space="0" w:color="auto"/>
                <w:bottom w:val="none" w:sz="0" w:space="0" w:color="auto"/>
                <w:right w:val="none" w:sz="0" w:space="0" w:color="auto"/>
              </w:divBdr>
              <w:divsChild>
                <w:div w:id="868448417">
                  <w:marLeft w:val="0"/>
                  <w:marRight w:val="0"/>
                  <w:marTop w:val="0"/>
                  <w:marBottom w:val="0"/>
                  <w:divBdr>
                    <w:top w:val="none" w:sz="0" w:space="0" w:color="auto"/>
                    <w:left w:val="none" w:sz="0" w:space="0" w:color="auto"/>
                    <w:bottom w:val="none" w:sz="0" w:space="0" w:color="auto"/>
                    <w:right w:val="none" w:sz="0" w:space="0" w:color="auto"/>
                  </w:divBdr>
                </w:div>
              </w:divsChild>
            </w:div>
            <w:div w:id="1730566707">
              <w:marLeft w:val="0"/>
              <w:marRight w:val="0"/>
              <w:marTop w:val="0"/>
              <w:marBottom w:val="0"/>
              <w:divBdr>
                <w:top w:val="none" w:sz="0" w:space="0" w:color="auto"/>
                <w:left w:val="none" w:sz="0" w:space="0" w:color="auto"/>
                <w:bottom w:val="none" w:sz="0" w:space="0" w:color="auto"/>
                <w:right w:val="none" w:sz="0" w:space="0" w:color="auto"/>
              </w:divBdr>
              <w:divsChild>
                <w:div w:id="1465931431">
                  <w:marLeft w:val="0"/>
                  <w:marRight w:val="0"/>
                  <w:marTop w:val="0"/>
                  <w:marBottom w:val="0"/>
                  <w:divBdr>
                    <w:top w:val="none" w:sz="0" w:space="0" w:color="auto"/>
                    <w:left w:val="none" w:sz="0" w:space="0" w:color="auto"/>
                    <w:bottom w:val="none" w:sz="0" w:space="0" w:color="auto"/>
                    <w:right w:val="none" w:sz="0" w:space="0" w:color="auto"/>
                  </w:divBdr>
                </w:div>
              </w:divsChild>
            </w:div>
            <w:div w:id="1730883476">
              <w:marLeft w:val="0"/>
              <w:marRight w:val="0"/>
              <w:marTop w:val="300"/>
              <w:marBottom w:val="300"/>
              <w:divBdr>
                <w:top w:val="none" w:sz="0" w:space="0" w:color="auto"/>
                <w:left w:val="none" w:sz="0" w:space="0" w:color="auto"/>
                <w:bottom w:val="none" w:sz="0" w:space="0" w:color="auto"/>
                <w:right w:val="none" w:sz="0" w:space="0" w:color="auto"/>
              </w:divBdr>
            </w:div>
            <w:div w:id="1731659232">
              <w:marLeft w:val="0"/>
              <w:marRight w:val="0"/>
              <w:marTop w:val="0"/>
              <w:marBottom w:val="0"/>
              <w:divBdr>
                <w:top w:val="none" w:sz="0" w:space="0" w:color="auto"/>
                <w:left w:val="none" w:sz="0" w:space="0" w:color="auto"/>
                <w:bottom w:val="none" w:sz="0" w:space="0" w:color="auto"/>
                <w:right w:val="none" w:sz="0" w:space="0" w:color="auto"/>
              </w:divBdr>
              <w:divsChild>
                <w:div w:id="2030325858">
                  <w:marLeft w:val="0"/>
                  <w:marRight w:val="0"/>
                  <w:marTop w:val="0"/>
                  <w:marBottom w:val="0"/>
                  <w:divBdr>
                    <w:top w:val="none" w:sz="0" w:space="0" w:color="auto"/>
                    <w:left w:val="none" w:sz="0" w:space="0" w:color="auto"/>
                    <w:bottom w:val="none" w:sz="0" w:space="0" w:color="auto"/>
                    <w:right w:val="none" w:sz="0" w:space="0" w:color="auto"/>
                  </w:divBdr>
                </w:div>
              </w:divsChild>
            </w:div>
            <w:div w:id="1732655406">
              <w:marLeft w:val="0"/>
              <w:marRight w:val="0"/>
              <w:marTop w:val="0"/>
              <w:marBottom w:val="0"/>
              <w:divBdr>
                <w:top w:val="none" w:sz="0" w:space="0" w:color="auto"/>
                <w:left w:val="none" w:sz="0" w:space="0" w:color="auto"/>
                <w:bottom w:val="none" w:sz="0" w:space="0" w:color="auto"/>
                <w:right w:val="none" w:sz="0" w:space="0" w:color="auto"/>
              </w:divBdr>
              <w:divsChild>
                <w:div w:id="5138142">
                  <w:marLeft w:val="0"/>
                  <w:marRight w:val="0"/>
                  <w:marTop w:val="0"/>
                  <w:marBottom w:val="0"/>
                  <w:divBdr>
                    <w:top w:val="none" w:sz="0" w:space="0" w:color="auto"/>
                    <w:left w:val="none" w:sz="0" w:space="0" w:color="auto"/>
                    <w:bottom w:val="none" w:sz="0" w:space="0" w:color="auto"/>
                    <w:right w:val="none" w:sz="0" w:space="0" w:color="auto"/>
                  </w:divBdr>
                </w:div>
              </w:divsChild>
            </w:div>
            <w:div w:id="1732849537">
              <w:marLeft w:val="0"/>
              <w:marRight w:val="0"/>
              <w:marTop w:val="0"/>
              <w:marBottom w:val="0"/>
              <w:divBdr>
                <w:top w:val="none" w:sz="0" w:space="0" w:color="auto"/>
                <w:left w:val="none" w:sz="0" w:space="0" w:color="auto"/>
                <w:bottom w:val="none" w:sz="0" w:space="0" w:color="auto"/>
                <w:right w:val="none" w:sz="0" w:space="0" w:color="auto"/>
              </w:divBdr>
              <w:divsChild>
                <w:div w:id="1877422753">
                  <w:marLeft w:val="0"/>
                  <w:marRight w:val="0"/>
                  <w:marTop w:val="0"/>
                  <w:marBottom w:val="0"/>
                  <w:divBdr>
                    <w:top w:val="none" w:sz="0" w:space="0" w:color="auto"/>
                    <w:left w:val="none" w:sz="0" w:space="0" w:color="auto"/>
                    <w:bottom w:val="none" w:sz="0" w:space="0" w:color="auto"/>
                    <w:right w:val="none" w:sz="0" w:space="0" w:color="auto"/>
                  </w:divBdr>
                </w:div>
              </w:divsChild>
            </w:div>
            <w:div w:id="1733771236">
              <w:marLeft w:val="0"/>
              <w:marRight w:val="0"/>
              <w:marTop w:val="0"/>
              <w:marBottom w:val="0"/>
              <w:divBdr>
                <w:top w:val="none" w:sz="0" w:space="0" w:color="auto"/>
                <w:left w:val="none" w:sz="0" w:space="0" w:color="auto"/>
                <w:bottom w:val="none" w:sz="0" w:space="0" w:color="auto"/>
                <w:right w:val="none" w:sz="0" w:space="0" w:color="auto"/>
              </w:divBdr>
              <w:divsChild>
                <w:div w:id="109056007">
                  <w:marLeft w:val="0"/>
                  <w:marRight w:val="0"/>
                  <w:marTop w:val="0"/>
                  <w:marBottom w:val="0"/>
                  <w:divBdr>
                    <w:top w:val="none" w:sz="0" w:space="0" w:color="auto"/>
                    <w:left w:val="none" w:sz="0" w:space="0" w:color="auto"/>
                    <w:bottom w:val="none" w:sz="0" w:space="0" w:color="auto"/>
                    <w:right w:val="none" w:sz="0" w:space="0" w:color="auto"/>
                  </w:divBdr>
                </w:div>
              </w:divsChild>
            </w:div>
            <w:div w:id="1734112805">
              <w:marLeft w:val="0"/>
              <w:marRight w:val="0"/>
              <w:marTop w:val="0"/>
              <w:marBottom w:val="0"/>
              <w:divBdr>
                <w:top w:val="none" w:sz="0" w:space="0" w:color="auto"/>
                <w:left w:val="none" w:sz="0" w:space="0" w:color="auto"/>
                <w:bottom w:val="none" w:sz="0" w:space="0" w:color="auto"/>
                <w:right w:val="none" w:sz="0" w:space="0" w:color="auto"/>
              </w:divBdr>
              <w:divsChild>
                <w:div w:id="711930336">
                  <w:marLeft w:val="0"/>
                  <w:marRight w:val="0"/>
                  <w:marTop w:val="0"/>
                  <w:marBottom w:val="0"/>
                  <w:divBdr>
                    <w:top w:val="none" w:sz="0" w:space="0" w:color="auto"/>
                    <w:left w:val="none" w:sz="0" w:space="0" w:color="auto"/>
                    <w:bottom w:val="none" w:sz="0" w:space="0" w:color="auto"/>
                    <w:right w:val="none" w:sz="0" w:space="0" w:color="auto"/>
                  </w:divBdr>
                </w:div>
              </w:divsChild>
            </w:div>
            <w:div w:id="1735659909">
              <w:marLeft w:val="0"/>
              <w:marRight w:val="0"/>
              <w:marTop w:val="0"/>
              <w:marBottom w:val="0"/>
              <w:divBdr>
                <w:top w:val="none" w:sz="0" w:space="0" w:color="auto"/>
                <w:left w:val="none" w:sz="0" w:space="0" w:color="auto"/>
                <w:bottom w:val="none" w:sz="0" w:space="0" w:color="auto"/>
                <w:right w:val="none" w:sz="0" w:space="0" w:color="auto"/>
              </w:divBdr>
              <w:divsChild>
                <w:div w:id="1205753431">
                  <w:marLeft w:val="0"/>
                  <w:marRight w:val="0"/>
                  <w:marTop w:val="0"/>
                  <w:marBottom w:val="0"/>
                  <w:divBdr>
                    <w:top w:val="none" w:sz="0" w:space="0" w:color="auto"/>
                    <w:left w:val="none" w:sz="0" w:space="0" w:color="auto"/>
                    <w:bottom w:val="none" w:sz="0" w:space="0" w:color="auto"/>
                    <w:right w:val="none" w:sz="0" w:space="0" w:color="auto"/>
                  </w:divBdr>
                </w:div>
              </w:divsChild>
            </w:div>
            <w:div w:id="1736397334">
              <w:marLeft w:val="0"/>
              <w:marRight w:val="0"/>
              <w:marTop w:val="0"/>
              <w:marBottom w:val="0"/>
              <w:divBdr>
                <w:top w:val="none" w:sz="0" w:space="0" w:color="auto"/>
                <w:left w:val="none" w:sz="0" w:space="0" w:color="auto"/>
                <w:bottom w:val="none" w:sz="0" w:space="0" w:color="auto"/>
                <w:right w:val="none" w:sz="0" w:space="0" w:color="auto"/>
              </w:divBdr>
              <w:divsChild>
                <w:div w:id="1790902875">
                  <w:marLeft w:val="0"/>
                  <w:marRight w:val="0"/>
                  <w:marTop w:val="0"/>
                  <w:marBottom w:val="0"/>
                  <w:divBdr>
                    <w:top w:val="none" w:sz="0" w:space="0" w:color="auto"/>
                    <w:left w:val="none" w:sz="0" w:space="0" w:color="auto"/>
                    <w:bottom w:val="none" w:sz="0" w:space="0" w:color="auto"/>
                    <w:right w:val="none" w:sz="0" w:space="0" w:color="auto"/>
                  </w:divBdr>
                </w:div>
              </w:divsChild>
            </w:div>
            <w:div w:id="1736933103">
              <w:marLeft w:val="0"/>
              <w:marRight w:val="0"/>
              <w:marTop w:val="0"/>
              <w:marBottom w:val="0"/>
              <w:divBdr>
                <w:top w:val="none" w:sz="0" w:space="0" w:color="auto"/>
                <w:left w:val="none" w:sz="0" w:space="0" w:color="auto"/>
                <w:bottom w:val="none" w:sz="0" w:space="0" w:color="auto"/>
                <w:right w:val="none" w:sz="0" w:space="0" w:color="auto"/>
              </w:divBdr>
              <w:divsChild>
                <w:div w:id="233585334">
                  <w:marLeft w:val="0"/>
                  <w:marRight w:val="0"/>
                  <w:marTop w:val="0"/>
                  <w:marBottom w:val="0"/>
                  <w:divBdr>
                    <w:top w:val="none" w:sz="0" w:space="0" w:color="auto"/>
                    <w:left w:val="none" w:sz="0" w:space="0" w:color="auto"/>
                    <w:bottom w:val="none" w:sz="0" w:space="0" w:color="auto"/>
                    <w:right w:val="none" w:sz="0" w:space="0" w:color="auto"/>
                  </w:divBdr>
                </w:div>
              </w:divsChild>
            </w:div>
            <w:div w:id="1737241824">
              <w:marLeft w:val="0"/>
              <w:marRight w:val="0"/>
              <w:marTop w:val="0"/>
              <w:marBottom w:val="0"/>
              <w:divBdr>
                <w:top w:val="none" w:sz="0" w:space="0" w:color="auto"/>
                <w:left w:val="none" w:sz="0" w:space="0" w:color="auto"/>
                <w:bottom w:val="none" w:sz="0" w:space="0" w:color="auto"/>
                <w:right w:val="none" w:sz="0" w:space="0" w:color="auto"/>
              </w:divBdr>
              <w:divsChild>
                <w:div w:id="1328899722">
                  <w:marLeft w:val="0"/>
                  <w:marRight w:val="0"/>
                  <w:marTop w:val="0"/>
                  <w:marBottom w:val="0"/>
                  <w:divBdr>
                    <w:top w:val="none" w:sz="0" w:space="0" w:color="auto"/>
                    <w:left w:val="none" w:sz="0" w:space="0" w:color="auto"/>
                    <w:bottom w:val="none" w:sz="0" w:space="0" w:color="auto"/>
                    <w:right w:val="none" w:sz="0" w:space="0" w:color="auto"/>
                  </w:divBdr>
                </w:div>
              </w:divsChild>
            </w:div>
            <w:div w:id="1738550239">
              <w:marLeft w:val="0"/>
              <w:marRight w:val="0"/>
              <w:marTop w:val="0"/>
              <w:marBottom w:val="0"/>
              <w:divBdr>
                <w:top w:val="none" w:sz="0" w:space="0" w:color="auto"/>
                <w:left w:val="none" w:sz="0" w:space="0" w:color="auto"/>
                <w:bottom w:val="none" w:sz="0" w:space="0" w:color="auto"/>
                <w:right w:val="none" w:sz="0" w:space="0" w:color="auto"/>
              </w:divBdr>
              <w:divsChild>
                <w:div w:id="1680624014">
                  <w:marLeft w:val="0"/>
                  <w:marRight w:val="0"/>
                  <w:marTop w:val="0"/>
                  <w:marBottom w:val="0"/>
                  <w:divBdr>
                    <w:top w:val="none" w:sz="0" w:space="0" w:color="auto"/>
                    <w:left w:val="none" w:sz="0" w:space="0" w:color="auto"/>
                    <w:bottom w:val="none" w:sz="0" w:space="0" w:color="auto"/>
                    <w:right w:val="none" w:sz="0" w:space="0" w:color="auto"/>
                  </w:divBdr>
                </w:div>
              </w:divsChild>
            </w:div>
            <w:div w:id="1739861749">
              <w:marLeft w:val="0"/>
              <w:marRight w:val="0"/>
              <w:marTop w:val="0"/>
              <w:marBottom w:val="0"/>
              <w:divBdr>
                <w:top w:val="none" w:sz="0" w:space="0" w:color="auto"/>
                <w:left w:val="none" w:sz="0" w:space="0" w:color="auto"/>
                <w:bottom w:val="none" w:sz="0" w:space="0" w:color="auto"/>
                <w:right w:val="none" w:sz="0" w:space="0" w:color="auto"/>
              </w:divBdr>
              <w:divsChild>
                <w:div w:id="921179764">
                  <w:marLeft w:val="0"/>
                  <w:marRight w:val="0"/>
                  <w:marTop w:val="0"/>
                  <w:marBottom w:val="0"/>
                  <w:divBdr>
                    <w:top w:val="none" w:sz="0" w:space="0" w:color="auto"/>
                    <w:left w:val="none" w:sz="0" w:space="0" w:color="auto"/>
                    <w:bottom w:val="none" w:sz="0" w:space="0" w:color="auto"/>
                    <w:right w:val="none" w:sz="0" w:space="0" w:color="auto"/>
                  </w:divBdr>
                </w:div>
              </w:divsChild>
            </w:div>
            <w:div w:id="1743529769">
              <w:marLeft w:val="0"/>
              <w:marRight w:val="0"/>
              <w:marTop w:val="0"/>
              <w:marBottom w:val="0"/>
              <w:divBdr>
                <w:top w:val="none" w:sz="0" w:space="0" w:color="auto"/>
                <w:left w:val="none" w:sz="0" w:space="0" w:color="auto"/>
                <w:bottom w:val="none" w:sz="0" w:space="0" w:color="auto"/>
                <w:right w:val="none" w:sz="0" w:space="0" w:color="auto"/>
              </w:divBdr>
              <w:divsChild>
                <w:div w:id="1401367494">
                  <w:marLeft w:val="0"/>
                  <w:marRight w:val="0"/>
                  <w:marTop w:val="0"/>
                  <w:marBottom w:val="0"/>
                  <w:divBdr>
                    <w:top w:val="none" w:sz="0" w:space="0" w:color="auto"/>
                    <w:left w:val="none" w:sz="0" w:space="0" w:color="auto"/>
                    <w:bottom w:val="none" w:sz="0" w:space="0" w:color="auto"/>
                    <w:right w:val="none" w:sz="0" w:space="0" w:color="auto"/>
                  </w:divBdr>
                </w:div>
              </w:divsChild>
            </w:div>
            <w:div w:id="1743722139">
              <w:marLeft w:val="0"/>
              <w:marRight w:val="0"/>
              <w:marTop w:val="300"/>
              <w:marBottom w:val="300"/>
              <w:divBdr>
                <w:top w:val="none" w:sz="0" w:space="0" w:color="auto"/>
                <w:left w:val="none" w:sz="0" w:space="0" w:color="auto"/>
                <w:bottom w:val="none" w:sz="0" w:space="0" w:color="auto"/>
                <w:right w:val="none" w:sz="0" w:space="0" w:color="auto"/>
              </w:divBdr>
            </w:div>
            <w:div w:id="1744184383">
              <w:marLeft w:val="0"/>
              <w:marRight w:val="0"/>
              <w:marTop w:val="0"/>
              <w:marBottom w:val="0"/>
              <w:divBdr>
                <w:top w:val="none" w:sz="0" w:space="0" w:color="auto"/>
                <w:left w:val="none" w:sz="0" w:space="0" w:color="auto"/>
                <w:bottom w:val="none" w:sz="0" w:space="0" w:color="auto"/>
                <w:right w:val="none" w:sz="0" w:space="0" w:color="auto"/>
              </w:divBdr>
              <w:divsChild>
                <w:div w:id="91249556">
                  <w:marLeft w:val="0"/>
                  <w:marRight w:val="0"/>
                  <w:marTop w:val="0"/>
                  <w:marBottom w:val="0"/>
                  <w:divBdr>
                    <w:top w:val="none" w:sz="0" w:space="0" w:color="auto"/>
                    <w:left w:val="none" w:sz="0" w:space="0" w:color="auto"/>
                    <w:bottom w:val="none" w:sz="0" w:space="0" w:color="auto"/>
                    <w:right w:val="none" w:sz="0" w:space="0" w:color="auto"/>
                  </w:divBdr>
                </w:div>
              </w:divsChild>
            </w:div>
            <w:div w:id="1744372992">
              <w:marLeft w:val="0"/>
              <w:marRight w:val="0"/>
              <w:marTop w:val="0"/>
              <w:marBottom w:val="0"/>
              <w:divBdr>
                <w:top w:val="none" w:sz="0" w:space="0" w:color="auto"/>
                <w:left w:val="none" w:sz="0" w:space="0" w:color="auto"/>
                <w:bottom w:val="none" w:sz="0" w:space="0" w:color="auto"/>
                <w:right w:val="none" w:sz="0" w:space="0" w:color="auto"/>
              </w:divBdr>
              <w:divsChild>
                <w:div w:id="609702593">
                  <w:marLeft w:val="0"/>
                  <w:marRight w:val="0"/>
                  <w:marTop w:val="0"/>
                  <w:marBottom w:val="0"/>
                  <w:divBdr>
                    <w:top w:val="none" w:sz="0" w:space="0" w:color="auto"/>
                    <w:left w:val="none" w:sz="0" w:space="0" w:color="auto"/>
                    <w:bottom w:val="none" w:sz="0" w:space="0" w:color="auto"/>
                    <w:right w:val="none" w:sz="0" w:space="0" w:color="auto"/>
                  </w:divBdr>
                </w:div>
              </w:divsChild>
            </w:div>
            <w:div w:id="1744834212">
              <w:marLeft w:val="0"/>
              <w:marRight w:val="0"/>
              <w:marTop w:val="0"/>
              <w:marBottom w:val="0"/>
              <w:divBdr>
                <w:top w:val="none" w:sz="0" w:space="0" w:color="auto"/>
                <w:left w:val="none" w:sz="0" w:space="0" w:color="auto"/>
                <w:bottom w:val="none" w:sz="0" w:space="0" w:color="auto"/>
                <w:right w:val="none" w:sz="0" w:space="0" w:color="auto"/>
              </w:divBdr>
              <w:divsChild>
                <w:div w:id="2007706246">
                  <w:marLeft w:val="0"/>
                  <w:marRight w:val="0"/>
                  <w:marTop w:val="0"/>
                  <w:marBottom w:val="0"/>
                  <w:divBdr>
                    <w:top w:val="none" w:sz="0" w:space="0" w:color="auto"/>
                    <w:left w:val="none" w:sz="0" w:space="0" w:color="auto"/>
                    <w:bottom w:val="none" w:sz="0" w:space="0" w:color="auto"/>
                    <w:right w:val="none" w:sz="0" w:space="0" w:color="auto"/>
                  </w:divBdr>
                </w:div>
              </w:divsChild>
            </w:div>
            <w:div w:id="1746104393">
              <w:marLeft w:val="0"/>
              <w:marRight w:val="0"/>
              <w:marTop w:val="0"/>
              <w:marBottom w:val="0"/>
              <w:divBdr>
                <w:top w:val="none" w:sz="0" w:space="0" w:color="auto"/>
                <w:left w:val="none" w:sz="0" w:space="0" w:color="auto"/>
                <w:bottom w:val="none" w:sz="0" w:space="0" w:color="auto"/>
                <w:right w:val="none" w:sz="0" w:space="0" w:color="auto"/>
              </w:divBdr>
              <w:divsChild>
                <w:div w:id="1596132943">
                  <w:marLeft w:val="0"/>
                  <w:marRight w:val="0"/>
                  <w:marTop w:val="0"/>
                  <w:marBottom w:val="0"/>
                  <w:divBdr>
                    <w:top w:val="none" w:sz="0" w:space="0" w:color="auto"/>
                    <w:left w:val="none" w:sz="0" w:space="0" w:color="auto"/>
                    <w:bottom w:val="none" w:sz="0" w:space="0" w:color="auto"/>
                    <w:right w:val="none" w:sz="0" w:space="0" w:color="auto"/>
                  </w:divBdr>
                </w:div>
              </w:divsChild>
            </w:div>
            <w:div w:id="1749575558">
              <w:marLeft w:val="0"/>
              <w:marRight w:val="0"/>
              <w:marTop w:val="0"/>
              <w:marBottom w:val="0"/>
              <w:divBdr>
                <w:top w:val="none" w:sz="0" w:space="0" w:color="auto"/>
                <w:left w:val="none" w:sz="0" w:space="0" w:color="auto"/>
                <w:bottom w:val="none" w:sz="0" w:space="0" w:color="auto"/>
                <w:right w:val="none" w:sz="0" w:space="0" w:color="auto"/>
              </w:divBdr>
              <w:divsChild>
                <w:div w:id="1909530756">
                  <w:marLeft w:val="0"/>
                  <w:marRight w:val="0"/>
                  <w:marTop w:val="0"/>
                  <w:marBottom w:val="0"/>
                  <w:divBdr>
                    <w:top w:val="none" w:sz="0" w:space="0" w:color="auto"/>
                    <w:left w:val="none" w:sz="0" w:space="0" w:color="auto"/>
                    <w:bottom w:val="none" w:sz="0" w:space="0" w:color="auto"/>
                    <w:right w:val="none" w:sz="0" w:space="0" w:color="auto"/>
                  </w:divBdr>
                </w:div>
              </w:divsChild>
            </w:div>
            <w:div w:id="1749769769">
              <w:marLeft w:val="0"/>
              <w:marRight w:val="0"/>
              <w:marTop w:val="0"/>
              <w:marBottom w:val="0"/>
              <w:divBdr>
                <w:top w:val="none" w:sz="0" w:space="0" w:color="auto"/>
                <w:left w:val="none" w:sz="0" w:space="0" w:color="auto"/>
                <w:bottom w:val="none" w:sz="0" w:space="0" w:color="auto"/>
                <w:right w:val="none" w:sz="0" w:space="0" w:color="auto"/>
              </w:divBdr>
              <w:divsChild>
                <w:div w:id="76875812">
                  <w:marLeft w:val="0"/>
                  <w:marRight w:val="0"/>
                  <w:marTop w:val="0"/>
                  <w:marBottom w:val="0"/>
                  <w:divBdr>
                    <w:top w:val="none" w:sz="0" w:space="0" w:color="auto"/>
                    <w:left w:val="none" w:sz="0" w:space="0" w:color="auto"/>
                    <w:bottom w:val="none" w:sz="0" w:space="0" w:color="auto"/>
                    <w:right w:val="none" w:sz="0" w:space="0" w:color="auto"/>
                  </w:divBdr>
                </w:div>
              </w:divsChild>
            </w:div>
            <w:div w:id="1749840714">
              <w:marLeft w:val="0"/>
              <w:marRight w:val="0"/>
              <w:marTop w:val="0"/>
              <w:marBottom w:val="0"/>
              <w:divBdr>
                <w:top w:val="none" w:sz="0" w:space="0" w:color="auto"/>
                <w:left w:val="none" w:sz="0" w:space="0" w:color="auto"/>
                <w:bottom w:val="none" w:sz="0" w:space="0" w:color="auto"/>
                <w:right w:val="none" w:sz="0" w:space="0" w:color="auto"/>
              </w:divBdr>
              <w:divsChild>
                <w:div w:id="877931486">
                  <w:marLeft w:val="0"/>
                  <w:marRight w:val="0"/>
                  <w:marTop w:val="0"/>
                  <w:marBottom w:val="0"/>
                  <w:divBdr>
                    <w:top w:val="none" w:sz="0" w:space="0" w:color="auto"/>
                    <w:left w:val="none" w:sz="0" w:space="0" w:color="auto"/>
                    <w:bottom w:val="none" w:sz="0" w:space="0" w:color="auto"/>
                    <w:right w:val="none" w:sz="0" w:space="0" w:color="auto"/>
                  </w:divBdr>
                </w:div>
              </w:divsChild>
            </w:div>
            <w:div w:id="1751271979">
              <w:marLeft w:val="0"/>
              <w:marRight w:val="0"/>
              <w:marTop w:val="0"/>
              <w:marBottom w:val="0"/>
              <w:divBdr>
                <w:top w:val="none" w:sz="0" w:space="0" w:color="auto"/>
                <w:left w:val="none" w:sz="0" w:space="0" w:color="auto"/>
                <w:bottom w:val="none" w:sz="0" w:space="0" w:color="auto"/>
                <w:right w:val="none" w:sz="0" w:space="0" w:color="auto"/>
              </w:divBdr>
              <w:divsChild>
                <w:div w:id="797457959">
                  <w:marLeft w:val="0"/>
                  <w:marRight w:val="0"/>
                  <w:marTop w:val="0"/>
                  <w:marBottom w:val="0"/>
                  <w:divBdr>
                    <w:top w:val="none" w:sz="0" w:space="0" w:color="auto"/>
                    <w:left w:val="none" w:sz="0" w:space="0" w:color="auto"/>
                    <w:bottom w:val="none" w:sz="0" w:space="0" w:color="auto"/>
                    <w:right w:val="none" w:sz="0" w:space="0" w:color="auto"/>
                  </w:divBdr>
                </w:div>
              </w:divsChild>
            </w:div>
            <w:div w:id="1751659335">
              <w:marLeft w:val="0"/>
              <w:marRight w:val="0"/>
              <w:marTop w:val="0"/>
              <w:marBottom w:val="0"/>
              <w:divBdr>
                <w:top w:val="none" w:sz="0" w:space="0" w:color="auto"/>
                <w:left w:val="none" w:sz="0" w:space="0" w:color="auto"/>
                <w:bottom w:val="none" w:sz="0" w:space="0" w:color="auto"/>
                <w:right w:val="none" w:sz="0" w:space="0" w:color="auto"/>
              </w:divBdr>
              <w:divsChild>
                <w:div w:id="1083455685">
                  <w:marLeft w:val="0"/>
                  <w:marRight w:val="0"/>
                  <w:marTop w:val="0"/>
                  <w:marBottom w:val="0"/>
                  <w:divBdr>
                    <w:top w:val="none" w:sz="0" w:space="0" w:color="auto"/>
                    <w:left w:val="none" w:sz="0" w:space="0" w:color="auto"/>
                    <w:bottom w:val="none" w:sz="0" w:space="0" w:color="auto"/>
                    <w:right w:val="none" w:sz="0" w:space="0" w:color="auto"/>
                  </w:divBdr>
                </w:div>
              </w:divsChild>
            </w:div>
            <w:div w:id="1753311476">
              <w:marLeft w:val="0"/>
              <w:marRight w:val="0"/>
              <w:marTop w:val="0"/>
              <w:marBottom w:val="0"/>
              <w:divBdr>
                <w:top w:val="none" w:sz="0" w:space="0" w:color="auto"/>
                <w:left w:val="none" w:sz="0" w:space="0" w:color="auto"/>
                <w:bottom w:val="none" w:sz="0" w:space="0" w:color="auto"/>
                <w:right w:val="none" w:sz="0" w:space="0" w:color="auto"/>
              </w:divBdr>
              <w:divsChild>
                <w:div w:id="73598792">
                  <w:marLeft w:val="0"/>
                  <w:marRight w:val="0"/>
                  <w:marTop w:val="0"/>
                  <w:marBottom w:val="0"/>
                  <w:divBdr>
                    <w:top w:val="none" w:sz="0" w:space="0" w:color="auto"/>
                    <w:left w:val="none" w:sz="0" w:space="0" w:color="auto"/>
                    <w:bottom w:val="none" w:sz="0" w:space="0" w:color="auto"/>
                    <w:right w:val="none" w:sz="0" w:space="0" w:color="auto"/>
                  </w:divBdr>
                </w:div>
              </w:divsChild>
            </w:div>
            <w:div w:id="1753382864">
              <w:marLeft w:val="0"/>
              <w:marRight w:val="0"/>
              <w:marTop w:val="0"/>
              <w:marBottom w:val="0"/>
              <w:divBdr>
                <w:top w:val="none" w:sz="0" w:space="0" w:color="auto"/>
                <w:left w:val="none" w:sz="0" w:space="0" w:color="auto"/>
                <w:bottom w:val="none" w:sz="0" w:space="0" w:color="auto"/>
                <w:right w:val="none" w:sz="0" w:space="0" w:color="auto"/>
              </w:divBdr>
              <w:divsChild>
                <w:div w:id="1518352454">
                  <w:marLeft w:val="0"/>
                  <w:marRight w:val="0"/>
                  <w:marTop w:val="0"/>
                  <w:marBottom w:val="0"/>
                  <w:divBdr>
                    <w:top w:val="none" w:sz="0" w:space="0" w:color="auto"/>
                    <w:left w:val="none" w:sz="0" w:space="0" w:color="auto"/>
                    <w:bottom w:val="none" w:sz="0" w:space="0" w:color="auto"/>
                    <w:right w:val="none" w:sz="0" w:space="0" w:color="auto"/>
                  </w:divBdr>
                </w:div>
              </w:divsChild>
            </w:div>
            <w:div w:id="1754737151">
              <w:marLeft w:val="0"/>
              <w:marRight w:val="0"/>
              <w:marTop w:val="0"/>
              <w:marBottom w:val="0"/>
              <w:divBdr>
                <w:top w:val="none" w:sz="0" w:space="0" w:color="auto"/>
                <w:left w:val="none" w:sz="0" w:space="0" w:color="auto"/>
                <w:bottom w:val="none" w:sz="0" w:space="0" w:color="auto"/>
                <w:right w:val="none" w:sz="0" w:space="0" w:color="auto"/>
              </w:divBdr>
              <w:divsChild>
                <w:div w:id="495654085">
                  <w:marLeft w:val="0"/>
                  <w:marRight w:val="0"/>
                  <w:marTop w:val="0"/>
                  <w:marBottom w:val="0"/>
                  <w:divBdr>
                    <w:top w:val="none" w:sz="0" w:space="0" w:color="auto"/>
                    <w:left w:val="none" w:sz="0" w:space="0" w:color="auto"/>
                    <w:bottom w:val="none" w:sz="0" w:space="0" w:color="auto"/>
                    <w:right w:val="none" w:sz="0" w:space="0" w:color="auto"/>
                  </w:divBdr>
                </w:div>
              </w:divsChild>
            </w:div>
            <w:div w:id="1754740828">
              <w:marLeft w:val="0"/>
              <w:marRight w:val="0"/>
              <w:marTop w:val="300"/>
              <w:marBottom w:val="300"/>
              <w:divBdr>
                <w:top w:val="none" w:sz="0" w:space="0" w:color="auto"/>
                <w:left w:val="none" w:sz="0" w:space="0" w:color="auto"/>
                <w:bottom w:val="none" w:sz="0" w:space="0" w:color="auto"/>
                <w:right w:val="none" w:sz="0" w:space="0" w:color="auto"/>
              </w:divBdr>
            </w:div>
            <w:div w:id="1759055645">
              <w:marLeft w:val="0"/>
              <w:marRight w:val="0"/>
              <w:marTop w:val="0"/>
              <w:marBottom w:val="0"/>
              <w:divBdr>
                <w:top w:val="none" w:sz="0" w:space="0" w:color="auto"/>
                <w:left w:val="none" w:sz="0" w:space="0" w:color="auto"/>
                <w:bottom w:val="none" w:sz="0" w:space="0" w:color="auto"/>
                <w:right w:val="none" w:sz="0" w:space="0" w:color="auto"/>
              </w:divBdr>
              <w:divsChild>
                <w:div w:id="490366539">
                  <w:marLeft w:val="0"/>
                  <w:marRight w:val="0"/>
                  <w:marTop w:val="0"/>
                  <w:marBottom w:val="0"/>
                  <w:divBdr>
                    <w:top w:val="none" w:sz="0" w:space="0" w:color="auto"/>
                    <w:left w:val="none" w:sz="0" w:space="0" w:color="auto"/>
                    <w:bottom w:val="none" w:sz="0" w:space="0" w:color="auto"/>
                    <w:right w:val="none" w:sz="0" w:space="0" w:color="auto"/>
                  </w:divBdr>
                </w:div>
              </w:divsChild>
            </w:div>
            <w:div w:id="1759131080">
              <w:marLeft w:val="0"/>
              <w:marRight w:val="0"/>
              <w:marTop w:val="0"/>
              <w:marBottom w:val="0"/>
              <w:divBdr>
                <w:top w:val="none" w:sz="0" w:space="0" w:color="auto"/>
                <w:left w:val="none" w:sz="0" w:space="0" w:color="auto"/>
                <w:bottom w:val="none" w:sz="0" w:space="0" w:color="auto"/>
                <w:right w:val="none" w:sz="0" w:space="0" w:color="auto"/>
              </w:divBdr>
              <w:divsChild>
                <w:div w:id="346949101">
                  <w:marLeft w:val="0"/>
                  <w:marRight w:val="0"/>
                  <w:marTop w:val="0"/>
                  <w:marBottom w:val="0"/>
                  <w:divBdr>
                    <w:top w:val="none" w:sz="0" w:space="0" w:color="auto"/>
                    <w:left w:val="none" w:sz="0" w:space="0" w:color="auto"/>
                    <w:bottom w:val="none" w:sz="0" w:space="0" w:color="auto"/>
                    <w:right w:val="none" w:sz="0" w:space="0" w:color="auto"/>
                  </w:divBdr>
                </w:div>
              </w:divsChild>
            </w:div>
            <w:div w:id="1759324911">
              <w:marLeft w:val="0"/>
              <w:marRight w:val="0"/>
              <w:marTop w:val="0"/>
              <w:marBottom w:val="0"/>
              <w:divBdr>
                <w:top w:val="none" w:sz="0" w:space="0" w:color="auto"/>
                <w:left w:val="none" w:sz="0" w:space="0" w:color="auto"/>
                <w:bottom w:val="none" w:sz="0" w:space="0" w:color="auto"/>
                <w:right w:val="none" w:sz="0" w:space="0" w:color="auto"/>
              </w:divBdr>
              <w:divsChild>
                <w:div w:id="1540361787">
                  <w:marLeft w:val="0"/>
                  <w:marRight w:val="0"/>
                  <w:marTop w:val="0"/>
                  <w:marBottom w:val="0"/>
                  <w:divBdr>
                    <w:top w:val="none" w:sz="0" w:space="0" w:color="auto"/>
                    <w:left w:val="none" w:sz="0" w:space="0" w:color="auto"/>
                    <w:bottom w:val="none" w:sz="0" w:space="0" w:color="auto"/>
                    <w:right w:val="none" w:sz="0" w:space="0" w:color="auto"/>
                  </w:divBdr>
                </w:div>
              </w:divsChild>
            </w:div>
            <w:div w:id="1760249570">
              <w:marLeft w:val="0"/>
              <w:marRight w:val="0"/>
              <w:marTop w:val="0"/>
              <w:marBottom w:val="0"/>
              <w:divBdr>
                <w:top w:val="none" w:sz="0" w:space="0" w:color="auto"/>
                <w:left w:val="none" w:sz="0" w:space="0" w:color="auto"/>
                <w:bottom w:val="none" w:sz="0" w:space="0" w:color="auto"/>
                <w:right w:val="none" w:sz="0" w:space="0" w:color="auto"/>
              </w:divBdr>
              <w:divsChild>
                <w:div w:id="2001305268">
                  <w:marLeft w:val="0"/>
                  <w:marRight w:val="0"/>
                  <w:marTop w:val="0"/>
                  <w:marBottom w:val="0"/>
                  <w:divBdr>
                    <w:top w:val="none" w:sz="0" w:space="0" w:color="auto"/>
                    <w:left w:val="none" w:sz="0" w:space="0" w:color="auto"/>
                    <w:bottom w:val="none" w:sz="0" w:space="0" w:color="auto"/>
                    <w:right w:val="none" w:sz="0" w:space="0" w:color="auto"/>
                  </w:divBdr>
                </w:div>
              </w:divsChild>
            </w:div>
            <w:div w:id="1760250706">
              <w:marLeft w:val="0"/>
              <w:marRight w:val="0"/>
              <w:marTop w:val="0"/>
              <w:marBottom w:val="0"/>
              <w:divBdr>
                <w:top w:val="none" w:sz="0" w:space="0" w:color="auto"/>
                <w:left w:val="none" w:sz="0" w:space="0" w:color="auto"/>
                <w:bottom w:val="none" w:sz="0" w:space="0" w:color="auto"/>
                <w:right w:val="none" w:sz="0" w:space="0" w:color="auto"/>
              </w:divBdr>
              <w:divsChild>
                <w:div w:id="1585992362">
                  <w:marLeft w:val="0"/>
                  <w:marRight w:val="0"/>
                  <w:marTop w:val="0"/>
                  <w:marBottom w:val="0"/>
                  <w:divBdr>
                    <w:top w:val="none" w:sz="0" w:space="0" w:color="auto"/>
                    <w:left w:val="none" w:sz="0" w:space="0" w:color="auto"/>
                    <w:bottom w:val="none" w:sz="0" w:space="0" w:color="auto"/>
                    <w:right w:val="none" w:sz="0" w:space="0" w:color="auto"/>
                  </w:divBdr>
                </w:div>
              </w:divsChild>
            </w:div>
            <w:div w:id="1760445631">
              <w:marLeft w:val="0"/>
              <w:marRight w:val="0"/>
              <w:marTop w:val="0"/>
              <w:marBottom w:val="0"/>
              <w:divBdr>
                <w:top w:val="none" w:sz="0" w:space="0" w:color="auto"/>
                <w:left w:val="none" w:sz="0" w:space="0" w:color="auto"/>
                <w:bottom w:val="none" w:sz="0" w:space="0" w:color="auto"/>
                <w:right w:val="none" w:sz="0" w:space="0" w:color="auto"/>
              </w:divBdr>
              <w:divsChild>
                <w:div w:id="81729834">
                  <w:marLeft w:val="0"/>
                  <w:marRight w:val="0"/>
                  <w:marTop w:val="0"/>
                  <w:marBottom w:val="0"/>
                  <w:divBdr>
                    <w:top w:val="none" w:sz="0" w:space="0" w:color="auto"/>
                    <w:left w:val="none" w:sz="0" w:space="0" w:color="auto"/>
                    <w:bottom w:val="none" w:sz="0" w:space="0" w:color="auto"/>
                    <w:right w:val="none" w:sz="0" w:space="0" w:color="auto"/>
                  </w:divBdr>
                </w:div>
              </w:divsChild>
            </w:div>
            <w:div w:id="1762726216">
              <w:marLeft w:val="0"/>
              <w:marRight w:val="0"/>
              <w:marTop w:val="0"/>
              <w:marBottom w:val="0"/>
              <w:divBdr>
                <w:top w:val="none" w:sz="0" w:space="0" w:color="auto"/>
                <w:left w:val="none" w:sz="0" w:space="0" w:color="auto"/>
                <w:bottom w:val="none" w:sz="0" w:space="0" w:color="auto"/>
                <w:right w:val="none" w:sz="0" w:space="0" w:color="auto"/>
              </w:divBdr>
              <w:divsChild>
                <w:div w:id="1073696860">
                  <w:marLeft w:val="0"/>
                  <w:marRight w:val="0"/>
                  <w:marTop w:val="0"/>
                  <w:marBottom w:val="0"/>
                  <w:divBdr>
                    <w:top w:val="none" w:sz="0" w:space="0" w:color="auto"/>
                    <w:left w:val="none" w:sz="0" w:space="0" w:color="auto"/>
                    <w:bottom w:val="none" w:sz="0" w:space="0" w:color="auto"/>
                    <w:right w:val="none" w:sz="0" w:space="0" w:color="auto"/>
                  </w:divBdr>
                </w:div>
              </w:divsChild>
            </w:div>
            <w:div w:id="1764913991">
              <w:marLeft w:val="0"/>
              <w:marRight w:val="0"/>
              <w:marTop w:val="0"/>
              <w:marBottom w:val="0"/>
              <w:divBdr>
                <w:top w:val="none" w:sz="0" w:space="0" w:color="auto"/>
                <w:left w:val="none" w:sz="0" w:space="0" w:color="auto"/>
                <w:bottom w:val="none" w:sz="0" w:space="0" w:color="auto"/>
                <w:right w:val="none" w:sz="0" w:space="0" w:color="auto"/>
              </w:divBdr>
              <w:divsChild>
                <w:div w:id="1177229440">
                  <w:marLeft w:val="0"/>
                  <w:marRight w:val="0"/>
                  <w:marTop w:val="0"/>
                  <w:marBottom w:val="0"/>
                  <w:divBdr>
                    <w:top w:val="none" w:sz="0" w:space="0" w:color="auto"/>
                    <w:left w:val="none" w:sz="0" w:space="0" w:color="auto"/>
                    <w:bottom w:val="none" w:sz="0" w:space="0" w:color="auto"/>
                    <w:right w:val="none" w:sz="0" w:space="0" w:color="auto"/>
                  </w:divBdr>
                </w:div>
              </w:divsChild>
            </w:div>
            <w:div w:id="1765148689">
              <w:marLeft w:val="0"/>
              <w:marRight w:val="0"/>
              <w:marTop w:val="0"/>
              <w:marBottom w:val="0"/>
              <w:divBdr>
                <w:top w:val="none" w:sz="0" w:space="0" w:color="auto"/>
                <w:left w:val="none" w:sz="0" w:space="0" w:color="auto"/>
                <w:bottom w:val="none" w:sz="0" w:space="0" w:color="auto"/>
                <w:right w:val="none" w:sz="0" w:space="0" w:color="auto"/>
              </w:divBdr>
              <w:divsChild>
                <w:div w:id="1119184869">
                  <w:marLeft w:val="0"/>
                  <w:marRight w:val="0"/>
                  <w:marTop w:val="0"/>
                  <w:marBottom w:val="0"/>
                  <w:divBdr>
                    <w:top w:val="none" w:sz="0" w:space="0" w:color="auto"/>
                    <w:left w:val="none" w:sz="0" w:space="0" w:color="auto"/>
                    <w:bottom w:val="none" w:sz="0" w:space="0" w:color="auto"/>
                    <w:right w:val="none" w:sz="0" w:space="0" w:color="auto"/>
                  </w:divBdr>
                </w:div>
              </w:divsChild>
            </w:div>
            <w:div w:id="1765149345">
              <w:marLeft w:val="0"/>
              <w:marRight w:val="0"/>
              <w:marTop w:val="300"/>
              <w:marBottom w:val="300"/>
              <w:divBdr>
                <w:top w:val="none" w:sz="0" w:space="0" w:color="auto"/>
                <w:left w:val="none" w:sz="0" w:space="0" w:color="auto"/>
                <w:bottom w:val="none" w:sz="0" w:space="0" w:color="auto"/>
                <w:right w:val="none" w:sz="0" w:space="0" w:color="auto"/>
              </w:divBdr>
            </w:div>
            <w:div w:id="1765372299">
              <w:marLeft w:val="0"/>
              <w:marRight w:val="0"/>
              <w:marTop w:val="0"/>
              <w:marBottom w:val="0"/>
              <w:divBdr>
                <w:top w:val="none" w:sz="0" w:space="0" w:color="auto"/>
                <w:left w:val="none" w:sz="0" w:space="0" w:color="auto"/>
                <w:bottom w:val="none" w:sz="0" w:space="0" w:color="auto"/>
                <w:right w:val="none" w:sz="0" w:space="0" w:color="auto"/>
              </w:divBdr>
              <w:divsChild>
                <w:div w:id="1882009349">
                  <w:marLeft w:val="0"/>
                  <w:marRight w:val="0"/>
                  <w:marTop w:val="0"/>
                  <w:marBottom w:val="0"/>
                  <w:divBdr>
                    <w:top w:val="none" w:sz="0" w:space="0" w:color="auto"/>
                    <w:left w:val="none" w:sz="0" w:space="0" w:color="auto"/>
                    <w:bottom w:val="none" w:sz="0" w:space="0" w:color="auto"/>
                    <w:right w:val="none" w:sz="0" w:space="0" w:color="auto"/>
                  </w:divBdr>
                </w:div>
              </w:divsChild>
            </w:div>
            <w:div w:id="1765373762">
              <w:marLeft w:val="0"/>
              <w:marRight w:val="0"/>
              <w:marTop w:val="0"/>
              <w:marBottom w:val="0"/>
              <w:divBdr>
                <w:top w:val="none" w:sz="0" w:space="0" w:color="auto"/>
                <w:left w:val="none" w:sz="0" w:space="0" w:color="auto"/>
                <w:bottom w:val="none" w:sz="0" w:space="0" w:color="auto"/>
                <w:right w:val="none" w:sz="0" w:space="0" w:color="auto"/>
              </w:divBdr>
              <w:divsChild>
                <w:div w:id="620040683">
                  <w:marLeft w:val="0"/>
                  <w:marRight w:val="0"/>
                  <w:marTop w:val="0"/>
                  <w:marBottom w:val="0"/>
                  <w:divBdr>
                    <w:top w:val="none" w:sz="0" w:space="0" w:color="auto"/>
                    <w:left w:val="none" w:sz="0" w:space="0" w:color="auto"/>
                    <w:bottom w:val="none" w:sz="0" w:space="0" w:color="auto"/>
                    <w:right w:val="none" w:sz="0" w:space="0" w:color="auto"/>
                  </w:divBdr>
                </w:div>
              </w:divsChild>
            </w:div>
            <w:div w:id="1765563970">
              <w:marLeft w:val="0"/>
              <w:marRight w:val="0"/>
              <w:marTop w:val="300"/>
              <w:marBottom w:val="300"/>
              <w:divBdr>
                <w:top w:val="none" w:sz="0" w:space="0" w:color="auto"/>
                <w:left w:val="none" w:sz="0" w:space="0" w:color="auto"/>
                <w:bottom w:val="none" w:sz="0" w:space="0" w:color="auto"/>
                <w:right w:val="none" w:sz="0" w:space="0" w:color="auto"/>
              </w:divBdr>
            </w:div>
            <w:div w:id="1765951532">
              <w:marLeft w:val="0"/>
              <w:marRight w:val="0"/>
              <w:marTop w:val="0"/>
              <w:marBottom w:val="0"/>
              <w:divBdr>
                <w:top w:val="none" w:sz="0" w:space="0" w:color="auto"/>
                <w:left w:val="none" w:sz="0" w:space="0" w:color="auto"/>
                <w:bottom w:val="none" w:sz="0" w:space="0" w:color="auto"/>
                <w:right w:val="none" w:sz="0" w:space="0" w:color="auto"/>
              </w:divBdr>
              <w:divsChild>
                <w:div w:id="1254900246">
                  <w:marLeft w:val="0"/>
                  <w:marRight w:val="0"/>
                  <w:marTop w:val="0"/>
                  <w:marBottom w:val="0"/>
                  <w:divBdr>
                    <w:top w:val="none" w:sz="0" w:space="0" w:color="auto"/>
                    <w:left w:val="none" w:sz="0" w:space="0" w:color="auto"/>
                    <w:bottom w:val="none" w:sz="0" w:space="0" w:color="auto"/>
                    <w:right w:val="none" w:sz="0" w:space="0" w:color="auto"/>
                  </w:divBdr>
                </w:div>
              </w:divsChild>
            </w:div>
            <w:div w:id="1766074403">
              <w:marLeft w:val="0"/>
              <w:marRight w:val="0"/>
              <w:marTop w:val="0"/>
              <w:marBottom w:val="0"/>
              <w:divBdr>
                <w:top w:val="none" w:sz="0" w:space="0" w:color="auto"/>
                <w:left w:val="none" w:sz="0" w:space="0" w:color="auto"/>
                <w:bottom w:val="none" w:sz="0" w:space="0" w:color="auto"/>
                <w:right w:val="none" w:sz="0" w:space="0" w:color="auto"/>
              </w:divBdr>
              <w:divsChild>
                <w:div w:id="828983761">
                  <w:marLeft w:val="0"/>
                  <w:marRight w:val="0"/>
                  <w:marTop w:val="0"/>
                  <w:marBottom w:val="0"/>
                  <w:divBdr>
                    <w:top w:val="none" w:sz="0" w:space="0" w:color="auto"/>
                    <w:left w:val="none" w:sz="0" w:space="0" w:color="auto"/>
                    <w:bottom w:val="none" w:sz="0" w:space="0" w:color="auto"/>
                    <w:right w:val="none" w:sz="0" w:space="0" w:color="auto"/>
                  </w:divBdr>
                </w:div>
              </w:divsChild>
            </w:div>
            <w:div w:id="1769346675">
              <w:marLeft w:val="0"/>
              <w:marRight w:val="0"/>
              <w:marTop w:val="0"/>
              <w:marBottom w:val="0"/>
              <w:divBdr>
                <w:top w:val="none" w:sz="0" w:space="0" w:color="auto"/>
                <w:left w:val="none" w:sz="0" w:space="0" w:color="auto"/>
                <w:bottom w:val="none" w:sz="0" w:space="0" w:color="auto"/>
                <w:right w:val="none" w:sz="0" w:space="0" w:color="auto"/>
              </w:divBdr>
              <w:divsChild>
                <w:div w:id="1293562009">
                  <w:marLeft w:val="0"/>
                  <w:marRight w:val="0"/>
                  <w:marTop w:val="0"/>
                  <w:marBottom w:val="0"/>
                  <w:divBdr>
                    <w:top w:val="none" w:sz="0" w:space="0" w:color="auto"/>
                    <w:left w:val="none" w:sz="0" w:space="0" w:color="auto"/>
                    <w:bottom w:val="none" w:sz="0" w:space="0" w:color="auto"/>
                    <w:right w:val="none" w:sz="0" w:space="0" w:color="auto"/>
                  </w:divBdr>
                </w:div>
              </w:divsChild>
            </w:div>
            <w:div w:id="1770661467">
              <w:marLeft w:val="0"/>
              <w:marRight w:val="0"/>
              <w:marTop w:val="0"/>
              <w:marBottom w:val="0"/>
              <w:divBdr>
                <w:top w:val="none" w:sz="0" w:space="0" w:color="auto"/>
                <w:left w:val="none" w:sz="0" w:space="0" w:color="auto"/>
                <w:bottom w:val="none" w:sz="0" w:space="0" w:color="auto"/>
                <w:right w:val="none" w:sz="0" w:space="0" w:color="auto"/>
              </w:divBdr>
              <w:divsChild>
                <w:div w:id="68426540">
                  <w:marLeft w:val="0"/>
                  <w:marRight w:val="0"/>
                  <w:marTop w:val="0"/>
                  <w:marBottom w:val="0"/>
                  <w:divBdr>
                    <w:top w:val="none" w:sz="0" w:space="0" w:color="auto"/>
                    <w:left w:val="none" w:sz="0" w:space="0" w:color="auto"/>
                    <w:bottom w:val="none" w:sz="0" w:space="0" w:color="auto"/>
                    <w:right w:val="none" w:sz="0" w:space="0" w:color="auto"/>
                  </w:divBdr>
                </w:div>
              </w:divsChild>
            </w:div>
            <w:div w:id="1771587570">
              <w:marLeft w:val="0"/>
              <w:marRight w:val="0"/>
              <w:marTop w:val="0"/>
              <w:marBottom w:val="0"/>
              <w:divBdr>
                <w:top w:val="none" w:sz="0" w:space="0" w:color="auto"/>
                <w:left w:val="none" w:sz="0" w:space="0" w:color="auto"/>
                <w:bottom w:val="none" w:sz="0" w:space="0" w:color="auto"/>
                <w:right w:val="none" w:sz="0" w:space="0" w:color="auto"/>
              </w:divBdr>
              <w:divsChild>
                <w:div w:id="1467580381">
                  <w:marLeft w:val="0"/>
                  <w:marRight w:val="0"/>
                  <w:marTop w:val="0"/>
                  <w:marBottom w:val="0"/>
                  <w:divBdr>
                    <w:top w:val="none" w:sz="0" w:space="0" w:color="auto"/>
                    <w:left w:val="none" w:sz="0" w:space="0" w:color="auto"/>
                    <w:bottom w:val="none" w:sz="0" w:space="0" w:color="auto"/>
                    <w:right w:val="none" w:sz="0" w:space="0" w:color="auto"/>
                  </w:divBdr>
                </w:div>
              </w:divsChild>
            </w:div>
            <w:div w:id="1772387312">
              <w:marLeft w:val="0"/>
              <w:marRight w:val="0"/>
              <w:marTop w:val="300"/>
              <w:marBottom w:val="300"/>
              <w:divBdr>
                <w:top w:val="none" w:sz="0" w:space="0" w:color="auto"/>
                <w:left w:val="none" w:sz="0" w:space="0" w:color="auto"/>
                <w:bottom w:val="none" w:sz="0" w:space="0" w:color="auto"/>
                <w:right w:val="none" w:sz="0" w:space="0" w:color="auto"/>
              </w:divBdr>
            </w:div>
            <w:div w:id="1773545309">
              <w:marLeft w:val="0"/>
              <w:marRight w:val="0"/>
              <w:marTop w:val="0"/>
              <w:marBottom w:val="0"/>
              <w:divBdr>
                <w:top w:val="none" w:sz="0" w:space="0" w:color="auto"/>
                <w:left w:val="none" w:sz="0" w:space="0" w:color="auto"/>
                <w:bottom w:val="none" w:sz="0" w:space="0" w:color="auto"/>
                <w:right w:val="none" w:sz="0" w:space="0" w:color="auto"/>
              </w:divBdr>
              <w:divsChild>
                <w:div w:id="882985348">
                  <w:marLeft w:val="0"/>
                  <w:marRight w:val="0"/>
                  <w:marTop w:val="0"/>
                  <w:marBottom w:val="0"/>
                  <w:divBdr>
                    <w:top w:val="none" w:sz="0" w:space="0" w:color="auto"/>
                    <w:left w:val="none" w:sz="0" w:space="0" w:color="auto"/>
                    <w:bottom w:val="none" w:sz="0" w:space="0" w:color="auto"/>
                    <w:right w:val="none" w:sz="0" w:space="0" w:color="auto"/>
                  </w:divBdr>
                </w:div>
              </w:divsChild>
            </w:div>
            <w:div w:id="1774478238">
              <w:marLeft w:val="0"/>
              <w:marRight w:val="0"/>
              <w:marTop w:val="0"/>
              <w:marBottom w:val="0"/>
              <w:divBdr>
                <w:top w:val="none" w:sz="0" w:space="0" w:color="auto"/>
                <w:left w:val="none" w:sz="0" w:space="0" w:color="auto"/>
                <w:bottom w:val="none" w:sz="0" w:space="0" w:color="auto"/>
                <w:right w:val="none" w:sz="0" w:space="0" w:color="auto"/>
              </w:divBdr>
              <w:divsChild>
                <w:div w:id="1104151705">
                  <w:marLeft w:val="0"/>
                  <w:marRight w:val="0"/>
                  <w:marTop w:val="0"/>
                  <w:marBottom w:val="0"/>
                  <w:divBdr>
                    <w:top w:val="none" w:sz="0" w:space="0" w:color="auto"/>
                    <w:left w:val="none" w:sz="0" w:space="0" w:color="auto"/>
                    <w:bottom w:val="none" w:sz="0" w:space="0" w:color="auto"/>
                    <w:right w:val="none" w:sz="0" w:space="0" w:color="auto"/>
                  </w:divBdr>
                </w:div>
              </w:divsChild>
            </w:div>
            <w:div w:id="1775511227">
              <w:marLeft w:val="0"/>
              <w:marRight w:val="0"/>
              <w:marTop w:val="0"/>
              <w:marBottom w:val="0"/>
              <w:divBdr>
                <w:top w:val="none" w:sz="0" w:space="0" w:color="auto"/>
                <w:left w:val="none" w:sz="0" w:space="0" w:color="auto"/>
                <w:bottom w:val="none" w:sz="0" w:space="0" w:color="auto"/>
                <w:right w:val="none" w:sz="0" w:space="0" w:color="auto"/>
              </w:divBdr>
              <w:divsChild>
                <w:div w:id="127865309">
                  <w:marLeft w:val="0"/>
                  <w:marRight w:val="0"/>
                  <w:marTop w:val="0"/>
                  <w:marBottom w:val="0"/>
                  <w:divBdr>
                    <w:top w:val="none" w:sz="0" w:space="0" w:color="auto"/>
                    <w:left w:val="none" w:sz="0" w:space="0" w:color="auto"/>
                    <w:bottom w:val="none" w:sz="0" w:space="0" w:color="auto"/>
                    <w:right w:val="none" w:sz="0" w:space="0" w:color="auto"/>
                  </w:divBdr>
                </w:div>
              </w:divsChild>
            </w:div>
            <w:div w:id="1775516898">
              <w:marLeft w:val="0"/>
              <w:marRight w:val="0"/>
              <w:marTop w:val="0"/>
              <w:marBottom w:val="0"/>
              <w:divBdr>
                <w:top w:val="none" w:sz="0" w:space="0" w:color="auto"/>
                <w:left w:val="none" w:sz="0" w:space="0" w:color="auto"/>
                <w:bottom w:val="none" w:sz="0" w:space="0" w:color="auto"/>
                <w:right w:val="none" w:sz="0" w:space="0" w:color="auto"/>
              </w:divBdr>
              <w:divsChild>
                <w:div w:id="1910529000">
                  <w:marLeft w:val="0"/>
                  <w:marRight w:val="0"/>
                  <w:marTop w:val="0"/>
                  <w:marBottom w:val="0"/>
                  <w:divBdr>
                    <w:top w:val="none" w:sz="0" w:space="0" w:color="auto"/>
                    <w:left w:val="none" w:sz="0" w:space="0" w:color="auto"/>
                    <w:bottom w:val="none" w:sz="0" w:space="0" w:color="auto"/>
                    <w:right w:val="none" w:sz="0" w:space="0" w:color="auto"/>
                  </w:divBdr>
                </w:div>
              </w:divsChild>
            </w:div>
            <w:div w:id="1775857542">
              <w:marLeft w:val="0"/>
              <w:marRight w:val="0"/>
              <w:marTop w:val="300"/>
              <w:marBottom w:val="300"/>
              <w:divBdr>
                <w:top w:val="none" w:sz="0" w:space="0" w:color="auto"/>
                <w:left w:val="none" w:sz="0" w:space="0" w:color="auto"/>
                <w:bottom w:val="none" w:sz="0" w:space="0" w:color="auto"/>
                <w:right w:val="none" w:sz="0" w:space="0" w:color="auto"/>
              </w:divBdr>
            </w:div>
            <w:div w:id="1776362086">
              <w:marLeft w:val="0"/>
              <w:marRight w:val="0"/>
              <w:marTop w:val="0"/>
              <w:marBottom w:val="0"/>
              <w:divBdr>
                <w:top w:val="none" w:sz="0" w:space="0" w:color="auto"/>
                <w:left w:val="none" w:sz="0" w:space="0" w:color="auto"/>
                <w:bottom w:val="none" w:sz="0" w:space="0" w:color="auto"/>
                <w:right w:val="none" w:sz="0" w:space="0" w:color="auto"/>
              </w:divBdr>
              <w:divsChild>
                <w:div w:id="547692569">
                  <w:marLeft w:val="0"/>
                  <w:marRight w:val="0"/>
                  <w:marTop w:val="0"/>
                  <w:marBottom w:val="0"/>
                  <w:divBdr>
                    <w:top w:val="none" w:sz="0" w:space="0" w:color="auto"/>
                    <w:left w:val="none" w:sz="0" w:space="0" w:color="auto"/>
                    <w:bottom w:val="none" w:sz="0" w:space="0" w:color="auto"/>
                    <w:right w:val="none" w:sz="0" w:space="0" w:color="auto"/>
                  </w:divBdr>
                </w:div>
              </w:divsChild>
            </w:div>
            <w:div w:id="1776369041">
              <w:marLeft w:val="0"/>
              <w:marRight w:val="0"/>
              <w:marTop w:val="0"/>
              <w:marBottom w:val="0"/>
              <w:divBdr>
                <w:top w:val="none" w:sz="0" w:space="0" w:color="auto"/>
                <w:left w:val="none" w:sz="0" w:space="0" w:color="auto"/>
                <w:bottom w:val="none" w:sz="0" w:space="0" w:color="auto"/>
                <w:right w:val="none" w:sz="0" w:space="0" w:color="auto"/>
              </w:divBdr>
              <w:divsChild>
                <w:div w:id="850098661">
                  <w:marLeft w:val="0"/>
                  <w:marRight w:val="0"/>
                  <w:marTop w:val="0"/>
                  <w:marBottom w:val="0"/>
                  <w:divBdr>
                    <w:top w:val="none" w:sz="0" w:space="0" w:color="auto"/>
                    <w:left w:val="none" w:sz="0" w:space="0" w:color="auto"/>
                    <w:bottom w:val="none" w:sz="0" w:space="0" w:color="auto"/>
                    <w:right w:val="none" w:sz="0" w:space="0" w:color="auto"/>
                  </w:divBdr>
                </w:div>
              </w:divsChild>
            </w:div>
            <w:div w:id="1778327601">
              <w:marLeft w:val="0"/>
              <w:marRight w:val="0"/>
              <w:marTop w:val="0"/>
              <w:marBottom w:val="0"/>
              <w:divBdr>
                <w:top w:val="none" w:sz="0" w:space="0" w:color="auto"/>
                <w:left w:val="none" w:sz="0" w:space="0" w:color="auto"/>
                <w:bottom w:val="none" w:sz="0" w:space="0" w:color="auto"/>
                <w:right w:val="none" w:sz="0" w:space="0" w:color="auto"/>
              </w:divBdr>
              <w:divsChild>
                <w:div w:id="1541281906">
                  <w:marLeft w:val="0"/>
                  <w:marRight w:val="0"/>
                  <w:marTop w:val="0"/>
                  <w:marBottom w:val="0"/>
                  <w:divBdr>
                    <w:top w:val="none" w:sz="0" w:space="0" w:color="auto"/>
                    <w:left w:val="none" w:sz="0" w:space="0" w:color="auto"/>
                    <w:bottom w:val="none" w:sz="0" w:space="0" w:color="auto"/>
                    <w:right w:val="none" w:sz="0" w:space="0" w:color="auto"/>
                  </w:divBdr>
                </w:div>
              </w:divsChild>
            </w:div>
            <w:div w:id="1778675714">
              <w:marLeft w:val="0"/>
              <w:marRight w:val="0"/>
              <w:marTop w:val="0"/>
              <w:marBottom w:val="0"/>
              <w:divBdr>
                <w:top w:val="none" w:sz="0" w:space="0" w:color="auto"/>
                <w:left w:val="none" w:sz="0" w:space="0" w:color="auto"/>
                <w:bottom w:val="none" w:sz="0" w:space="0" w:color="auto"/>
                <w:right w:val="none" w:sz="0" w:space="0" w:color="auto"/>
              </w:divBdr>
              <w:divsChild>
                <w:div w:id="739525589">
                  <w:marLeft w:val="0"/>
                  <w:marRight w:val="0"/>
                  <w:marTop w:val="0"/>
                  <w:marBottom w:val="0"/>
                  <w:divBdr>
                    <w:top w:val="none" w:sz="0" w:space="0" w:color="auto"/>
                    <w:left w:val="none" w:sz="0" w:space="0" w:color="auto"/>
                    <w:bottom w:val="none" w:sz="0" w:space="0" w:color="auto"/>
                    <w:right w:val="none" w:sz="0" w:space="0" w:color="auto"/>
                  </w:divBdr>
                </w:div>
              </w:divsChild>
            </w:div>
            <w:div w:id="1778787371">
              <w:marLeft w:val="0"/>
              <w:marRight w:val="0"/>
              <w:marTop w:val="0"/>
              <w:marBottom w:val="0"/>
              <w:divBdr>
                <w:top w:val="none" w:sz="0" w:space="0" w:color="auto"/>
                <w:left w:val="none" w:sz="0" w:space="0" w:color="auto"/>
                <w:bottom w:val="none" w:sz="0" w:space="0" w:color="auto"/>
                <w:right w:val="none" w:sz="0" w:space="0" w:color="auto"/>
              </w:divBdr>
              <w:divsChild>
                <w:div w:id="1299263260">
                  <w:marLeft w:val="0"/>
                  <w:marRight w:val="0"/>
                  <w:marTop w:val="0"/>
                  <w:marBottom w:val="0"/>
                  <w:divBdr>
                    <w:top w:val="none" w:sz="0" w:space="0" w:color="auto"/>
                    <w:left w:val="none" w:sz="0" w:space="0" w:color="auto"/>
                    <w:bottom w:val="none" w:sz="0" w:space="0" w:color="auto"/>
                    <w:right w:val="none" w:sz="0" w:space="0" w:color="auto"/>
                  </w:divBdr>
                </w:div>
              </w:divsChild>
            </w:div>
            <w:div w:id="1779179755">
              <w:marLeft w:val="0"/>
              <w:marRight w:val="0"/>
              <w:marTop w:val="0"/>
              <w:marBottom w:val="0"/>
              <w:divBdr>
                <w:top w:val="none" w:sz="0" w:space="0" w:color="auto"/>
                <w:left w:val="none" w:sz="0" w:space="0" w:color="auto"/>
                <w:bottom w:val="none" w:sz="0" w:space="0" w:color="auto"/>
                <w:right w:val="none" w:sz="0" w:space="0" w:color="auto"/>
              </w:divBdr>
              <w:divsChild>
                <w:div w:id="1408108340">
                  <w:marLeft w:val="0"/>
                  <w:marRight w:val="0"/>
                  <w:marTop w:val="0"/>
                  <w:marBottom w:val="0"/>
                  <w:divBdr>
                    <w:top w:val="none" w:sz="0" w:space="0" w:color="auto"/>
                    <w:left w:val="none" w:sz="0" w:space="0" w:color="auto"/>
                    <w:bottom w:val="none" w:sz="0" w:space="0" w:color="auto"/>
                    <w:right w:val="none" w:sz="0" w:space="0" w:color="auto"/>
                  </w:divBdr>
                </w:div>
              </w:divsChild>
            </w:div>
            <w:div w:id="1780418618">
              <w:marLeft w:val="0"/>
              <w:marRight w:val="0"/>
              <w:marTop w:val="0"/>
              <w:marBottom w:val="0"/>
              <w:divBdr>
                <w:top w:val="none" w:sz="0" w:space="0" w:color="auto"/>
                <w:left w:val="none" w:sz="0" w:space="0" w:color="auto"/>
                <w:bottom w:val="none" w:sz="0" w:space="0" w:color="auto"/>
                <w:right w:val="none" w:sz="0" w:space="0" w:color="auto"/>
              </w:divBdr>
              <w:divsChild>
                <w:div w:id="246041728">
                  <w:marLeft w:val="0"/>
                  <w:marRight w:val="0"/>
                  <w:marTop w:val="0"/>
                  <w:marBottom w:val="0"/>
                  <w:divBdr>
                    <w:top w:val="none" w:sz="0" w:space="0" w:color="auto"/>
                    <w:left w:val="none" w:sz="0" w:space="0" w:color="auto"/>
                    <w:bottom w:val="none" w:sz="0" w:space="0" w:color="auto"/>
                    <w:right w:val="none" w:sz="0" w:space="0" w:color="auto"/>
                  </w:divBdr>
                </w:div>
              </w:divsChild>
            </w:div>
            <w:div w:id="1781022704">
              <w:marLeft w:val="0"/>
              <w:marRight w:val="0"/>
              <w:marTop w:val="0"/>
              <w:marBottom w:val="0"/>
              <w:divBdr>
                <w:top w:val="none" w:sz="0" w:space="0" w:color="auto"/>
                <w:left w:val="none" w:sz="0" w:space="0" w:color="auto"/>
                <w:bottom w:val="none" w:sz="0" w:space="0" w:color="auto"/>
                <w:right w:val="none" w:sz="0" w:space="0" w:color="auto"/>
              </w:divBdr>
              <w:divsChild>
                <w:div w:id="1612977313">
                  <w:marLeft w:val="0"/>
                  <w:marRight w:val="0"/>
                  <w:marTop w:val="0"/>
                  <w:marBottom w:val="0"/>
                  <w:divBdr>
                    <w:top w:val="none" w:sz="0" w:space="0" w:color="auto"/>
                    <w:left w:val="none" w:sz="0" w:space="0" w:color="auto"/>
                    <w:bottom w:val="none" w:sz="0" w:space="0" w:color="auto"/>
                    <w:right w:val="none" w:sz="0" w:space="0" w:color="auto"/>
                  </w:divBdr>
                </w:div>
              </w:divsChild>
            </w:div>
            <w:div w:id="1782143636">
              <w:marLeft w:val="0"/>
              <w:marRight w:val="0"/>
              <w:marTop w:val="300"/>
              <w:marBottom w:val="300"/>
              <w:divBdr>
                <w:top w:val="none" w:sz="0" w:space="0" w:color="auto"/>
                <w:left w:val="none" w:sz="0" w:space="0" w:color="auto"/>
                <w:bottom w:val="none" w:sz="0" w:space="0" w:color="auto"/>
                <w:right w:val="none" w:sz="0" w:space="0" w:color="auto"/>
              </w:divBdr>
            </w:div>
            <w:div w:id="1782872729">
              <w:marLeft w:val="0"/>
              <w:marRight w:val="0"/>
              <w:marTop w:val="300"/>
              <w:marBottom w:val="300"/>
              <w:divBdr>
                <w:top w:val="none" w:sz="0" w:space="0" w:color="auto"/>
                <w:left w:val="none" w:sz="0" w:space="0" w:color="auto"/>
                <w:bottom w:val="none" w:sz="0" w:space="0" w:color="auto"/>
                <w:right w:val="none" w:sz="0" w:space="0" w:color="auto"/>
              </w:divBdr>
            </w:div>
            <w:div w:id="1783110107">
              <w:marLeft w:val="0"/>
              <w:marRight w:val="0"/>
              <w:marTop w:val="0"/>
              <w:marBottom w:val="0"/>
              <w:divBdr>
                <w:top w:val="none" w:sz="0" w:space="0" w:color="auto"/>
                <w:left w:val="none" w:sz="0" w:space="0" w:color="auto"/>
                <w:bottom w:val="none" w:sz="0" w:space="0" w:color="auto"/>
                <w:right w:val="none" w:sz="0" w:space="0" w:color="auto"/>
              </w:divBdr>
              <w:divsChild>
                <w:div w:id="975531368">
                  <w:marLeft w:val="0"/>
                  <w:marRight w:val="0"/>
                  <w:marTop w:val="0"/>
                  <w:marBottom w:val="0"/>
                  <w:divBdr>
                    <w:top w:val="none" w:sz="0" w:space="0" w:color="auto"/>
                    <w:left w:val="none" w:sz="0" w:space="0" w:color="auto"/>
                    <w:bottom w:val="none" w:sz="0" w:space="0" w:color="auto"/>
                    <w:right w:val="none" w:sz="0" w:space="0" w:color="auto"/>
                  </w:divBdr>
                </w:div>
              </w:divsChild>
            </w:div>
            <w:div w:id="1784960803">
              <w:marLeft w:val="0"/>
              <w:marRight w:val="0"/>
              <w:marTop w:val="300"/>
              <w:marBottom w:val="300"/>
              <w:divBdr>
                <w:top w:val="none" w:sz="0" w:space="0" w:color="auto"/>
                <w:left w:val="none" w:sz="0" w:space="0" w:color="auto"/>
                <w:bottom w:val="none" w:sz="0" w:space="0" w:color="auto"/>
                <w:right w:val="none" w:sz="0" w:space="0" w:color="auto"/>
              </w:divBdr>
            </w:div>
            <w:div w:id="1785152526">
              <w:marLeft w:val="0"/>
              <w:marRight w:val="0"/>
              <w:marTop w:val="0"/>
              <w:marBottom w:val="0"/>
              <w:divBdr>
                <w:top w:val="none" w:sz="0" w:space="0" w:color="auto"/>
                <w:left w:val="none" w:sz="0" w:space="0" w:color="auto"/>
                <w:bottom w:val="none" w:sz="0" w:space="0" w:color="auto"/>
                <w:right w:val="none" w:sz="0" w:space="0" w:color="auto"/>
              </w:divBdr>
              <w:divsChild>
                <w:div w:id="1481925805">
                  <w:marLeft w:val="0"/>
                  <w:marRight w:val="0"/>
                  <w:marTop w:val="0"/>
                  <w:marBottom w:val="0"/>
                  <w:divBdr>
                    <w:top w:val="none" w:sz="0" w:space="0" w:color="auto"/>
                    <w:left w:val="none" w:sz="0" w:space="0" w:color="auto"/>
                    <w:bottom w:val="none" w:sz="0" w:space="0" w:color="auto"/>
                    <w:right w:val="none" w:sz="0" w:space="0" w:color="auto"/>
                  </w:divBdr>
                </w:div>
              </w:divsChild>
            </w:div>
            <w:div w:id="1787430446">
              <w:marLeft w:val="0"/>
              <w:marRight w:val="0"/>
              <w:marTop w:val="0"/>
              <w:marBottom w:val="0"/>
              <w:divBdr>
                <w:top w:val="none" w:sz="0" w:space="0" w:color="auto"/>
                <w:left w:val="none" w:sz="0" w:space="0" w:color="auto"/>
                <w:bottom w:val="none" w:sz="0" w:space="0" w:color="auto"/>
                <w:right w:val="none" w:sz="0" w:space="0" w:color="auto"/>
              </w:divBdr>
              <w:divsChild>
                <w:div w:id="188684446">
                  <w:marLeft w:val="0"/>
                  <w:marRight w:val="0"/>
                  <w:marTop w:val="0"/>
                  <w:marBottom w:val="0"/>
                  <w:divBdr>
                    <w:top w:val="none" w:sz="0" w:space="0" w:color="auto"/>
                    <w:left w:val="none" w:sz="0" w:space="0" w:color="auto"/>
                    <w:bottom w:val="none" w:sz="0" w:space="0" w:color="auto"/>
                    <w:right w:val="none" w:sz="0" w:space="0" w:color="auto"/>
                  </w:divBdr>
                </w:div>
              </w:divsChild>
            </w:div>
            <w:div w:id="1788087445">
              <w:marLeft w:val="0"/>
              <w:marRight w:val="0"/>
              <w:marTop w:val="0"/>
              <w:marBottom w:val="0"/>
              <w:divBdr>
                <w:top w:val="none" w:sz="0" w:space="0" w:color="auto"/>
                <w:left w:val="none" w:sz="0" w:space="0" w:color="auto"/>
                <w:bottom w:val="none" w:sz="0" w:space="0" w:color="auto"/>
                <w:right w:val="none" w:sz="0" w:space="0" w:color="auto"/>
              </w:divBdr>
              <w:divsChild>
                <w:div w:id="1827472083">
                  <w:marLeft w:val="0"/>
                  <w:marRight w:val="0"/>
                  <w:marTop w:val="0"/>
                  <w:marBottom w:val="0"/>
                  <w:divBdr>
                    <w:top w:val="none" w:sz="0" w:space="0" w:color="auto"/>
                    <w:left w:val="none" w:sz="0" w:space="0" w:color="auto"/>
                    <w:bottom w:val="none" w:sz="0" w:space="0" w:color="auto"/>
                    <w:right w:val="none" w:sz="0" w:space="0" w:color="auto"/>
                  </w:divBdr>
                </w:div>
              </w:divsChild>
            </w:div>
            <w:div w:id="1790707197">
              <w:marLeft w:val="0"/>
              <w:marRight w:val="0"/>
              <w:marTop w:val="0"/>
              <w:marBottom w:val="0"/>
              <w:divBdr>
                <w:top w:val="none" w:sz="0" w:space="0" w:color="auto"/>
                <w:left w:val="none" w:sz="0" w:space="0" w:color="auto"/>
                <w:bottom w:val="none" w:sz="0" w:space="0" w:color="auto"/>
                <w:right w:val="none" w:sz="0" w:space="0" w:color="auto"/>
              </w:divBdr>
              <w:divsChild>
                <w:div w:id="1811089204">
                  <w:marLeft w:val="0"/>
                  <w:marRight w:val="0"/>
                  <w:marTop w:val="0"/>
                  <w:marBottom w:val="0"/>
                  <w:divBdr>
                    <w:top w:val="none" w:sz="0" w:space="0" w:color="auto"/>
                    <w:left w:val="none" w:sz="0" w:space="0" w:color="auto"/>
                    <w:bottom w:val="none" w:sz="0" w:space="0" w:color="auto"/>
                    <w:right w:val="none" w:sz="0" w:space="0" w:color="auto"/>
                  </w:divBdr>
                </w:div>
              </w:divsChild>
            </w:div>
            <w:div w:id="1791632994">
              <w:marLeft w:val="0"/>
              <w:marRight w:val="0"/>
              <w:marTop w:val="0"/>
              <w:marBottom w:val="0"/>
              <w:divBdr>
                <w:top w:val="none" w:sz="0" w:space="0" w:color="auto"/>
                <w:left w:val="none" w:sz="0" w:space="0" w:color="auto"/>
                <w:bottom w:val="none" w:sz="0" w:space="0" w:color="auto"/>
                <w:right w:val="none" w:sz="0" w:space="0" w:color="auto"/>
              </w:divBdr>
              <w:divsChild>
                <w:div w:id="1125540547">
                  <w:marLeft w:val="0"/>
                  <w:marRight w:val="0"/>
                  <w:marTop w:val="0"/>
                  <w:marBottom w:val="0"/>
                  <w:divBdr>
                    <w:top w:val="none" w:sz="0" w:space="0" w:color="auto"/>
                    <w:left w:val="none" w:sz="0" w:space="0" w:color="auto"/>
                    <w:bottom w:val="none" w:sz="0" w:space="0" w:color="auto"/>
                    <w:right w:val="none" w:sz="0" w:space="0" w:color="auto"/>
                  </w:divBdr>
                </w:div>
              </w:divsChild>
            </w:div>
            <w:div w:id="1791971055">
              <w:marLeft w:val="0"/>
              <w:marRight w:val="0"/>
              <w:marTop w:val="0"/>
              <w:marBottom w:val="0"/>
              <w:divBdr>
                <w:top w:val="none" w:sz="0" w:space="0" w:color="auto"/>
                <w:left w:val="none" w:sz="0" w:space="0" w:color="auto"/>
                <w:bottom w:val="none" w:sz="0" w:space="0" w:color="auto"/>
                <w:right w:val="none" w:sz="0" w:space="0" w:color="auto"/>
              </w:divBdr>
              <w:divsChild>
                <w:div w:id="720591257">
                  <w:marLeft w:val="0"/>
                  <w:marRight w:val="0"/>
                  <w:marTop w:val="0"/>
                  <w:marBottom w:val="0"/>
                  <w:divBdr>
                    <w:top w:val="none" w:sz="0" w:space="0" w:color="auto"/>
                    <w:left w:val="none" w:sz="0" w:space="0" w:color="auto"/>
                    <w:bottom w:val="none" w:sz="0" w:space="0" w:color="auto"/>
                    <w:right w:val="none" w:sz="0" w:space="0" w:color="auto"/>
                  </w:divBdr>
                </w:div>
              </w:divsChild>
            </w:div>
            <w:div w:id="1792087015">
              <w:marLeft w:val="0"/>
              <w:marRight w:val="0"/>
              <w:marTop w:val="0"/>
              <w:marBottom w:val="0"/>
              <w:divBdr>
                <w:top w:val="none" w:sz="0" w:space="0" w:color="auto"/>
                <w:left w:val="none" w:sz="0" w:space="0" w:color="auto"/>
                <w:bottom w:val="none" w:sz="0" w:space="0" w:color="auto"/>
                <w:right w:val="none" w:sz="0" w:space="0" w:color="auto"/>
              </w:divBdr>
              <w:divsChild>
                <w:div w:id="1862813617">
                  <w:marLeft w:val="0"/>
                  <w:marRight w:val="0"/>
                  <w:marTop w:val="0"/>
                  <w:marBottom w:val="0"/>
                  <w:divBdr>
                    <w:top w:val="none" w:sz="0" w:space="0" w:color="auto"/>
                    <w:left w:val="none" w:sz="0" w:space="0" w:color="auto"/>
                    <w:bottom w:val="none" w:sz="0" w:space="0" w:color="auto"/>
                    <w:right w:val="none" w:sz="0" w:space="0" w:color="auto"/>
                  </w:divBdr>
                </w:div>
              </w:divsChild>
            </w:div>
            <w:div w:id="1793359109">
              <w:marLeft w:val="0"/>
              <w:marRight w:val="0"/>
              <w:marTop w:val="0"/>
              <w:marBottom w:val="0"/>
              <w:divBdr>
                <w:top w:val="none" w:sz="0" w:space="0" w:color="auto"/>
                <w:left w:val="none" w:sz="0" w:space="0" w:color="auto"/>
                <w:bottom w:val="none" w:sz="0" w:space="0" w:color="auto"/>
                <w:right w:val="none" w:sz="0" w:space="0" w:color="auto"/>
              </w:divBdr>
              <w:divsChild>
                <w:div w:id="1159543084">
                  <w:marLeft w:val="0"/>
                  <w:marRight w:val="0"/>
                  <w:marTop w:val="0"/>
                  <w:marBottom w:val="0"/>
                  <w:divBdr>
                    <w:top w:val="none" w:sz="0" w:space="0" w:color="auto"/>
                    <w:left w:val="none" w:sz="0" w:space="0" w:color="auto"/>
                    <w:bottom w:val="none" w:sz="0" w:space="0" w:color="auto"/>
                    <w:right w:val="none" w:sz="0" w:space="0" w:color="auto"/>
                  </w:divBdr>
                </w:div>
              </w:divsChild>
            </w:div>
            <w:div w:id="1794404240">
              <w:marLeft w:val="0"/>
              <w:marRight w:val="0"/>
              <w:marTop w:val="0"/>
              <w:marBottom w:val="0"/>
              <w:divBdr>
                <w:top w:val="none" w:sz="0" w:space="0" w:color="auto"/>
                <w:left w:val="none" w:sz="0" w:space="0" w:color="auto"/>
                <w:bottom w:val="none" w:sz="0" w:space="0" w:color="auto"/>
                <w:right w:val="none" w:sz="0" w:space="0" w:color="auto"/>
              </w:divBdr>
              <w:divsChild>
                <w:div w:id="1914388667">
                  <w:marLeft w:val="0"/>
                  <w:marRight w:val="0"/>
                  <w:marTop w:val="0"/>
                  <w:marBottom w:val="0"/>
                  <w:divBdr>
                    <w:top w:val="none" w:sz="0" w:space="0" w:color="auto"/>
                    <w:left w:val="none" w:sz="0" w:space="0" w:color="auto"/>
                    <w:bottom w:val="none" w:sz="0" w:space="0" w:color="auto"/>
                    <w:right w:val="none" w:sz="0" w:space="0" w:color="auto"/>
                  </w:divBdr>
                </w:div>
              </w:divsChild>
            </w:div>
            <w:div w:id="1794641093">
              <w:marLeft w:val="0"/>
              <w:marRight w:val="0"/>
              <w:marTop w:val="300"/>
              <w:marBottom w:val="300"/>
              <w:divBdr>
                <w:top w:val="none" w:sz="0" w:space="0" w:color="auto"/>
                <w:left w:val="none" w:sz="0" w:space="0" w:color="auto"/>
                <w:bottom w:val="none" w:sz="0" w:space="0" w:color="auto"/>
                <w:right w:val="none" w:sz="0" w:space="0" w:color="auto"/>
              </w:divBdr>
            </w:div>
            <w:div w:id="1796212637">
              <w:marLeft w:val="0"/>
              <w:marRight w:val="0"/>
              <w:marTop w:val="300"/>
              <w:marBottom w:val="300"/>
              <w:divBdr>
                <w:top w:val="none" w:sz="0" w:space="0" w:color="auto"/>
                <w:left w:val="none" w:sz="0" w:space="0" w:color="auto"/>
                <w:bottom w:val="none" w:sz="0" w:space="0" w:color="auto"/>
                <w:right w:val="none" w:sz="0" w:space="0" w:color="auto"/>
              </w:divBdr>
            </w:div>
            <w:div w:id="1797866151">
              <w:marLeft w:val="0"/>
              <w:marRight w:val="0"/>
              <w:marTop w:val="0"/>
              <w:marBottom w:val="0"/>
              <w:divBdr>
                <w:top w:val="none" w:sz="0" w:space="0" w:color="auto"/>
                <w:left w:val="none" w:sz="0" w:space="0" w:color="auto"/>
                <w:bottom w:val="none" w:sz="0" w:space="0" w:color="auto"/>
                <w:right w:val="none" w:sz="0" w:space="0" w:color="auto"/>
              </w:divBdr>
              <w:divsChild>
                <w:div w:id="1687902100">
                  <w:marLeft w:val="0"/>
                  <w:marRight w:val="0"/>
                  <w:marTop w:val="0"/>
                  <w:marBottom w:val="0"/>
                  <w:divBdr>
                    <w:top w:val="none" w:sz="0" w:space="0" w:color="auto"/>
                    <w:left w:val="none" w:sz="0" w:space="0" w:color="auto"/>
                    <w:bottom w:val="none" w:sz="0" w:space="0" w:color="auto"/>
                    <w:right w:val="none" w:sz="0" w:space="0" w:color="auto"/>
                  </w:divBdr>
                </w:div>
              </w:divsChild>
            </w:div>
            <w:div w:id="1798141767">
              <w:marLeft w:val="0"/>
              <w:marRight w:val="0"/>
              <w:marTop w:val="0"/>
              <w:marBottom w:val="0"/>
              <w:divBdr>
                <w:top w:val="none" w:sz="0" w:space="0" w:color="auto"/>
                <w:left w:val="none" w:sz="0" w:space="0" w:color="auto"/>
                <w:bottom w:val="none" w:sz="0" w:space="0" w:color="auto"/>
                <w:right w:val="none" w:sz="0" w:space="0" w:color="auto"/>
              </w:divBdr>
              <w:divsChild>
                <w:div w:id="516968089">
                  <w:marLeft w:val="0"/>
                  <w:marRight w:val="0"/>
                  <w:marTop w:val="0"/>
                  <w:marBottom w:val="0"/>
                  <w:divBdr>
                    <w:top w:val="none" w:sz="0" w:space="0" w:color="auto"/>
                    <w:left w:val="none" w:sz="0" w:space="0" w:color="auto"/>
                    <w:bottom w:val="none" w:sz="0" w:space="0" w:color="auto"/>
                    <w:right w:val="none" w:sz="0" w:space="0" w:color="auto"/>
                  </w:divBdr>
                </w:div>
              </w:divsChild>
            </w:div>
            <w:div w:id="1799178454">
              <w:marLeft w:val="0"/>
              <w:marRight w:val="0"/>
              <w:marTop w:val="0"/>
              <w:marBottom w:val="0"/>
              <w:divBdr>
                <w:top w:val="none" w:sz="0" w:space="0" w:color="auto"/>
                <w:left w:val="none" w:sz="0" w:space="0" w:color="auto"/>
                <w:bottom w:val="none" w:sz="0" w:space="0" w:color="auto"/>
                <w:right w:val="none" w:sz="0" w:space="0" w:color="auto"/>
              </w:divBdr>
              <w:divsChild>
                <w:div w:id="1835295657">
                  <w:marLeft w:val="0"/>
                  <w:marRight w:val="0"/>
                  <w:marTop w:val="0"/>
                  <w:marBottom w:val="0"/>
                  <w:divBdr>
                    <w:top w:val="none" w:sz="0" w:space="0" w:color="auto"/>
                    <w:left w:val="none" w:sz="0" w:space="0" w:color="auto"/>
                    <w:bottom w:val="none" w:sz="0" w:space="0" w:color="auto"/>
                    <w:right w:val="none" w:sz="0" w:space="0" w:color="auto"/>
                  </w:divBdr>
                </w:div>
              </w:divsChild>
            </w:div>
            <w:div w:id="1799377344">
              <w:marLeft w:val="0"/>
              <w:marRight w:val="0"/>
              <w:marTop w:val="300"/>
              <w:marBottom w:val="300"/>
              <w:divBdr>
                <w:top w:val="none" w:sz="0" w:space="0" w:color="auto"/>
                <w:left w:val="none" w:sz="0" w:space="0" w:color="auto"/>
                <w:bottom w:val="none" w:sz="0" w:space="0" w:color="auto"/>
                <w:right w:val="none" w:sz="0" w:space="0" w:color="auto"/>
              </w:divBdr>
            </w:div>
            <w:div w:id="1805150682">
              <w:marLeft w:val="0"/>
              <w:marRight w:val="0"/>
              <w:marTop w:val="0"/>
              <w:marBottom w:val="0"/>
              <w:divBdr>
                <w:top w:val="none" w:sz="0" w:space="0" w:color="auto"/>
                <w:left w:val="none" w:sz="0" w:space="0" w:color="auto"/>
                <w:bottom w:val="none" w:sz="0" w:space="0" w:color="auto"/>
                <w:right w:val="none" w:sz="0" w:space="0" w:color="auto"/>
              </w:divBdr>
              <w:divsChild>
                <w:div w:id="286933756">
                  <w:marLeft w:val="0"/>
                  <w:marRight w:val="0"/>
                  <w:marTop w:val="0"/>
                  <w:marBottom w:val="0"/>
                  <w:divBdr>
                    <w:top w:val="none" w:sz="0" w:space="0" w:color="auto"/>
                    <w:left w:val="none" w:sz="0" w:space="0" w:color="auto"/>
                    <w:bottom w:val="none" w:sz="0" w:space="0" w:color="auto"/>
                    <w:right w:val="none" w:sz="0" w:space="0" w:color="auto"/>
                  </w:divBdr>
                </w:div>
              </w:divsChild>
            </w:div>
            <w:div w:id="1805925854">
              <w:marLeft w:val="0"/>
              <w:marRight w:val="0"/>
              <w:marTop w:val="0"/>
              <w:marBottom w:val="0"/>
              <w:divBdr>
                <w:top w:val="none" w:sz="0" w:space="0" w:color="auto"/>
                <w:left w:val="none" w:sz="0" w:space="0" w:color="auto"/>
                <w:bottom w:val="none" w:sz="0" w:space="0" w:color="auto"/>
                <w:right w:val="none" w:sz="0" w:space="0" w:color="auto"/>
              </w:divBdr>
              <w:divsChild>
                <w:div w:id="514613915">
                  <w:marLeft w:val="0"/>
                  <w:marRight w:val="0"/>
                  <w:marTop w:val="0"/>
                  <w:marBottom w:val="0"/>
                  <w:divBdr>
                    <w:top w:val="none" w:sz="0" w:space="0" w:color="auto"/>
                    <w:left w:val="none" w:sz="0" w:space="0" w:color="auto"/>
                    <w:bottom w:val="none" w:sz="0" w:space="0" w:color="auto"/>
                    <w:right w:val="none" w:sz="0" w:space="0" w:color="auto"/>
                  </w:divBdr>
                </w:div>
              </w:divsChild>
            </w:div>
            <w:div w:id="1806200205">
              <w:marLeft w:val="0"/>
              <w:marRight w:val="0"/>
              <w:marTop w:val="300"/>
              <w:marBottom w:val="300"/>
              <w:divBdr>
                <w:top w:val="none" w:sz="0" w:space="0" w:color="auto"/>
                <w:left w:val="none" w:sz="0" w:space="0" w:color="auto"/>
                <w:bottom w:val="none" w:sz="0" w:space="0" w:color="auto"/>
                <w:right w:val="none" w:sz="0" w:space="0" w:color="auto"/>
              </w:divBdr>
            </w:div>
            <w:div w:id="1807431179">
              <w:marLeft w:val="0"/>
              <w:marRight w:val="0"/>
              <w:marTop w:val="0"/>
              <w:marBottom w:val="0"/>
              <w:divBdr>
                <w:top w:val="none" w:sz="0" w:space="0" w:color="auto"/>
                <w:left w:val="none" w:sz="0" w:space="0" w:color="auto"/>
                <w:bottom w:val="none" w:sz="0" w:space="0" w:color="auto"/>
                <w:right w:val="none" w:sz="0" w:space="0" w:color="auto"/>
              </w:divBdr>
              <w:divsChild>
                <w:div w:id="963846419">
                  <w:marLeft w:val="0"/>
                  <w:marRight w:val="0"/>
                  <w:marTop w:val="0"/>
                  <w:marBottom w:val="0"/>
                  <w:divBdr>
                    <w:top w:val="none" w:sz="0" w:space="0" w:color="auto"/>
                    <w:left w:val="none" w:sz="0" w:space="0" w:color="auto"/>
                    <w:bottom w:val="none" w:sz="0" w:space="0" w:color="auto"/>
                    <w:right w:val="none" w:sz="0" w:space="0" w:color="auto"/>
                  </w:divBdr>
                </w:div>
              </w:divsChild>
            </w:div>
            <w:div w:id="1807433249">
              <w:marLeft w:val="0"/>
              <w:marRight w:val="0"/>
              <w:marTop w:val="0"/>
              <w:marBottom w:val="0"/>
              <w:divBdr>
                <w:top w:val="none" w:sz="0" w:space="0" w:color="auto"/>
                <w:left w:val="none" w:sz="0" w:space="0" w:color="auto"/>
                <w:bottom w:val="none" w:sz="0" w:space="0" w:color="auto"/>
                <w:right w:val="none" w:sz="0" w:space="0" w:color="auto"/>
              </w:divBdr>
              <w:divsChild>
                <w:div w:id="640966298">
                  <w:marLeft w:val="0"/>
                  <w:marRight w:val="0"/>
                  <w:marTop w:val="0"/>
                  <w:marBottom w:val="0"/>
                  <w:divBdr>
                    <w:top w:val="none" w:sz="0" w:space="0" w:color="auto"/>
                    <w:left w:val="none" w:sz="0" w:space="0" w:color="auto"/>
                    <w:bottom w:val="none" w:sz="0" w:space="0" w:color="auto"/>
                    <w:right w:val="none" w:sz="0" w:space="0" w:color="auto"/>
                  </w:divBdr>
                </w:div>
              </w:divsChild>
            </w:div>
            <w:div w:id="1812210454">
              <w:marLeft w:val="0"/>
              <w:marRight w:val="0"/>
              <w:marTop w:val="0"/>
              <w:marBottom w:val="0"/>
              <w:divBdr>
                <w:top w:val="none" w:sz="0" w:space="0" w:color="auto"/>
                <w:left w:val="none" w:sz="0" w:space="0" w:color="auto"/>
                <w:bottom w:val="none" w:sz="0" w:space="0" w:color="auto"/>
                <w:right w:val="none" w:sz="0" w:space="0" w:color="auto"/>
              </w:divBdr>
              <w:divsChild>
                <w:div w:id="1062488829">
                  <w:marLeft w:val="0"/>
                  <w:marRight w:val="0"/>
                  <w:marTop w:val="0"/>
                  <w:marBottom w:val="0"/>
                  <w:divBdr>
                    <w:top w:val="none" w:sz="0" w:space="0" w:color="auto"/>
                    <w:left w:val="none" w:sz="0" w:space="0" w:color="auto"/>
                    <w:bottom w:val="none" w:sz="0" w:space="0" w:color="auto"/>
                    <w:right w:val="none" w:sz="0" w:space="0" w:color="auto"/>
                  </w:divBdr>
                </w:div>
              </w:divsChild>
            </w:div>
            <w:div w:id="1813131358">
              <w:marLeft w:val="0"/>
              <w:marRight w:val="0"/>
              <w:marTop w:val="300"/>
              <w:marBottom w:val="300"/>
              <w:divBdr>
                <w:top w:val="none" w:sz="0" w:space="0" w:color="auto"/>
                <w:left w:val="none" w:sz="0" w:space="0" w:color="auto"/>
                <w:bottom w:val="none" w:sz="0" w:space="0" w:color="auto"/>
                <w:right w:val="none" w:sz="0" w:space="0" w:color="auto"/>
              </w:divBdr>
            </w:div>
            <w:div w:id="1814369417">
              <w:marLeft w:val="0"/>
              <w:marRight w:val="0"/>
              <w:marTop w:val="0"/>
              <w:marBottom w:val="0"/>
              <w:divBdr>
                <w:top w:val="none" w:sz="0" w:space="0" w:color="auto"/>
                <w:left w:val="none" w:sz="0" w:space="0" w:color="auto"/>
                <w:bottom w:val="none" w:sz="0" w:space="0" w:color="auto"/>
                <w:right w:val="none" w:sz="0" w:space="0" w:color="auto"/>
              </w:divBdr>
              <w:divsChild>
                <w:div w:id="608313135">
                  <w:marLeft w:val="0"/>
                  <w:marRight w:val="0"/>
                  <w:marTop w:val="0"/>
                  <w:marBottom w:val="0"/>
                  <w:divBdr>
                    <w:top w:val="none" w:sz="0" w:space="0" w:color="auto"/>
                    <w:left w:val="none" w:sz="0" w:space="0" w:color="auto"/>
                    <w:bottom w:val="none" w:sz="0" w:space="0" w:color="auto"/>
                    <w:right w:val="none" w:sz="0" w:space="0" w:color="auto"/>
                  </w:divBdr>
                </w:div>
              </w:divsChild>
            </w:div>
            <w:div w:id="1814373197">
              <w:marLeft w:val="0"/>
              <w:marRight w:val="0"/>
              <w:marTop w:val="0"/>
              <w:marBottom w:val="0"/>
              <w:divBdr>
                <w:top w:val="none" w:sz="0" w:space="0" w:color="auto"/>
                <w:left w:val="none" w:sz="0" w:space="0" w:color="auto"/>
                <w:bottom w:val="none" w:sz="0" w:space="0" w:color="auto"/>
                <w:right w:val="none" w:sz="0" w:space="0" w:color="auto"/>
              </w:divBdr>
              <w:divsChild>
                <w:div w:id="1943568102">
                  <w:marLeft w:val="0"/>
                  <w:marRight w:val="0"/>
                  <w:marTop w:val="0"/>
                  <w:marBottom w:val="0"/>
                  <w:divBdr>
                    <w:top w:val="none" w:sz="0" w:space="0" w:color="auto"/>
                    <w:left w:val="none" w:sz="0" w:space="0" w:color="auto"/>
                    <w:bottom w:val="none" w:sz="0" w:space="0" w:color="auto"/>
                    <w:right w:val="none" w:sz="0" w:space="0" w:color="auto"/>
                  </w:divBdr>
                </w:div>
              </w:divsChild>
            </w:div>
            <w:div w:id="1816020482">
              <w:marLeft w:val="0"/>
              <w:marRight w:val="0"/>
              <w:marTop w:val="0"/>
              <w:marBottom w:val="0"/>
              <w:divBdr>
                <w:top w:val="none" w:sz="0" w:space="0" w:color="auto"/>
                <w:left w:val="none" w:sz="0" w:space="0" w:color="auto"/>
                <w:bottom w:val="none" w:sz="0" w:space="0" w:color="auto"/>
                <w:right w:val="none" w:sz="0" w:space="0" w:color="auto"/>
              </w:divBdr>
              <w:divsChild>
                <w:div w:id="1857159254">
                  <w:marLeft w:val="0"/>
                  <w:marRight w:val="0"/>
                  <w:marTop w:val="0"/>
                  <w:marBottom w:val="0"/>
                  <w:divBdr>
                    <w:top w:val="none" w:sz="0" w:space="0" w:color="auto"/>
                    <w:left w:val="none" w:sz="0" w:space="0" w:color="auto"/>
                    <w:bottom w:val="none" w:sz="0" w:space="0" w:color="auto"/>
                    <w:right w:val="none" w:sz="0" w:space="0" w:color="auto"/>
                  </w:divBdr>
                </w:div>
              </w:divsChild>
            </w:div>
            <w:div w:id="1817838566">
              <w:marLeft w:val="0"/>
              <w:marRight w:val="0"/>
              <w:marTop w:val="0"/>
              <w:marBottom w:val="0"/>
              <w:divBdr>
                <w:top w:val="none" w:sz="0" w:space="0" w:color="auto"/>
                <w:left w:val="none" w:sz="0" w:space="0" w:color="auto"/>
                <w:bottom w:val="none" w:sz="0" w:space="0" w:color="auto"/>
                <w:right w:val="none" w:sz="0" w:space="0" w:color="auto"/>
              </w:divBdr>
              <w:divsChild>
                <w:div w:id="186869640">
                  <w:marLeft w:val="0"/>
                  <w:marRight w:val="0"/>
                  <w:marTop w:val="0"/>
                  <w:marBottom w:val="0"/>
                  <w:divBdr>
                    <w:top w:val="none" w:sz="0" w:space="0" w:color="auto"/>
                    <w:left w:val="none" w:sz="0" w:space="0" w:color="auto"/>
                    <w:bottom w:val="none" w:sz="0" w:space="0" w:color="auto"/>
                    <w:right w:val="none" w:sz="0" w:space="0" w:color="auto"/>
                  </w:divBdr>
                </w:div>
              </w:divsChild>
            </w:div>
            <w:div w:id="1818374330">
              <w:marLeft w:val="0"/>
              <w:marRight w:val="0"/>
              <w:marTop w:val="300"/>
              <w:marBottom w:val="300"/>
              <w:divBdr>
                <w:top w:val="none" w:sz="0" w:space="0" w:color="auto"/>
                <w:left w:val="none" w:sz="0" w:space="0" w:color="auto"/>
                <w:bottom w:val="none" w:sz="0" w:space="0" w:color="auto"/>
                <w:right w:val="none" w:sz="0" w:space="0" w:color="auto"/>
              </w:divBdr>
            </w:div>
            <w:div w:id="1818640993">
              <w:marLeft w:val="0"/>
              <w:marRight w:val="0"/>
              <w:marTop w:val="300"/>
              <w:marBottom w:val="300"/>
              <w:divBdr>
                <w:top w:val="none" w:sz="0" w:space="0" w:color="auto"/>
                <w:left w:val="none" w:sz="0" w:space="0" w:color="auto"/>
                <w:bottom w:val="none" w:sz="0" w:space="0" w:color="auto"/>
                <w:right w:val="none" w:sz="0" w:space="0" w:color="auto"/>
              </w:divBdr>
            </w:div>
            <w:div w:id="1821993651">
              <w:marLeft w:val="0"/>
              <w:marRight w:val="0"/>
              <w:marTop w:val="0"/>
              <w:marBottom w:val="0"/>
              <w:divBdr>
                <w:top w:val="none" w:sz="0" w:space="0" w:color="auto"/>
                <w:left w:val="none" w:sz="0" w:space="0" w:color="auto"/>
                <w:bottom w:val="none" w:sz="0" w:space="0" w:color="auto"/>
                <w:right w:val="none" w:sz="0" w:space="0" w:color="auto"/>
              </w:divBdr>
              <w:divsChild>
                <w:div w:id="1807694381">
                  <w:marLeft w:val="0"/>
                  <w:marRight w:val="0"/>
                  <w:marTop w:val="0"/>
                  <w:marBottom w:val="0"/>
                  <w:divBdr>
                    <w:top w:val="none" w:sz="0" w:space="0" w:color="auto"/>
                    <w:left w:val="none" w:sz="0" w:space="0" w:color="auto"/>
                    <w:bottom w:val="none" w:sz="0" w:space="0" w:color="auto"/>
                    <w:right w:val="none" w:sz="0" w:space="0" w:color="auto"/>
                  </w:divBdr>
                </w:div>
              </w:divsChild>
            </w:div>
            <w:div w:id="1823540641">
              <w:marLeft w:val="0"/>
              <w:marRight w:val="0"/>
              <w:marTop w:val="0"/>
              <w:marBottom w:val="0"/>
              <w:divBdr>
                <w:top w:val="none" w:sz="0" w:space="0" w:color="auto"/>
                <w:left w:val="none" w:sz="0" w:space="0" w:color="auto"/>
                <w:bottom w:val="none" w:sz="0" w:space="0" w:color="auto"/>
                <w:right w:val="none" w:sz="0" w:space="0" w:color="auto"/>
              </w:divBdr>
              <w:divsChild>
                <w:div w:id="1423723101">
                  <w:marLeft w:val="0"/>
                  <w:marRight w:val="0"/>
                  <w:marTop w:val="0"/>
                  <w:marBottom w:val="0"/>
                  <w:divBdr>
                    <w:top w:val="none" w:sz="0" w:space="0" w:color="auto"/>
                    <w:left w:val="none" w:sz="0" w:space="0" w:color="auto"/>
                    <w:bottom w:val="none" w:sz="0" w:space="0" w:color="auto"/>
                    <w:right w:val="none" w:sz="0" w:space="0" w:color="auto"/>
                  </w:divBdr>
                </w:div>
              </w:divsChild>
            </w:div>
            <w:div w:id="1823890395">
              <w:marLeft w:val="0"/>
              <w:marRight w:val="0"/>
              <w:marTop w:val="0"/>
              <w:marBottom w:val="0"/>
              <w:divBdr>
                <w:top w:val="none" w:sz="0" w:space="0" w:color="auto"/>
                <w:left w:val="none" w:sz="0" w:space="0" w:color="auto"/>
                <w:bottom w:val="none" w:sz="0" w:space="0" w:color="auto"/>
                <w:right w:val="none" w:sz="0" w:space="0" w:color="auto"/>
              </w:divBdr>
              <w:divsChild>
                <w:div w:id="864052924">
                  <w:marLeft w:val="0"/>
                  <w:marRight w:val="0"/>
                  <w:marTop w:val="0"/>
                  <w:marBottom w:val="0"/>
                  <w:divBdr>
                    <w:top w:val="none" w:sz="0" w:space="0" w:color="auto"/>
                    <w:left w:val="none" w:sz="0" w:space="0" w:color="auto"/>
                    <w:bottom w:val="none" w:sz="0" w:space="0" w:color="auto"/>
                    <w:right w:val="none" w:sz="0" w:space="0" w:color="auto"/>
                  </w:divBdr>
                </w:div>
              </w:divsChild>
            </w:div>
            <w:div w:id="1823964233">
              <w:marLeft w:val="0"/>
              <w:marRight w:val="0"/>
              <w:marTop w:val="0"/>
              <w:marBottom w:val="0"/>
              <w:divBdr>
                <w:top w:val="none" w:sz="0" w:space="0" w:color="auto"/>
                <w:left w:val="none" w:sz="0" w:space="0" w:color="auto"/>
                <w:bottom w:val="none" w:sz="0" w:space="0" w:color="auto"/>
                <w:right w:val="none" w:sz="0" w:space="0" w:color="auto"/>
              </w:divBdr>
              <w:divsChild>
                <w:div w:id="1792623316">
                  <w:marLeft w:val="0"/>
                  <w:marRight w:val="0"/>
                  <w:marTop w:val="0"/>
                  <w:marBottom w:val="0"/>
                  <w:divBdr>
                    <w:top w:val="none" w:sz="0" w:space="0" w:color="auto"/>
                    <w:left w:val="none" w:sz="0" w:space="0" w:color="auto"/>
                    <w:bottom w:val="none" w:sz="0" w:space="0" w:color="auto"/>
                    <w:right w:val="none" w:sz="0" w:space="0" w:color="auto"/>
                  </w:divBdr>
                </w:div>
              </w:divsChild>
            </w:div>
            <w:div w:id="1824005582">
              <w:marLeft w:val="0"/>
              <w:marRight w:val="0"/>
              <w:marTop w:val="300"/>
              <w:marBottom w:val="300"/>
              <w:divBdr>
                <w:top w:val="none" w:sz="0" w:space="0" w:color="auto"/>
                <w:left w:val="none" w:sz="0" w:space="0" w:color="auto"/>
                <w:bottom w:val="none" w:sz="0" w:space="0" w:color="auto"/>
                <w:right w:val="none" w:sz="0" w:space="0" w:color="auto"/>
              </w:divBdr>
            </w:div>
            <w:div w:id="1825118943">
              <w:marLeft w:val="0"/>
              <w:marRight w:val="0"/>
              <w:marTop w:val="0"/>
              <w:marBottom w:val="0"/>
              <w:divBdr>
                <w:top w:val="none" w:sz="0" w:space="0" w:color="auto"/>
                <w:left w:val="none" w:sz="0" w:space="0" w:color="auto"/>
                <w:bottom w:val="none" w:sz="0" w:space="0" w:color="auto"/>
                <w:right w:val="none" w:sz="0" w:space="0" w:color="auto"/>
              </w:divBdr>
              <w:divsChild>
                <w:div w:id="1982806760">
                  <w:marLeft w:val="0"/>
                  <w:marRight w:val="0"/>
                  <w:marTop w:val="0"/>
                  <w:marBottom w:val="0"/>
                  <w:divBdr>
                    <w:top w:val="none" w:sz="0" w:space="0" w:color="auto"/>
                    <w:left w:val="none" w:sz="0" w:space="0" w:color="auto"/>
                    <w:bottom w:val="none" w:sz="0" w:space="0" w:color="auto"/>
                    <w:right w:val="none" w:sz="0" w:space="0" w:color="auto"/>
                  </w:divBdr>
                </w:div>
              </w:divsChild>
            </w:div>
            <w:div w:id="1825199800">
              <w:marLeft w:val="0"/>
              <w:marRight w:val="0"/>
              <w:marTop w:val="300"/>
              <w:marBottom w:val="300"/>
              <w:divBdr>
                <w:top w:val="none" w:sz="0" w:space="0" w:color="auto"/>
                <w:left w:val="none" w:sz="0" w:space="0" w:color="auto"/>
                <w:bottom w:val="none" w:sz="0" w:space="0" w:color="auto"/>
                <w:right w:val="none" w:sz="0" w:space="0" w:color="auto"/>
              </w:divBdr>
            </w:div>
            <w:div w:id="1826431438">
              <w:marLeft w:val="0"/>
              <w:marRight w:val="0"/>
              <w:marTop w:val="300"/>
              <w:marBottom w:val="300"/>
              <w:divBdr>
                <w:top w:val="none" w:sz="0" w:space="0" w:color="auto"/>
                <w:left w:val="none" w:sz="0" w:space="0" w:color="auto"/>
                <w:bottom w:val="none" w:sz="0" w:space="0" w:color="auto"/>
                <w:right w:val="none" w:sz="0" w:space="0" w:color="auto"/>
              </w:divBdr>
            </w:div>
            <w:div w:id="1826580982">
              <w:marLeft w:val="0"/>
              <w:marRight w:val="0"/>
              <w:marTop w:val="0"/>
              <w:marBottom w:val="0"/>
              <w:divBdr>
                <w:top w:val="none" w:sz="0" w:space="0" w:color="auto"/>
                <w:left w:val="none" w:sz="0" w:space="0" w:color="auto"/>
                <w:bottom w:val="none" w:sz="0" w:space="0" w:color="auto"/>
                <w:right w:val="none" w:sz="0" w:space="0" w:color="auto"/>
              </w:divBdr>
              <w:divsChild>
                <w:div w:id="1380787946">
                  <w:marLeft w:val="0"/>
                  <w:marRight w:val="0"/>
                  <w:marTop w:val="0"/>
                  <w:marBottom w:val="0"/>
                  <w:divBdr>
                    <w:top w:val="none" w:sz="0" w:space="0" w:color="auto"/>
                    <w:left w:val="none" w:sz="0" w:space="0" w:color="auto"/>
                    <w:bottom w:val="none" w:sz="0" w:space="0" w:color="auto"/>
                    <w:right w:val="none" w:sz="0" w:space="0" w:color="auto"/>
                  </w:divBdr>
                </w:div>
              </w:divsChild>
            </w:div>
            <w:div w:id="1830293006">
              <w:marLeft w:val="0"/>
              <w:marRight w:val="0"/>
              <w:marTop w:val="0"/>
              <w:marBottom w:val="0"/>
              <w:divBdr>
                <w:top w:val="none" w:sz="0" w:space="0" w:color="auto"/>
                <w:left w:val="none" w:sz="0" w:space="0" w:color="auto"/>
                <w:bottom w:val="none" w:sz="0" w:space="0" w:color="auto"/>
                <w:right w:val="none" w:sz="0" w:space="0" w:color="auto"/>
              </w:divBdr>
              <w:divsChild>
                <w:div w:id="1810632901">
                  <w:marLeft w:val="0"/>
                  <w:marRight w:val="0"/>
                  <w:marTop w:val="0"/>
                  <w:marBottom w:val="0"/>
                  <w:divBdr>
                    <w:top w:val="none" w:sz="0" w:space="0" w:color="auto"/>
                    <w:left w:val="none" w:sz="0" w:space="0" w:color="auto"/>
                    <w:bottom w:val="none" w:sz="0" w:space="0" w:color="auto"/>
                    <w:right w:val="none" w:sz="0" w:space="0" w:color="auto"/>
                  </w:divBdr>
                </w:div>
              </w:divsChild>
            </w:div>
            <w:div w:id="1830320648">
              <w:marLeft w:val="0"/>
              <w:marRight w:val="0"/>
              <w:marTop w:val="0"/>
              <w:marBottom w:val="0"/>
              <w:divBdr>
                <w:top w:val="none" w:sz="0" w:space="0" w:color="auto"/>
                <w:left w:val="none" w:sz="0" w:space="0" w:color="auto"/>
                <w:bottom w:val="none" w:sz="0" w:space="0" w:color="auto"/>
                <w:right w:val="none" w:sz="0" w:space="0" w:color="auto"/>
              </w:divBdr>
              <w:divsChild>
                <w:div w:id="1880359061">
                  <w:marLeft w:val="0"/>
                  <w:marRight w:val="0"/>
                  <w:marTop w:val="0"/>
                  <w:marBottom w:val="0"/>
                  <w:divBdr>
                    <w:top w:val="none" w:sz="0" w:space="0" w:color="auto"/>
                    <w:left w:val="none" w:sz="0" w:space="0" w:color="auto"/>
                    <w:bottom w:val="none" w:sz="0" w:space="0" w:color="auto"/>
                    <w:right w:val="none" w:sz="0" w:space="0" w:color="auto"/>
                  </w:divBdr>
                </w:div>
              </w:divsChild>
            </w:div>
            <w:div w:id="1832596933">
              <w:marLeft w:val="0"/>
              <w:marRight w:val="0"/>
              <w:marTop w:val="0"/>
              <w:marBottom w:val="0"/>
              <w:divBdr>
                <w:top w:val="none" w:sz="0" w:space="0" w:color="auto"/>
                <w:left w:val="none" w:sz="0" w:space="0" w:color="auto"/>
                <w:bottom w:val="none" w:sz="0" w:space="0" w:color="auto"/>
                <w:right w:val="none" w:sz="0" w:space="0" w:color="auto"/>
              </w:divBdr>
              <w:divsChild>
                <w:div w:id="1370908358">
                  <w:marLeft w:val="0"/>
                  <w:marRight w:val="0"/>
                  <w:marTop w:val="0"/>
                  <w:marBottom w:val="0"/>
                  <w:divBdr>
                    <w:top w:val="none" w:sz="0" w:space="0" w:color="auto"/>
                    <w:left w:val="none" w:sz="0" w:space="0" w:color="auto"/>
                    <w:bottom w:val="none" w:sz="0" w:space="0" w:color="auto"/>
                    <w:right w:val="none" w:sz="0" w:space="0" w:color="auto"/>
                  </w:divBdr>
                </w:div>
              </w:divsChild>
            </w:div>
            <w:div w:id="1833328154">
              <w:marLeft w:val="0"/>
              <w:marRight w:val="0"/>
              <w:marTop w:val="0"/>
              <w:marBottom w:val="0"/>
              <w:divBdr>
                <w:top w:val="none" w:sz="0" w:space="0" w:color="auto"/>
                <w:left w:val="none" w:sz="0" w:space="0" w:color="auto"/>
                <w:bottom w:val="none" w:sz="0" w:space="0" w:color="auto"/>
                <w:right w:val="none" w:sz="0" w:space="0" w:color="auto"/>
              </w:divBdr>
              <w:divsChild>
                <w:div w:id="911887461">
                  <w:marLeft w:val="0"/>
                  <w:marRight w:val="0"/>
                  <w:marTop w:val="0"/>
                  <w:marBottom w:val="0"/>
                  <w:divBdr>
                    <w:top w:val="none" w:sz="0" w:space="0" w:color="auto"/>
                    <w:left w:val="none" w:sz="0" w:space="0" w:color="auto"/>
                    <w:bottom w:val="none" w:sz="0" w:space="0" w:color="auto"/>
                    <w:right w:val="none" w:sz="0" w:space="0" w:color="auto"/>
                  </w:divBdr>
                </w:div>
              </w:divsChild>
            </w:div>
            <w:div w:id="1833332433">
              <w:marLeft w:val="0"/>
              <w:marRight w:val="0"/>
              <w:marTop w:val="0"/>
              <w:marBottom w:val="0"/>
              <w:divBdr>
                <w:top w:val="none" w:sz="0" w:space="0" w:color="auto"/>
                <w:left w:val="none" w:sz="0" w:space="0" w:color="auto"/>
                <w:bottom w:val="none" w:sz="0" w:space="0" w:color="auto"/>
                <w:right w:val="none" w:sz="0" w:space="0" w:color="auto"/>
              </w:divBdr>
              <w:divsChild>
                <w:div w:id="914895758">
                  <w:marLeft w:val="0"/>
                  <w:marRight w:val="0"/>
                  <w:marTop w:val="0"/>
                  <w:marBottom w:val="0"/>
                  <w:divBdr>
                    <w:top w:val="none" w:sz="0" w:space="0" w:color="auto"/>
                    <w:left w:val="none" w:sz="0" w:space="0" w:color="auto"/>
                    <w:bottom w:val="none" w:sz="0" w:space="0" w:color="auto"/>
                    <w:right w:val="none" w:sz="0" w:space="0" w:color="auto"/>
                  </w:divBdr>
                </w:div>
              </w:divsChild>
            </w:div>
            <w:div w:id="1833334419">
              <w:marLeft w:val="0"/>
              <w:marRight w:val="0"/>
              <w:marTop w:val="0"/>
              <w:marBottom w:val="0"/>
              <w:divBdr>
                <w:top w:val="none" w:sz="0" w:space="0" w:color="auto"/>
                <w:left w:val="none" w:sz="0" w:space="0" w:color="auto"/>
                <w:bottom w:val="none" w:sz="0" w:space="0" w:color="auto"/>
                <w:right w:val="none" w:sz="0" w:space="0" w:color="auto"/>
              </w:divBdr>
              <w:divsChild>
                <w:div w:id="414323506">
                  <w:marLeft w:val="0"/>
                  <w:marRight w:val="0"/>
                  <w:marTop w:val="0"/>
                  <w:marBottom w:val="0"/>
                  <w:divBdr>
                    <w:top w:val="none" w:sz="0" w:space="0" w:color="auto"/>
                    <w:left w:val="none" w:sz="0" w:space="0" w:color="auto"/>
                    <w:bottom w:val="none" w:sz="0" w:space="0" w:color="auto"/>
                    <w:right w:val="none" w:sz="0" w:space="0" w:color="auto"/>
                  </w:divBdr>
                </w:div>
              </w:divsChild>
            </w:div>
            <w:div w:id="1836413003">
              <w:marLeft w:val="0"/>
              <w:marRight w:val="0"/>
              <w:marTop w:val="0"/>
              <w:marBottom w:val="0"/>
              <w:divBdr>
                <w:top w:val="none" w:sz="0" w:space="0" w:color="auto"/>
                <w:left w:val="none" w:sz="0" w:space="0" w:color="auto"/>
                <w:bottom w:val="none" w:sz="0" w:space="0" w:color="auto"/>
                <w:right w:val="none" w:sz="0" w:space="0" w:color="auto"/>
              </w:divBdr>
              <w:divsChild>
                <w:div w:id="699552780">
                  <w:marLeft w:val="0"/>
                  <w:marRight w:val="0"/>
                  <w:marTop w:val="0"/>
                  <w:marBottom w:val="0"/>
                  <w:divBdr>
                    <w:top w:val="none" w:sz="0" w:space="0" w:color="auto"/>
                    <w:left w:val="none" w:sz="0" w:space="0" w:color="auto"/>
                    <w:bottom w:val="none" w:sz="0" w:space="0" w:color="auto"/>
                    <w:right w:val="none" w:sz="0" w:space="0" w:color="auto"/>
                  </w:divBdr>
                </w:div>
              </w:divsChild>
            </w:div>
            <w:div w:id="1837572873">
              <w:marLeft w:val="0"/>
              <w:marRight w:val="0"/>
              <w:marTop w:val="0"/>
              <w:marBottom w:val="0"/>
              <w:divBdr>
                <w:top w:val="none" w:sz="0" w:space="0" w:color="auto"/>
                <w:left w:val="none" w:sz="0" w:space="0" w:color="auto"/>
                <w:bottom w:val="none" w:sz="0" w:space="0" w:color="auto"/>
                <w:right w:val="none" w:sz="0" w:space="0" w:color="auto"/>
              </w:divBdr>
              <w:divsChild>
                <w:div w:id="1601530220">
                  <w:marLeft w:val="0"/>
                  <w:marRight w:val="0"/>
                  <w:marTop w:val="0"/>
                  <w:marBottom w:val="0"/>
                  <w:divBdr>
                    <w:top w:val="none" w:sz="0" w:space="0" w:color="auto"/>
                    <w:left w:val="none" w:sz="0" w:space="0" w:color="auto"/>
                    <w:bottom w:val="none" w:sz="0" w:space="0" w:color="auto"/>
                    <w:right w:val="none" w:sz="0" w:space="0" w:color="auto"/>
                  </w:divBdr>
                </w:div>
              </w:divsChild>
            </w:div>
            <w:div w:id="1842314630">
              <w:marLeft w:val="0"/>
              <w:marRight w:val="0"/>
              <w:marTop w:val="0"/>
              <w:marBottom w:val="0"/>
              <w:divBdr>
                <w:top w:val="none" w:sz="0" w:space="0" w:color="auto"/>
                <w:left w:val="none" w:sz="0" w:space="0" w:color="auto"/>
                <w:bottom w:val="none" w:sz="0" w:space="0" w:color="auto"/>
                <w:right w:val="none" w:sz="0" w:space="0" w:color="auto"/>
              </w:divBdr>
              <w:divsChild>
                <w:div w:id="1458722925">
                  <w:marLeft w:val="0"/>
                  <w:marRight w:val="0"/>
                  <w:marTop w:val="0"/>
                  <w:marBottom w:val="0"/>
                  <w:divBdr>
                    <w:top w:val="none" w:sz="0" w:space="0" w:color="auto"/>
                    <w:left w:val="none" w:sz="0" w:space="0" w:color="auto"/>
                    <w:bottom w:val="none" w:sz="0" w:space="0" w:color="auto"/>
                    <w:right w:val="none" w:sz="0" w:space="0" w:color="auto"/>
                  </w:divBdr>
                </w:div>
              </w:divsChild>
            </w:div>
            <w:div w:id="1842623399">
              <w:marLeft w:val="0"/>
              <w:marRight w:val="0"/>
              <w:marTop w:val="300"/>
              <w:marBottom w:val="300"/>
              <w:divBdr>
                <w:top w:val="none" w:sz="0" w:space="0" w:color="auto"/>
                <w:left w:val="none" w:sz="0" w:space="0" w:color="auto"/>
                <w:bottom w:val="none" w:sz="0" w:space="0" w:color="auto"/>
                <w:right w:val="none" w:sz="0" w:space="0" w:color="auto"/>
              </w:divBdr>
            </w:div>
            <w:div w:id="1844198166">
              <w:marLeft w:val="0"/>
              <w:marRight w:val="0"/>
              <w:marTop w:val="0"/>
              <w:marBottom w:val="0"/>
              <w:divBdr>
                <w:top w:val="none" w:sz="0" w:space="0" w:color="auto"/>
                <w:left w:val="none" w:sz="0" w:space="0" w:color="auto"/>
                <w:bottom w:val="none" w:sz="0" w:space="0" w:color="auto"/>
                <w:right w:val="none" w:sz="0" w:space="0" w:color="auto"/>
              </w:divBdr>
              <w:divsChild>
                <w:div w:id="1306930395">
                  <w:marLeft w:val="0"/>
                  <w:marRight w:val="0"/>
                  <w:marTop w:val="0"/>
                  <w:marBottom w:val="0"/>
                  <w:divBdr>
                    <w:top w:val="none" w:sz="0" w:space="0" w:color="auto"/>
                    <w:left w:val="none" w:sz="0" w:space="0" w:color="auto"/>
                    <w:bottom w:val="none" w:sz="0" w:space="0" w:color="auto"/>
                    <w:right w:val="none" w:sz="0" w:space="0" w:color="auto"/>
                  </w:divBdr>
                </w:div>
              </w:divsChild>
            </w:div>
            <w:div w:id="1846246569">
              <w:marLeft w:val="0"/>
              <w:marRight w:val="0"/>
              <w:marTop w:val="0"/>
              <w:marBottom w:val="0"/>
              <w:divBdr>
                <w:top w:val="none" w:sz="0" w:space="0" w:color="auto"/>
                <w:left w:val="none" w:sz="0" w:space="0" w:color="auto"/>
                <w:bottom w:val="none" w:sz="0" w:space="0" w:color="auto"/>
                <w:right w:val="none" w:sz="0" w:space="0" w:color="auto"/>
              </w:divBdr>
              <w:divsChild>
                <w:div w:id="89282846">
                  <w:marLeft w:val="0"/>
                  <w:marRight w:val="0"/>
                  <w:marTop w:val="0"/>
                  <w:marBottom w:val="0"/>
                  <w:divBdr>
                    <w:top w:val="none" w:sz="0" w:space="0" w:color="auto"/>
                    <w:left w:val="none" w:sz="0" w:space="0" w:color="auto"/>
                    <w:bottom w:val="none" w:sz="0" w:space="0" w:color="auto"/>
                    <w:right w:val="none" w:sz="0" w:space="0" w:color="auto"/>
                  </w:divBdr>
                </w:div>
              </w:divsChild>
            </w:div>
            <w:div w:id="1847209441">
              <w:marLeft w:val="0"/>
              <w:marRight w:val="0"/>
              <w:marTop w:val="0"/>
              <w:marBottom w:val="0"/>
              <w:divBdr>
                <w:top w:val="none" w:sz="0" w:space="0" w:color="auto"/>
                <w:left w:val="none" w:sz="0" w:space="0" w:color="auto"/>
                <w:bottom w:val="none" w:sz="0" w:space="0" w:color="auto"/>
                <w:right w:val="none" w:sz="0" w:space="0" w:color="auto"/>
              </w:divBdr>
              <w:divsChild>
                <w:div w:id="649361596">
                  <w:marLeft w:val="0"/>
                  <w:marRight w:val="0"/>
                  <w:marTop w:val="0"/>
                  <w:marBottom w:val="0"/>
                  <w:divBdr>
                    <w:top w:val="none" w:sz="0" w:space="0" w:color="auto"/>
                    <w:left w:val="none" w:sz="0" w:space="0" w:color="auto"/>
                    <w:bottom w:val="none" w:sz="0" w:space="0" w:color="auto"/>
                    <w:right w:val="none" w:sz="0" w:space="0" w:color="auto"/>
                  </w:divBdr>
                </w:div>
              </w:divsChild>
            </w:div>
            <w:div w:id="1847478811">
              <w:marLeft w:val="0"/>
              <w:marRight w:val="0"/>
              <w:marTop w:val="0"/>
              <w:marBottom w:val="0"/>
              <w:divBdr>
                <w:top w:val="none" w:sz="0" w:space="0" w:color="auto"/>
                <w:left w:val="none" w:sz="0" w:space="0" w:color="auto"/>
                <w:bottom w:val="none" w:sz="0" w:space="0" w:color="auto"/>
                <w:right w:val="none" w:sz="0" w:space="0" w:color="auto"/>
              </w:divBdr>
              <w:divsChild>
                <w:div w:id="27800966">
                  <w:marLeft w:val="0"/>
                  <w:marRight w:val="0"/>
                  <w:marTop w:val="0"/>
                  <w:marBottom w:val="0"/>
                  <w:divBdr>
                    <w:top w:val="none" w:sz="0" w:space="0" w:color="auto"/>
                    <w:left w:val="none" w:sz="0" w:space="0" w:color="auto"/>
                    <w:bottom w:val="none" w:sz="0" w:space="0" w:color="auto"/>
                    <w:right w:val="none" w:sz="0" w:space="0" w:color="auto"/>
                  </w:divBdr>
                </w:div>
              </w:divsChild>
            </w:div>
            <w:div w:id="1848012817">
              <w:marLeft w:val="0"/>
              <w:marRight w:val="0"/>
              <w:marTop w:val="0"/>
              <w:marBottom w:val="0"/>
              <w:divBdr>
                <w:top w:val="none" w:sz="0" w:space="0" w:color="auto"/>
                <w:left w:val="none" w:sz="0" w:space="0" w:color="auto"/>
                <w:bottom w:val="none" w:sz="0" w:space="0" w:color="auto"/>
                <w:right w:val="none" w:sz="0" w:space="0" w:color="auto"/>
              </w:divBdr>
              <w:divsChild>
                <w:div w:id="335812993">
                  <w:marLeft w:val="0"/>
                  <w:marRight w:val="0"/>
                  <w:marTop w:val="0"/>
                  <w:marBottom w:val="0"/>
                  <w:divBdr>
                    <w:top w:val="none" w:sz="0" w:space="0" w:color="auto"/>
                    <w:left w:val="none" w:sz="0" w:space="0" w:color="auto"/>
                    <w:bottom w:val="none" w:sz="0" w:space="0" w:color="auto"/>
                    <w:right w:val="none" w:sz="0" w:space="0" w:color="auto"/>
                  </w:divBdr>
                </w:div>
              </w:divsChild>
            </w:div>
            <w:div w:id="1848596460">
              <w:marLeft w:val="0"/>
              <w:marRight w:val="0"/>
              <w:marTop w:val="0"/>
              <w:marBottom w:val="0"/>
              <w:divBdr>
                <w:top w:val="none" w:sz="0" w:space="0" w:color="auto"/>
                <w:left w:val="none" w:sz="0" w:space="0" w:color="auto"/>
                <w:bottom w:val="none" w:sz="0" w:space="0" w:color="auto"/>
                <w:right w:val="none" w:sz="0" w:space="0" w:color="auto"/>
              </w:divBdr>
              <w:divsChild>
                <w:div w:id="1140073200">
                  <w:marLeft w:val="0"/>
                  <w:marRight w:val="0"/>
                  <w:marTop w:val="0"/>
                  <w:marBottom w:val="0"/>
                  <w:divBdr>
                    <w:top w:val="none" w:sz="0" w:space="0" w:color="auto"/>
                    <w:left w:val="none" w:sz="0" w:space="0" w:color="auto"/>
                    <w:bottom w:val="none" w:sz="0" w:space="0" w:color="auto"/>
                    <w:right w:val="none" w:sz="0" w:space="0" w:color="auto"/>
                  </w:divBdr>
                </w:div>
              </w:divsChild>
            </w:div>
            <w:div w:id="1848789934">
              <w:marLeft w:val="0"/>
              <w:marRight w:val="0"/>
              <w:marTop w:val="0"/>
              <w:marBottom w:val="0"/>
              <w:divBdr>
                <w:top w:val="none" w:sz="0" w:space="0" w:color="auto"/>
                <w:left w:val="none" w:sz="0" w:space="0" w:color="auto"/>
                <w:bottom w:val="none" w:sz="0" w:space="0" w:color="auto"/>
                <w:right w:val="none" w:sz="0" w:space="0" w:color="auto"/>
              </w:divBdr>
              <w:divsChild>
                <w:div w:id="2039430321">
                  <w:marLeft w:val="0"/>
                  <w:marRight w:val="0"/>
                  <w:marTop w:val="0"/>
                  <w:marBottom w:val="0"/>
                  <w:divBdr>
                    <w:top w:val="none" w:sz="0" w:space="0" w:color="auto"/>
                    <w:left w:val="none" w:sz="0" w:space="0" w:color="auto"/>
                    <w:bottom w:val="none" w:sz="0" w:space="0" w:color="auto"/>
                    <w:right w:val="none" w:sz="0" w:space="0" w:color="auto"/>
                  </w:divBdr>
                </w:div>
              </w:divsChild>
            </w:div>
            <w:div w:id="1849175350">
              <w:marLeft w:val="0"/>
              <w:marRight w:val="0"/>
              <w:marTop w:val="0"/>
              <w:marBottom w:val="0"/>
              <w:divBdr>
                <w:top w:val="none" w:sz="0" w:space="0" w:color="auto"/>
                <w:left w:val="none" w:sz="0" w:space="0" w:color="auto"/>
                <w:bottom w:val="none" w:sz="0" w:space="0" w:color="auto"/>
                <w:right w:val="none" w:sz="0" w:space="0" w:color="auto"/>
              </w:divBdr>
              <w:divsChild>
                <w:div w:id="145779899">
                  <w:marLeft w:val="0"/>
                  <w:marRight w:val="0"/>
                  <w:marTop w:val="0"/>
                  <w:marBottom w:val="0"/>
                  <w:divBdr>
                    <w:top w:val="none" w:sz="0" w:space="0" w:color="auto"/>
                    <w:left w:val="none" w:sz="0" w:space="0" w:color="auto"/>
                    <w:bottom w:val="none" w:sz="0" w:space="0" w:color="auto"/>
                    <w:right w:val="none" w:sz="0" w:space="0" w:color="auto"/>
                  </w:divBdr>
                </w:div>
              </w:divsChild>
            </w:div>
            <w:div w:id="1850676480">
              <w:marLeft w:val="0"/>
              <w:marRight w:val="0"/>
              <w:marTop w:val="0"/>
              <w:marBottom w:val="0"/>
              <w:divBdr>
                <w:top w:val="none" w:sz="0" w:space="0" w:color="auto"/>
                <w:left w:val="none" w:sz="0" w:space="0" w:color="auto"/>
                <w:bottom w:val="none" w:sz="0" w:space="0" w:color="auto"/>
                <w:right w:val="none" w:sz="0" w:space="0" w:color="auto"/>
              </w:divBdr>
              <w:divsChild>
                <w:div w:id="557015533">
                  <w:marLeft w:val="0"/>
                  <w:marRight w:val="0"/>
                  <w:marTop w:val="0"/>
                  <w:marBottom w:val="0"/>
                  <w:divBdr>
                    <w:top w:val="none" w:sz="0" w:space="0" w:color="auto"/>
                    <w:left w:val="none" w:sz="0" w:space="0" w:color="auto"/>
                    <w:bottom w:val="none" w:sz="0" w:space="0" w:color="auto"/>
                    <w:right w:val="none" w:sz="0" w:space="0" w:color="auto"/>
                  </w:divBdr>
                </w:div>
              </w:divsChild>
            </w:div>
            <w:div w:id="1851020642">
              <w:marLeft w:val="0"/>
              <w:marRight w:val="0"/>
              <w:marTop w:val="0"/>
              <w:marBottom w:val="0"/>
              <w:divBdr>
                <w:top w:val="none" w:sz="0" w:space="0" w:color="auto"/>
                <w:left w:val="none" w:sz="0" w:space="0" w:color="auto"/>
                <w:bottom w:val="none" w:sz="0" w:space="0" w:color="auto"/>
                <w:right w:val="none" w:sz="0" w:space="0" w:color="auto"/>
              </w:divBdr>
              <w:divsChild>
                <w:div w:id="1344160475">
                  <w:marLeft w:val="0"/>
                  <w:marRight w:val="0"/>
                  <w:marTop w:val="0"/>
                  <w:marBottom w:val="0"/>
                  <w:divBdr>
                    <w:top w:val="none" w:sz="0" w:space="0" w:color="auto"/>
                    <w:left w:val="none" w:sz="0" w:space="0" w:color="auto"/>
                    <w:bottom w:val="none" w:sz="0" w:space="0" w:color="auto"/>
                    <w:right w:val="none" w:sz="0" w:space="0" w:color="auto"/>
                  </w:divBdr>
                </w:div>
              </w:divsChild>
            </w:div>
            <w:div w:id="1854223440">
              <w:marLeft w:val="0"/>
              <w:marRight w:val="0"/>
              <w:marTop w:val="0"/>
              <w:marBottom w:val="0"/>
              <w:divBdr>
                <w:top w:val="none" w:sz="0" w:space="0" w:color="auto"/>
                <w:left w:val="none" w:sz="0" w:space="0" w:color="auto"/>
                <w:bottom w:val="none" w:sz="0" w:space="0" w:color="auto"/>
                <w:right w:val="none" w:sz="0" w:space="0" w:color="auto"/>
              </w:divBdr>
              <w:divsChild>
                <w:div w:id="600916135">
                  <w:marLeft w:val="0"/>
                  <w:marRight w:val="0"/>
                  <w:marTop w:val="0"/>
                  <w:marBottom w:val="0"/>
                  <w:divBdr>
                    <w:top w:val="none" w:sz="0" w:space="0" w:color="auto"/>
                    <w:left w:val="none" w:sz="0" w:space="0" w:color="auto"/>
                    <w:bottom w:val="none" w:sz="0" w:space="0" w:color="auto"/>
                    <w:right w:val="none" w:sz="0" w:space="0" w:color="auto"/>
                  </w:divBdr>
                </w:div>
              </w:divsChild>
            </w:div>
            <w:div w:id="1854227388">
              <w:marLeft w:val="0"/>
              <w:marRight w:val="0"/>
              <w:marTop w:val="0"/>
              <w:marBottom w:val="0"/>
              <w:divBdr>
                <w:top w:val="none" w:sz="0" w:space="0" w:color="auto"/>
                <w:left w:val="none" w:sz="0" w:space="0" w:color="auto"/>
                <w:bottom w:val="none" w:sz="0" w:space="0" w:color="auto"/>
                <w:right w:val="none" w:sz="0" w:space="0" w:color="auto"/>
              </w:divBdr>
              <w:divsChild>
                <w:div w:id="337385990">
                  <w:marLeft w:val="0"/>
                  <w:marRight w:val="0"/>
                  <w:marTop w:val="0"/>
                  <w:marBottom w:val="0"/>
                  <w:divBdr>
                    <w:top w:val="none" w:sz="0" w:space="0" w:color="auto"/>
                    <w:left w:val="none" w:sz="0" w:space="0" w:color="auto"/>
                    <w:bottom w:val="none" w:sz="0" w:space="0" w:color="auto"/>
                    <w:right w:val="none" w:sz="0" w:space="0" w:color="auto"/>
                  </w:divBdr>
                </w:div>
              </w:divsChild>
            </w:div>
            <w:div w:id="1857184322">
              <w:marLeft w:val="0"/>
              <w:marRight w:val="0"/>
              <w:marTop w:val="0"/>
              <w:marBottom w:val="0"/>
              <w:divBdr>
                <w:top w:val="none" w:sz="0" w:space="0" w:color="auto"/>
                <w:left w:val="none" w:sz="0" w:space="0" w:color="auto"/>
                <w:bottom w:val="none" w:sz="0" w:space="0" w:color="auto"/>
                <w:right w:val="none" w:sz="0" w:space="0" w:color="auto"/>
              </w:divBdr>
              <w:divsChild>
                <w:div w:id="1157964422">
                  <w:marLeft w:val="0"/>
                  <w:marRight w:val="0"/>
                  <w:marTop w:val="0"/>
                  <w:marBottom w:val="0"/>
                  <w:divBdr>
                    <w:top w:val="none" w:sz="0" w:space="0" w:color="auto"/>
                    <w:left w:val="none" w:sz="0" w:space="0" w:color="auto"/>
                    <w:bottom w:val="none" w:sz="0" w:space="0" w:color="auto"/>
                    <w:right w:val="none" w:sz="0" w:space="0" w:color="auto"/>
                  </w:divBdr>
                </w:div>
              </w:divsChild>
            </w:div>
            <w:div w:id="1857691090">
              <w:marLeft w:val="0"/>
              <w:marRight w:val="0"/>
              <w:marTop w:val="0"/>
              <w:marBottom w:val="0"/>
              <w:divBdr>
                <w:top w:val="none" w:sz="0" w:space="0" w:color="auto"/>
                <w:left w:val="none" w:sz="0" w:space="0" w:color="auto"/>
                <w:bottom w:val="none" w:sz="0" w:space="0" w:color="auto"/>
                <w:right w:val="none" w:sz="0" w:space="0" w:color="auto"/>
              </w:divBdr>
              <w:divsChild>
                <w:div w:id="195507920">
                  <w:marLeft w:val="0"/>
                  <w:marRight w:val="0"/>
                  <w:marTop w:val="0"/>
                  <w:marBottom w:val="0"/>
                  <w:divBdr>
                    <w:top w:val="none" w:sz="0" w:space="0" w:color="auto"/>
                    <w:left w:val="none" w:sz="0" w:space="0" w:color="auto"/>
                    <w:bottom w:val="none" w:sz="0" w:space="0" w:color="auto"/>
                    <w:right w:val="none" w:sz="0" w:space="0" w:color="auto"/>
                  </w:divBdr>
                </w:div>
              </w:divsChild>
            </w:div>
            <w:div w:id="1858156664">
              <w:marLeft w:val="0"/>
              <w:marRight w:val="0"/>
              <w:marTop w:val="0"/>
              <w:marBottom w:val="0"/>
              <w:divBdr>
                <w:top w:val="none" w:sz="0" w:space="0" w:color="auto"/>
                <w:left w:val="none" w:sz="0" w:space="0" w:color="auto"/>
                <w:bottom w:val="none" w:sz="0" w:space="0" w:color="auto"/>
                <w:right w:val="none" w:sz="0" w:space="0" w:color="auto"/>
              </w:divBdr>
              <w:divsChild>
                <w:div w:id="664167507">
                  <w:marLeft w:val="0"/>
                  <w:marRight w:val="0"/>
                  <w:marTop w:val="0"/>
                  <w:marBottom w:val="0"/>
                  <w:divBdr>
                    <w:top w:val="none" w:sz="0" w:space="0" w:color="auto"/>
                    <w:left w:val="none" w:sz="0" w:space="0" w:color="auto"/>
                    <w:bottom w:val="none" w:sz="0" w:space="0" w:color="auto"/>
                    <w:right w:val="none" w:sz="0" w:space="0" w:color="auto"/>
                  </w:divBdr>
                </w:div>
              </w:divsChild>
            </w:div>
            <w:div w:id="1860971320">
              <w:marLeft w:val="0"/>
              <w:marRight w:val="0"/>
              <w:marTop w:val="0"/>
              <w:marBottom w:val="0"/>
              <w:divBdr>
                <w:top w:val="none" w:sz="0" w:space="0" w:color="auto"/>
                <w:left w:val="none" w:sz="0" w:space="0" w:color="auto"/>
                <w:bottom w:val="none" w:sz="0" w:space="0" w:color="auto"/>
                <w:right w:val="none" w:sz="0" w:space="0" w:color="auto"/>
              </w:divBdr>
              <w:divsChild>
                <w:div w:id="1133017763">
                  <w:marLeft w:val="0"/>
                  <w:marRight w:val="0"/>
                  <w:marTop w:val="0"/>
                  <w:marBottom w:val="0"/>
                  <w:divBdr>
                    <w:top w:val="none" w:sz="0" w:space="0" w:color="auto"/>
                    <w:left w:val="none" w:sz="0" w:space="0" w:color="auto"/>
                    <w:bottom w:val="none" w:sz="0" w:space="0" w:color="auto"/>
                    <w:right w:val="none" w:sz="0" w:space="0" w:color="auto"/>
                  </w:divBdr>
                </w:div>
              </w:divsChild>
            </w:div>
            <w:div w:id="1863663839">
              <w:marLeft w:val="0"/>
              <w:marRight w:val="0"/>
              <w:marTop w:val="300"/>
              <w:marBottom w:val="300"/>
              <w:divBdr>
                <w:top w:val="none" w:sz="0" w:space="0" w:color="auto"/>
                <w:left w:val="none" w:sz="0" w:space="0" w:color="auto"/>
                <w:bottom w:val="none" w:sz="0" w:space="0" w:color="auto"/>
                <w:right w:val="none" w:sz="0" w:space="0" w:color="auto"/>
              </w:divBdr>
            </w:div>
            <w:div w:id="1865050484">
              <w:marLeft w:val="0"/>
              <w:marRight w:val="0"/>
              <w:marTop w:val="0"/>
              <w:marBottom w:val="0"/>
              <w:divBdr>
                <w:top w:val="none" w:sz="0" w:space="0" w:color="auto"/>
                <w:left w:val="none" w:sz="0" w:space="0" w:color="auto"/>
                <w:bottom w:val="none" w:sz="0" w:space="0" w:color="auto"/>
                <w:right w:val="none" w:sz="0" w:space="0" w:color="auto"/>
              </w:divBdr>
              <w:divsChild>
                <w:div w:id="119345790">
                  <w:marLeft w:val="0"/>
                  <w:marRight w:val="0"/>
                  <w:marTop w:val="0"/>
                  <w:marBottom w:val="0"/>
                  <w:divBdr>
                    <w:top w:val="none" w:sz="0" w:space="0" w:color="auto"/>
                    <w:left w:val="none" w:sz="0" w:space="0" w:color="auto"/>
                    <w:bottom w:val="none" w:sz="0" w:space="0" w:color="auto"/>
                    <w:right w:val="none" w:sz="0" w:space="0" w:color="auto"/>
                  </w:divBdr>
                </w:div>
              </w:divsChild>
            </w:div>
            <w:div w:id="1867939582">
              <w:marLeft w:val="0"/>
              <w:marRight w:val="0"/>
              <w:marTop w:val="0"/>
              <w:marBottom w:val="0"/>
              <w:divBdr>
                <w:top w:val="none" w:sz="0" w:space="0" w:color="auto"/>
                <w:left w:val="none" w:sz="0" w:space="0" w:color="auto"/>
                <w:bottom w:val="none" w:sz="0" w:space="0" w:color="auto"/>
                <w:right w:val="none" w:sz="0" w:space="0" w:color="auto"/>
              </w:divBdr>
              <w:divsChild>
                <w:div w:id="334503377">
                  <w:marLeft w:val="0"/>
                  <w:marRight w:val="0"/>
                  <w:marTop w:val="0"/>
                  <w:marBottom w:val="0"/>
                  <w:divBdr>
                    <w:top w:val="none" w:sz="0" w:space="0" w:color="auto"/>
                    <w:left w:val="none" w:sz="0" w:space="0" w:color="auto"/>
                    <w:bottom w:val="none" w:sz="0" w:space="0" w:color="auto"/>
                    <w:right w:val="none" w:sz="0" w:space="0" w:color="auto"/>
                  </w:divBdr>
                </w:div>
              </w:divsChild>
            </w:div>
            <w:div w:id="1868175865">
              <w:marLeft w:val="0"/>
              <w:marRight w:val="0"/>
              <w:marTop w:val="300"/>
              <w:marBottom w:val="300"/>
              <w:divBdr>
                <w:top w:val="none" w:sz="0" w:space="0" w:color="auto"/>
                <w:left w:val="none" w:sz="0" w:space="0" w:color="auto"/>
                <w:bottom w:val="none" w:sz="0" w:space="0" w:color="auto"/>
                <w:right w:val="none" w:sz="0" w:space="0" w:color="auto"/>
              </w:divBdr>
            </w:div>
            <w:div w:id="1868332732">
              <w:marLeft w:val="0"/>
              <w:marRight w:val="0"/>
              <w:marTop w:val="0"/>
              <w:marBottom w:val="0"/>
              <w:divBdr>
                <w:top w:val="none" w:sz="0" w:space="0" w:color="auto"/>
                <w:left w:val="none" w:sz="0" w:space="0" w:color="auto"/>
                <w:bottom w:val="none" w:sz="0" w:space="0" w:color="auto"/>
                <w:right w:val="none" w:sz="0" w:space="0" w:color="auto"/>
              </w:divBdr>
              <w:divsChild>
                <w:div w:id="1953004525">
                  <w:marLeft w:val="0"/>
                  <w:marRight w:val="0"/>
                  <w:marTop w:val="0"/>
                  <w:marBottom w:val="0"/>
                  <w:divBdr>
                    <w:top w:val="none" w:sz="0" w:space="0" w:color="auto"/>
                    <w:left w:val="none" w:sz="0" w:space="0" w:color="auto"/>
                    <w:bottom w:val="none" w:sz="0" w:space="0" w:color="auto"/>
                    <w:right w:val="none" w:sz="0" w:space="0" w:color="auto"/>
                  </w:divBdr>
                </w:div>
              </w:divsChild>
            </w:div>
            <w:div w:id="1868718940">
              <w:marLeft w:val="0"/>
              <w:marRight w:val="0"/>
              <w:marTop w:val="0"/>
              <w:marBottom w:val="0"/>
              <w:divBdr>
                <w:top w:val="none" w:sz="0" w:space="0" w:color="auto"/>
                <w:left w:val="none" w:sz="0" w:space="0" w:color="auto"/>
                <w:bottom w:val="none" w:sz="0" w:space="0" w:color="auto"/>
                <w:right w:val="none" w:sz="0" w:space="0" w:color="auto"/>
              </w:divBdr>
              <w:divsChild>
                <w:div w:id="2061705254">
                  <w:marLeft w:val="0"/>
                  <w:marRight w:val="0"/>
                  <w:marTop w:val="0"/>
                  <w:marBottom w:val="0"/>
                  <w:divBdr>
                    <w:top w:val="none" w:sz="0" w:space="0" w:color="auto"/>
                    <w:left w:val="none" w:sz="0" w:space="0" w:color="auto"/>
                    <w:bottom w:val="none" w:sz="0" w:space="0" w:color="auto"/>
                    <w:right w:val="none" w:sz="0" w:space="0" w:color="auto"/>
                  </w:divBdr>
                </w:div>
              </w:divsChild>
            </w:div>
            <w:div w:id="1869025870">
              <w:marLeft w:val="0"/>
              <w:marRight w:val="0"/>
              <w:marTop w:val="0"/>
              <w:marBottom w:val="0"/>
              <w:divBdr>
                <w:top w:val="none" w:sz="0" w:space="0" w:color="auto"/>
                <w:left w:val="none" w:sz="0" w:space="0" w:color="auto"/>
                <w:bottom w:val="none" w:sz="0" w:space="0" w:color="auto"/>
                <w:right w:val="none" w:sz="0" w:space="0" w:color="auto"/>
              </w:divBdr>
              <w:divsChild>
                <w:div w:id="909576956">
                  <w:marLeft w:val="0"/>
                  <w:marRight w:val="0"/>
                  <w:marTop w:val="0"/>
                  <w:marBottom w:val="0"/>
                  <w:divBdr>
                    <w:top w:val="none" w:sz="0" w:space="0" w:color="auto"/>
                    <w:left w:val="none" w:sz="0" w:space="0" w:color="auto"/>
                    <w:bottom w:val="none" w:sz="0" w:space="0" w:color="auto"/>
                    <w:right w:val="none" w:sz="0" w:space="0" w:color="auto"/>
                  </w:divBdr>
                </w:div>
              </w:divsChild>
            </w:div>
            <w:div w:id="1869295682">
              <w:marLeft w:val="0"/>
              <w:marRight w:val="0"/>
              <w:marTop w:val="0"/>
              <w:marBottom w:val="0"/>
              <w:divBdr>
                <w:top w:val="none" w:sz="0" w:space="0" w:color="auto"/>
                <w:left w:val="none" w:sz="0" w:space="0" w:color="auto"/>
                <w:bottom w:val="none" w:sz="0" w:space="0" w:color="auto"/>
                <w:right w:val="none" w:sz="0" w:space="0" w:color="auto"/>
              </w:divBdr>
              <w:divsChild>
                <w:div w:id="1357536148">
                  <w:marLeft w:val="0"/>
                  <w:marRight w:val="0"/>
                  <w:marTop w:val="0"/>
                  <w:marBottom w:val="0"/>
                  <w:divBdr>
                    <w:top w:val="none" w:sz="0" w:space="0" w:color="auto"/>
                    <w:left w:val="none" w:sz="0" w:space="0" w:color="auto"/>
                    <w:bottom w:val="none" w:sz="0" w:space="0" w:color="auto"/>
                    <w:right w:val="none" w:sz="0" w:space="0" w:color="auto"/>
                  </w:divBdr>
                </w:div>
              </w:divsChild>
            </w:div>
            <w:div w:id="1870100612">
              <w:marLeft w:val="0"/>
              <w:marRight w:val="0"/>
              <w:marTop w:val="0"/>
              <w:marBottom w:val="0"/>
              <w:divBdr>
                <w:top w:val="none" w:sz="0" w:space="0" w:color="auto"/>
                <w:left w:val="none" w:sz="0" w:space="0" w:color="auto"/>
                <w:bottom w:val="none" w:sz="0" w:space="0" w:color="auto"/>
                <w:right w:val="none" w:sz="0" w:space="0" w:color="auto"/>
              </w:divBdr>
              <w:divsChild>
                <w:div w:id="26414664">
                  <w:marLeft w:val="0"/>
                  <w:marRight w:val="0"/>
                  <w:marTop w:val="0"/>
                  <w:marBottom w:val="0"/>
                  <w:divBdr>
                    <w:top w:val="none" w:sz="0" w:space="0" w:color="auto"/>
                    <w:left w:val="none" w:sz="0" w:space="0" w:color="auto"/>
                    <w:bottom w:val="none" w:sz="0" w:space="0" w:color="auto"/>
                    <w:right w:val="none" w:sz="0" w:space="0" w:color="auto"/>
                  </w:divBdr>
                </w:div>
              </w:divsChild>
            </w:div>
            <w:div w:id="1871062417">
              <w:marLeft w:val="0"/>
              <w:marRight w:val="0"/>
              <w:marTop w:val="0"/>
              <w:marBottom w:val="0"/>
              <w:divBdr>
                <w:top w:val="none" w:sz="0" w:space="0" w:color="auto"/>
                <w:left w:val="none" w:sz="0" w:space="0" w:color="auto"/>
                <w:bottom w:val="none" w:sz="0" w:space="0" w:color="auto"/>
                <w:right w:val="none" w:sz="0" w:space="0" w:color="auto"/>
              </w:divBdr>
              <w:divsChild>
                <w:div w:id="227543417">
                  <w:marLeft w:val="0"/>
                  <w:marRight w:val="0"/>
                  <w:marTop w:val="0"/>
                  <w:marBottom w:val="0"/>
                  <w:divBdr>
                    <w:top w:val="none" w:sz="0" w:space="0" w:color="auto"/>
                    <w:left w:val="none" w:sz="0" w:space="0" w:color="auto"/>
                    <w:bottom w:val="none" w:sz="0" w:space="0" w:color="auto"/>
                    <w:right w:val="none" w:sz="0" w:space="0" w:color="auto"/>
                  </w:divBdr>
                </w:div>
              </w:divsChild>
            </w:div>
            <w:div w:id="1872374986">
              <w:marLeft w:val="0"/>
              <w:marRight w:val="0"/>
              <w:marTop w:val="0"/>
              <w:marBottom w:val="0"/>
              <w:divBdr>
                <w:top w:val="none" w:sz="0" w:space="0" w:color="auto"/>
                <w:left w:val="none" w:sz="0" w:space="0" w:color="auto"/>
                <w:bottom w:val="none" w:sz="0" w:space="0" w:color="auto"/>
                <w:right w:val="none" w:sz="0" w:space="0" w:color="auto"/>
              </w:divBdr>
              <w:divsChild>
                <w:div w:id="1122377896">
                  <w:marLeft w:val="0"/>
                  <w:marRight w:val="0"/>
                  <w:marTop w:val="0"/>
                  <w:marBottom w:val="0"/>
                  <w:divBdr>
                    <w:top w:val="none" w:sz="0" w:space="0" w:color="auto"/>
                    <w:left w:val="none" w:sz="0" w:space="0" w:color="auto"/>
                    <w:bottom w:val="none" w:sz="0" w:space="0" w:color="auto"/>
                    <w:right w:val="none" w:sz="0" w:space="0" w:color="auto"/>
                  </w:divBdr>
                </w:div>
              </w:divsChild>
            </w:div>
            <w:div w:id="1873222960">
              <w:marLeft w:val="0"/>
              <w:marRight w:val="0"/>
              <w:marTop w:val="0"/>
              <w:marBottom w:val="0"/>
              <w:divBdr>
                <w:top w:val="none" w:sz="0" w:space="0" w:color="auto"/>
                <w:left w:val="none" w:sz="0" w:space="0" w:color="auto"/>
                <w:bottom w:val="none" w:sz="0" w:space="0" w:color="auto"/>
                <w:right w:val="none" w:sz="0" w:space="0" w:color="auto"/>
              </w:divBdr>
              <w:divsChild>
                <w:div w:id="2003387119">
                  <w:marLeft w:val="0"/>
                  <w:marRight w:val="0"/>
                  <w:marTop w:val="0"/>
                  <w:marBottom w:val="0"/>
                  <w:divBdr>
                    <w:top w:val="none" w:sz="0" w:space="0" w:color="auto"/>
                    <w:left w:val="none" w:sz="0" w:space="0" w:color="auto"/>
                    <w:bottom w:val="none" w:sz="0" w:space="0" w:color="auto"/>
                    <w:right w:val="none" w:sz="0" w:space="0" w:color="auto"/>
                  </w:divBdr>
                </w:div>
              </w:divsChild>
            </w:div>
            <w:div w:id="1874613617">
              <w:marLeft w:val="0"/>
              <w:marRight w:val="0"/>
              <w:marTop w:val="0"/>
              <w:marBottom w:val="0"/>
              <w:divBdr>
                <w:top w:val="none" w:sz="0" w:space="0" w:color="auto"/>
                <w:left w:val="none" w:sz="0" w:space="0" w:color="auto"/>
                <w:bottom w:val="none" w:sz="0" w:space="0" w:color="auto"/>
                <w:right w:val="none" w:sz="0" w:space="0" w:color="auto"/>
              </w:divBdr>
              <w:divsChild>
                <w:div w:id="416444116">
                  <w:marLeft w:val="0"/>
                  <w:marRight w:val="0"/>
                  <w:marTop w:val="0"/>
                  <w:marBottom w:val="0"/>
                  <w:divBdr>
                    <w:top w:val="none" w:sz="0" w:space="0" w:color="auto"/>
                    <w:left w:val="none" w:sz="0" w:space="0" w:color="auto"/>
                    <w:bottom w:val="none" w:sz="0" w:space="0" w:color="auto"/>
                    <w:right w:val="none" w:sz="0" w:space="0" w:color="auto"/>
                  </w:divBdr>
                </w:div>
              </w:divsChild>
            </w:div>
            <w:div w:id="1876186609">
              <w:marLeft w:val="0"/>
              <w:marRight w:val="0"/>
              <w:marTop w:val="300"/>
              <w:marBottom w:val="300"/>
              <w:divBdr>
                <w:top w:val="none" w:sz="0" w:space="0" w:color="auto"/>
                <w:left w:val="none" w:sz="0" w:space="0" w:color="auto"/>
                <w:bottom w:val="none" w:sz="0" w:space="0" w:color="auto"/>
                <w:right w:val="none" w:sz="0" w:space="0" w:color="auto"/>
              </w:divBdr>
            </w:div>
            <w:div w:id="1876188850">
              <w:marLeft w:val="0"/>
              <w:marRight w:val="0"/>
              <w:marTop w:val="0"/>
              <w:marBottom w:val="0"/>
              <w:divBdr>
                <w:top w:val="none" w:sz="0" w:space="0" w:color="auto"/>
                <w:left w:val="none" w:sz="0" w:space="0" w:color="auto"/>
                <w:bottom w:val="none" w:sz="0" w:space="0" w:color="auto"/>
                <w:right w:val="none" w:sz="0" w:space="0" w:color="auto"/>
              </w:divBdr>
              <w:divsChild>
                <w:div w:id="281150617">
                  <w:marLeft w:val="0"/>
                  <w:marRight w:val="0"/>
                  <w:marTop w:val="0"/>
                  <w:marBottom w:val="0"/>
                  <w:divBdr>
                    <w:top w:val="none" w:sz="0" w:space="0" w:color="auto"/>
                    <w:left w:val="none" w:sz="0" w:space="0" w:color="auto"/>
                    <w:bottom w:val="none" w:sz="0" w:space="0" w:color="auto"/>
                    <w:right w:val="none" w:sz="0" w:space="0" w:color="auto"/>
                  </w:divBdr>
                </w:div>
              </w:divsChild>
            </w:div>
            <w:div w:id="1876499523">
              <w:marLeft w:val="0"/>
              <w:marRight w:val="0"/>
              <w:marTop w:val="0"/>
              <w:marBottom w:val="0"/>
              <w:divBdr>
                <w:top w:val="none" w:sz="0" w:space="0" w:color="auto"/>
                <w:left w:val="none" w:sz="0" w:space="0" w:color="auto"/>
                <w:bottom w:val="none" w:sz="0" w:space="0" w:color="auto"/>
                <w:right w:val="none" w:sz="0" w:space="0" w:color="auto"/>
              </w:divBdr>
              <w:divsChild>
                <w:div w:id="1074086706">
                  <w:marLeft w:val="0"/>
                  <w:marRight w:val="0"/>
                  <w:marTop w:val="0"/>
                  <w:marBottom w:val="0"/>
                  <w:divBdr>
                    <w:top w:val="none" w:sz="0" w:space="0" w:color="auto"/>
                    <w:left w:val="none" w:sz="0" w:space="0" w:color="auto"/>
                    <w:bottom w:val="none" w:sz="0" w:space="0" w:color="auto"/>
                    <w:right w:val="none" w:sz="0" w:space="0" w:color="auto"/>
                  </w:divBdr>
                </w:div>
              </w:divsChild>
            </w:div>
            <w:div w:id="1877347663">
              <w:marLeft w:val="0"/>
              <w:marRight w:val="0"/>
              <w:marTop w:val="0"/>
              <w:marBottom w:val="0"/>
              <w:divBdr>
                <w:top w:val="none" w:sz="0" w:space="0" w:color="auto"/>
                <w:left w:val="none" w:sz="0" w:space="0" w:color="auto"/>
                <w:bottom w:val="none" w:sz="0" w:space="0" w:color="auto"/>
                <w:right w:val="none" w:sz="0" w:space="0" w:color="auto"/>
              </w:divBdr>
              <w:divsChild>
                <w:div w:id="27536437">
                  <w:marLeft w:val="0"/>
                  <w:marRight w:val="0"/>
                  <w:marTop w:val="0"/>
                  <w:marBottom w:val="0"/>
                  <w:divBdr>
                    <w:top w:val="none" w:sz="0" w:space="0" w:color="auto"/>
                    <w:left w:val="none" w:sz="0" w:space="0" w:color="auto"/>
                    <w:bottom w:val="none" w:sz="0" w:space="0" w:color="auto"/>
                    <w:right w:val="none" w:sz="0" w:space="0" w:color="auto"/>
                  </w:divBdr>
                </w:div>
              </w:divsChild>
            </w:div>
            <w:div w:id="1877692619">
              <w:marLeft w:val="0"/>
              <w:marRight w:val="0"/>
              <w:marTop w:val="0"/>
              <w:marBottom w:val="0"/>
              <w:divBdr>
                <w:top w:val="none" w:sz="0" w:space="0" w:color="auto"/>
                <w:left w:val="none" w:sz="0" w:space="0" w:color="auto"/>
                <w:bottom w:val="none" w:sz="0" w:space="0" w:color="auto"/>
                <w:right w:val="none" w:sz="0" w:space="0" w:color="auto"/>
              </w:divBdr>
              <w:divsChild>
                <w:div w:id="1818106217">
                  <w:marLeft w:val="0"/>
                  <w:marRight w:val="0"/>
                  <w:marTop w:val="0"/>
                  <w:marBottom w:val="0"/>
                  <w:divBdr>
                    <w:top w:val="none" w:sz="0" w:space="0" w:color="auto"/>
                    <w:left w:val="none" w:sz="0" w:space="0" w:color="auto"/>
                    <w:bottom w:val="none" w:sz="0" w:space="0" w:color="auto"/>
                    <w:right w:val="none" w:sz="0" w:space="0" w:color="auto"/>
                  </w:divBdr>
                </w:div>
              </w:divsChild>
            </w:div>
            <w:div w:id="1880119174">
              <w:marLeft w:val="0"/>
              <w:marRight w:val="0"/>
              <w:marTop w:val="0"/>
              <w:marBottom w:val="0"/>
              <w:divBdr>
                <w:top w:val="none" w:sz="0" w:space="0" w:color="auto"/>
                <w:left w:val="none" w:sz="0" w:space="0" w:color="auto"/>
                <w:bottom w:val="none" w:sz="0" w:space="0" w:color="auto"/>
                <w:right w:val="none" w:sz="0" w:space="0" w:color="auto"/>
              </w:divBdr>
              <w:divsChild>
                <w:div w:id="793594428">
                  <w:marLeft w:val="0"/>
                  <w:marRight w:val="0"/>
                  <w:marTop w:val="0"/>
                  <w:marBottom w:val="0"/>
                  <w:divBdr>
                    <w:top w:val="none" w:sz="0" w:space="0" w:color="auto"/>
                    <w:left w:val="none" w:sz="0" w:space="0" w:color="auto"/>
                    <w:bottom w:val="none" w:sz="0" w:space="0" w:color="auto"/>
                    <w:right w:val="none" w:sz="0" w:space="0" w:color="auto"/>
                  </w:divBdr>
                </w:div>
              </w:divsChild>
            </w:div>
            <w:div w:id="1880318725">
              <w:marLeft w:val="0"/>
              <w:marRight w:val="0"/>
              <w:marTop w:val="0"/>
              <w:marBottom w:val="0"/>
              <w:divBdr>
                <w:top w:val="none" w:sz="0" w:space="0" w:color="auto"/>
                <w:left w:val="none" w:sz="0" w:space="0" w:color="auto"/>
                <w:bottom w:val="none" w:sz="0" w:space="0" w:color="auto"/>
                <w:right w:val="none" w:sz="0" w:space="0" w:color="auto"/>
              </w:divBdr>
              <w:divsChild>
                <w:div w:id="149251959">
                  <w:marLeft w:val="0"/>
                  <w:marRight w:val="0"/>
                  <w:marTop w:val="0"/>
                  <w:marBottom w:val="0"/>
                  <w:divBdr>
                    <w:top w:val="none" w:sz="0" w:space="0" w:color="auto"/>
                    <w:left w:val="none" w:sz="0" w:space="0" w:color="auto"/>
                    <w:bottom w:val="none" w:sz="0" w:space="0" w:color="auto"/>
                    <w:right w:val="none" w:sz="0" w:space="0" w:color="auto"/>
                  </w:divBdr>
                </w:div>
              </w:divsChild>
            </w:div>
            <w:div w:id="1880432681">
              <w:marLeft w:val="0"/>
              <w:marRight w:val="0"/>
              <w:marTop w:val="0"/>
              <w:marBottom w:val="0"/>
              <w:divBdr>
                <w:top w:val="none" w:sz="0" w:space="0" w:color="auto"/>
                <w:left w:val="none" w:sz="0" w:space="0" w:color="auto"/>
                <w:bottom w:val="none" w:sz="0" w:space="0" w:color="auto"/>
                <w:right w:val="none" w:sz="0" w:space="0" w:color="auto"/>
              </w:divBdr>
              <w:divsChild>
                <w:div w:id="930626797">
                  <w:marLeft w:val="0"/>
                  <w:marRight w:val="0"/>
                  <w:marTop w:val="0"/>
                  <w:marBottom w:val="0"/>
                  <w:divBdr>
                    <w:top w:val="none" w:sz="0" w:space="0" w:color="auto"/>
                    <w:left w:val="none" w:sz="0" w:space="0" w:color="auto"/>
                    <w:bottom w:val="none" w:sz="0" w:space="0" w:color="auto"/>
                    <w:right w:val="none" w:sz="0" w:space="0" w:color="auto"/>
                  </w:divBdr>
                </w:div>
              </w:divsChild>
            </w:div>
            <w:div w:id="1882326116">
              <w:marLeft w:val="0"/>
              <w:marRight w:val="0"/>
              <w:marTop w:val="0"/>
              <w:marBottom w:val="0"/>
              <w:divBdr>
                <w:top w:val="none" w:sz="0" w:space="0" w:color="auto"/>
                <w:left w:val="none" w:sz="0" w:space="0" w:color="auto"/>
                <w:bottom w:val="none" w:sz="0" w:space="0" w:color="auto"/>
                <w:right w:val="none" w:sz="0" w:space="0" w:color="auto"/>
              </w:divBdr>
              <w:divsChild>
                <w:div w:id="1098066189">
                  <w:marLeft w:val="0"/>
                  <w:marRight w:val="0"/>
                  <w:marTop w:val="0"/>
                  <w:marBottom w:val="0"/>
                  <w:divBdr>
                    <w:top w:val="none" w:sz="0" w:space="0" w:color="auto"/>
                    <w:left w:val="none" w:sz="0" w:space="0" w:color="auto"/>
                    <w:bottom w:val="none" w:sz="0" w:space="0" w:color="auto"/>
                    <w:right w:val="none" w:sz="0" w:space="0" w:color="auto"/>
                  </w:divBdr>
                </w:div>
              </w:divsChild>
            </w:div>
            <w:div w:id="1882937621">
              <w:marLeft w:val="0"/>
              <w:marRight w:val="0"/>
              <w:marTop w:val="300"/>
              <w:marBottom w:val="300"/>
              <w:divBdr>
                <w:top w:val="none" w:sz="0" w:space="0" w:color="auto"/>
                <w:left w:val="none" w:sz="0" w:space="0" w:color="auto"/>
                <w:bottom w:val="none" w:sz="0" w:space="0" w:color="auto"/>
                <w:right w:val="none" w:sz="0" w:space="0" w:color="auto"/>
              </w:divBdr>
            </w:div>
            <w:div w:id="1884096660">
              <w:marLeft w:val="0"/>
              <w:marRight w:val="0"/>
              <w:marTop w:val="0"/>
              <w:marBottom w:val="0"/>
              <w:divBdr>
                <w:top w:val="none" w:sz="0" w:space="0" w:color="auto"/>
                <w:left w:val="none" w:sz="0" w:space="0" w:color="auto"/>
                <w:bottom w:val="none" w:sz="0" w:space="0" w:color="auto"/>
                <w:right w:val="none" w:sz="0" w:space="0" w:color="auto"/>
              </w:divBdr>
              <w:divsChild>
                <w:div w:id="142157753">
                  <w:marLeft w:val="0"/>
                  <w:marRight w:val="0"/>
                  <w:marTop w:val="0"/>
                  <w:marBottom w:val="0"/>
                  <w:divBdr>
                    <w:top w:val="none" w:sz="0" w:space="0" w:color="auto"/>
                    <w:left w:val="none" w:sz="0" w:space="0" w:color="auto"/>
                    <w:bottom w:val="none" w:sz="0" w:space="0" w:color="auto"/>
                    <w:right w:val="none" w:sz="0" w:space="0" w:color="auto"/>
                  </w:divBdr>
                </w:div>
              </w:divsChild>
            </w:div>
            <w:div w:id="1884291820">
              <w:marLeft w:val="0"/>
              <w:marRight w:val="0"/>
              <w:marTop w:val="0"/>
              <w:marBottom w:val="0"/>
              <w:divBdr>
                <w:top w:val="none" w:sz="0" w:space="0" w:color="auto"/>
                <w:left w:val="none" w:sz="0" w:space="0" w:color="auto"/>
                <w:bottom w:val="none" w:sz="0" w:space="0" w:color="auto"/>
                <w:right w:val="none" w:sz="0" w:space="0" w:color="auto"/>
              </w:divBdr>
              <w:divsChild>
                <w:div w:id="719086211">
                  <w:marLeft w:val="0"/>
                  <w:marRight w:val="0"/>
                  <w:marTop w:val="0"/>
                  <w:marBottom w:val="0"/>
                  <w:divBdr>
                    <w:top w:val="none" w:sz="0" w:space="0" w:color="auto"/>
                    <w:left w:val="none" w:sz="0" w:space="0" w:color="auto"/>
                    <w:bottom w:val="none" w:sz="0" w:space="0" w:color="auto"/>
                    <w:right w:val="none" w:sz="0" w:space="0" w:color="auto"/>
                  </w:divBdr>
                </w:div>
              </w:divsChild>
            </w:div>
            <w:div w:id="1885486932">
              <w:marLeft w:val="0"/>
              <w:marRight w:val="0"/>
              <w:marTop w:val="0"/>
              <w:marBottom w:val="0"/>
              <w:divBdr>
                <w:top w:val="none" w:sz="0" w:space="0" w:color="auto"/>
                <w:left w:val="none" w:sz="0" w:space="0" w:color="auto"/>
                <w:bottom w:val="none" w:sz="0" w:space="0" w:color="auto"/>
                <w:right w:val="none" w:sz="0" w:space="0" w:color="auto"/>
              </w:divBdr>
              <w:divsChild>
                <w:div w:id="122697414">
                  <w:marLeft w:val="0"/>
                  <w:marRight w:val="0"/>
                  <w:marTop w:val="0"/>
                  <w:marBottom w:val="0"/>
                  <w:divBdr>
                    <w:top w:val="none" w:sz="0" w:space="0" w:color="auto"/>
                    <w:left w:val="none" w:sz="0" w:space="0" w:color="auto"/>
                    <w:bottom w:val="none" w:sz="0" w:space="0" w:color="auto"/>
                    <w:right w:val="none" w:sz="0" w:space="0" w:color="auto"/>
                  </w:divBdr>
                </w:div>
              </w:divsChild>
            </w:div>
            <w:div w:id="1887448897">
              <w:marLeft w:val="0"/>
              <w:marRight w:val="0"/>
              <w:marTop w:val="0"/>
              <w:marBottom w:val="0"/>
              <w:divBdr>
                <w:top w:val="none" w:sz="0" w:space="0" w:color="auto"/>
                <w:left w:val="none" w:sz="0" w:space="0" w:color="auto"/>
                <w:bottom w:val="none" w:sz="0" w:space="0" w:color="auto"/>
                <w:right w:val="none" w:sz="0" w:space="0" w:color="auto"/>
              </w:divBdr>
              <w:divsChild>
                <w:div w:id="1077634542">
                  <w:marLeft w:val="0"/>
                  <w:marRight w:val="0"/>
                  <w:marTop w:val="0"/>
                  <w:marBottom w:val="0"/>
                  <w:divBdr>
                    <w:top w:val="none" w:sz="0" w:space="0" w:color="auto"/>
                    <w:left w:val="none" w:sz="0" w:space="0" w:color="auto"/>
                    <w:bottom w:val="none" w:sz="0" w:space="0" w:color="auto"/>
                    <w:right w:val="none" w:sz="0" w:space="0" w:color="auto"/>
                  </w:divBdr>
                </w:div>
              </w:divsChild>
            </w:div>
            <w:div w:id="1891768982">
              <w:marLeft w:val="0"/>
              <w:marRight w:val="0"/>
              <w:marTop w:val="0"/>
              <w:marBottom w:val="0"/>
              <w:divBdr>
                <w:top w:val="none" w:sz="0" w:space="0" w:color="auto"/>
                <w:left w:val="none" w:sz="0" w:space="0" w:color="auto"/>
                <w:bottom w:val="none" w:sz="0" w:space="0" w:color="auto"/>
                <w:right w:val="none" w:sz="0" w:space="0" w:color="auto"/>
              </w:divBdr>
              <w:divsChild>
                <w:div w:id="778110219">
                  <w:marLeft w:val="0"/>
                  <w:marRight w:val="0"/>
                  <w:marTop w:val="0"/>
                  <w:marBottom w:val="0"/>
                  <w:divBdr>
                    <w:top w:val="none" w:sz="0" w:space="0" w:color="auto"/>
                    <w:left w:val="none" w:sz="0" w:space="0" w:color="auto"/>
                    <w:bottom w:val="none" w:sz="0" w:space="0" w:color="auto"/>
                    <w:right w:val="none" w:sz="0" w:space="0" w:color="auto"/>
                  </w:divBdr>
                </w:div>
              </w:divsChild>
            </w:div>
            <w:div w:id="1892229274">
              <w:marLeft w:val="0"/>
              <w:marRight w:val="0"/>
              <w:marTop w:val="0"/>
              <w:marBottom w:val="0"/>
              <w:divBdr>
                <w:top w:val="none" w:sz="0" w:space="0" w:color="auto"/>
                <w:left w:val="none" w:sz="0" w:space="0" w:color="auto"/>
                <w:bottom w:val="none" w:sz="0" w:space="0" w:color="auto"/>
                <w:right w:val="none" w:sz="0" w:space="0" w:color="auto"/>
              </w:divBdr>
              <w:divsChild>
                <w:div w:id="1261840556">
                  <w:marLeft w:val="0"/>
                  <w:marRight w:val="0"/>
                  <w:marTop w:val="0"/>
                  <w:marBottom w:val="0"/>
                  <w:divBdr>
                    <w:top w:val="none" w:sz="0" w:space="0" w:color="auto"/>
                    <w:left w:val="none" w:sz="0" w:space="0" w:color="auto"/>
                    <w:bottom w:val="none" w:sz="0" w:space="0" w:color="auto"/>
                    <w:right w:val="none" w:sz="0" w:space="0" w:color="auto"/>
                  </w:divBdr>
                </w:div>
              </w:divsChild>
            </w:div>
            <w:div w:id="1893223475">
              <w:marLeft w:val="0"/>
              <w:marRight w:val="0"/>
              <w:marTop w:val="0"/>
              <w:marBottom w:val="0"/>
              <w:divBdr>
                <w:top w:val="none" w:sz="0" w:space="0" w:color="auto"/>
                <w:left w:val="none" w:sz="0" w:space="0" w:color="auto"/>
                <w:bottom w:val="none" w:sz="0" w:space="0" w:color="auto"/>
                <w:right w:val="none" w:sz="0" w:space="0" w:color="auto"/>
              </w:divBdr>
              <w:divsChild>
                <w:div w:id="1862668192">
                  <w:marLeft w:val="0"/>
                  <w:marRight w:val="0"/>
                  <w:marTop w:val="0"/>
                  <w:marBottom w:val="0"/>
                  <w:divBdr>
                    <w:top w:val="none" w:sz="0" w:space="0" w:color="auto"/>
                    <w:left w:val="none" w:sz="0" w:space="0" w:color="auto"/>
                    <w:bottom w:val="none" w:sz="0" w:space="0" w:color="auto"/>
                    <w:right w:val="none" w:sz="0" w:space="0" w:color="auto"/>
                  </w:divBdr>
                </w:div>
              </w:divsChild>
            </w:div>
            <w:div w:id="1894729467">
              <w:marLeft w:val="0"/>
              <w:marRight w:val="0"/>
              <w:marTop w:val="0"/>
              <w:marBottom w:val="0"/>
              <w:divBdr>
                <w:top w:val="none" w:sz="0" w:space="0" w:color="auto"/>
                <w:left w:val="none" w:sz="0" w:space="0" w:color="auto"/>
                <w:bottom w:val="none" w:sz="0" w:space="0" w:color="auto"/>
                <w:right w:val="none" w:sz="0" w:space="0" w:color="auto"/>
              </w:divBdr>
              <w:divsChild>
                <w:div w:id="1699890367">
                  <w:marLeft w:val="0"/>
                  <w:marRight w:val="0"/>
                  <w:marTop w:val="0"/>
                  <w:marBottom w:val="0"/>
                  <w:divBdr>
                    <w:top w:val="none" w:sz="0" w:space="0" w:color="auto"/>
                    <w:left w:val="none" w:sz="0" w:space="0" w:color="auto"/>
                    <w:bottom w:val="none" w:sz="0" w:space="0" w:color="auto"/>
                    <w:right w:val="none" w:sz="0" w:space="0" w:color="auto"/>
                  </w:divBdr>
                </w:div>
              </w:divsChild>
            </w:div>
            <w:div w:id="1899128059">
              <w:marLeft w:val="0"/>
              <w:marRight w:val="0"/>
              <w:marTop w:val="0"/>
              <w:marBottom w:val="0"/>
              <w:divBdr>
                <w:top w:val="none" w:sz="0" w:space="0" w:color="auto"/>
                <w:left w:val="none" w:sz="0" w:space="0" w:color="auto"/>
                <w:bottom w:val="none" w:sz="0" w:space="0" w:color="auto"/>
                <w:right w:val="none" w:sz="0" w:space="0" w:color="auto"/>
              </w:divBdr>
              <w:divsChild>
                <w:div w:id="442649431">
                  <w:marLeft w:val="0"/>
                  <w:marRight w:val="0"/>
                  <w:marTop w:val="0"/>
                  <w:marBottom w:val="0"/>
                  <w:divBdr>
                    <w:top w:val="none" w:sz="0" w:space="0" w:color="auto"/>
                    <w:left w:val="none" w:sz="0" w:space="0" w:color="auto"/>
                    <w:bottom w:val="none" w:sz="0" w:space="0" w:color="auto"/>
                    <w:right w:val="none" w:sz="0" w:space="0" w:color="auto"/>
                  </w:divBdr>
                </w:div>
              </w:divsChild>
            </w:div>
            <w:div w:id="1900435442">
              <w:marLeft w:val="0"/>
              <w:marRight w:val="0"/>
              <w:marTop w:val="0"/>
              <w:marBottom w:val="0"/>
              <w:divBdr>
                <w:top w:val="none" w:sz="0" w:space="0" w:color="auto"/>
                <w:left w:val="none" w:sz="0" w:space="0" w:color="auto"/>
                <w:bottom w:val="none" w:sz="0" w:space="0" w:color="auto"/>
                <w:right w:val="none" w:sz="0" w:space="0" w:color="auto"/>
              </w:divBdr>
              <w:divsChild>
                <w:div w:id="375276765">
                  <w:marLeft w:val="0"/>
                  <w:marRight w:val="0"/>
                  <w:marTop w:val="0"/>
                  <w:marBottom w:val="0"/>
                  <w:divBdr>
                    <w:top w:val="none" w:sz="0" w:space="0" w:color="auto"/>
                    <w:left w:val="none" w:sz="0" w:space="0" w:color="auto"/>
                    <w:bottom w:val="none" w:sz="0" w:space="0" w:color="auto"/>
                    <w:right w:val="none" w:sz="0" w:space="0" w:color="auto"/>
                  </w:divBdr>
                </w:div>
              </w:divsChild>
            </w:div>
            <w:div w:id="1901018288">
              <w:marLeft w:val="0"/>
              <w:marRight w:val="0"/>
              <w:marTop w:val="0"/>
              <w:marBottom w:val="0"/>
              <w:divBdr>
                <w:top w:val="none" w:sz="0" w:space="0" w:color="auto"/>
                <w:left w:val="none" w:sz="0" w:space="0" w:color="auto"/>
                <w:bottom w:val="none" w:sz="0" w:space="0" w:color="auto"/>
                <w:right w:val="none" w:sz="0" w:space="0" w:color="auto"/>
              </w:divBdr>
              <w:divsChild>
                <w:div w:id="1180196099">
                  <w:marLeft w:val="0"/>
                  <w:marRight w:val="0"/>
                  <w:marTop w:val="0"/>
                  <w:marBottom w:val="0"/>
                  <w:divBdr>
                    <w:top w:val="none" w:sz="0" w:space="0" w:color="auto"/>
                    <w:left w:val="none" w:sz="0" w:space="0" w:color="auto"/>
                    <w:bottom w:val="none" w:sz="0" w:space="0" w:color="auto"/>
                    <w:right w:val="none" w:sz="0" w:space="0" w:color="auto"/>
                  </w:divBdr>
                </w:div>
              </w:divsChild>
            </w:div>
            <w:div w:id="1901401462">
              <w:marLeft w:val="0"/>
              <w:marRight w:val="0"/>
              <w:marTop w:val="0"/>
              <w:marBottom w:val="0"/>
              <w:divBdr>
                <w:top w:val="none" w:sz="0" w:space="0" w:color="auto"/>
                <w:left w:val="none" w:sz="0" w:space="0" w:color="auto"/>
                <w:bottom w:val="none" w:sz="0" w:space="0" w:color="auto"/>
                <w:right w:val="none" w:sz="0" w:space="0" w:color="auto"/>
              </w:divBdr>
              <w:divsChild>
                <w:div w:id="1670331429">
                  <w:marLeft w:val="0"/>
                  <w:marRight w:val="0"/>
                  <w:marTop w:val="0"/>
                  <w:marBottom w:val="0"/>
                  <w:divBdr>
                    <w:top w:val="none" w:sz="0" w:space="0" w:color="auto"/>
                    <w:left w:val="none" w:sz="0" w:space="0" w:color="auto"/>
                    <w:bottom w:val="none" w:sz="0" w:space="0" w:color="auto"/>
                    <w:right w:val="none" w:sz="0" w:space="0" w:color="auto"/>
                  </w:divBdr>
                </w:div>
              </w:divsChild>
            </w:div>
            <w:div w:id="1901867806">
              <w:marLeft w:val="0"/>
              <w:marRight w:val="0"/>
              <w:marTop w:val="0"/>
              <w:marBottom w:val="0"/>
              <w:divBdr>
                <w:top w:val="none" w:sz="0" w:space="0" w:color="auto"/>
                <w:left w:val="none" w:sz="0" w:space="0" w:color="auto"/>
                <w:bottom w:val="none" w:sz="0" w:space="0" w:color="auto"/>
                <w:right w:val="none" w:sz="0" w:space="0" w:color="auto"/>
              </w:divBdr>
              <w:divsChild>
                <w:div w:id="1747995142">
                  <w:marLeft w:val="0"/>
                  <w:marRight w:val="0"/>
                  <w:marTop w:val="0"/>
                  <w:marBottom w:val="0"/>
                  <w:divBdr>
                    <w:top w:val="none" w:sz="0" w:space="0" w:color="auto"/>
                    <w:left w:val="none" w:sz="0" w:space="0" w:color="auto"/>
                    <w:bottom w:val="none" w:sz="0" w:space="0" w:color="auto"/>
                    <w:right w:val="none" w:sz="0" w:space="0" w:color="auto"/>
                  </w:divBdr>
                </w:div>
              </w:divsChild>
            </w:div>
            <w:div w:id="1901986255">
              <w:marLeft w:val="0"/>
              <w:marRight w:val="0"/>
              <w:marTop w:val="0"/>
              <w:marBottom w:val="0"/>
              <w:divBdr>
                <w:top w:val="none" w:sz="0" w:space="0" w:color="auto"/>
                <w:left w:val="none" w:sz="0" w:space="0" w:color="auto"/>
                <w:bottom w:val="none" w:sz="0" w:space="0" w:color="auto"/>
                <w:right w:val="none" w:sz="0" w:space="0" w:color="auto"/>
              </w:divBdr>
              <w:divsChild>
                <w:div w:id="1669819899">
                  <w:marLeft w:val="0"/>
                  <w:marRight w:val="0"/>
                  <w:marTop w:val="0"/>
                  <w:marBottom w:val="0"/>
                  <w:divBdr>
                    <w:top w:val="none" w:sz="0" w:space="0" w:color="auto"/>
                    <w:left w:val="none" w:sz="0" w:space="0" w:color="auto"/>
                    <w:bottom w:val="none" w:sz="0" w:space="0" w:color="auto"/>
                    <w:right w:val="none" w:sz="0" w:space="0" w:color="auto"/>
                  </w:divBdr>
                </w:div>
              </w:divsChild>
            </w:div>
            <w:div w:id="1903328881">
              <w:marLeft w:val="0"/>
              <w:marRight w:val="0"/>
              <w:marTop w:val="0"/>
              <w:marBottom w:val="0"/>
              <w:divBdr>
                <w:top w:val="none" w:sz="0" w:space="0" w:color="auto"/>
                <w:left w:val="none" w:sz="0" w:space="0" w:color="auto"/>
                <w:bottom w:val="none" w:sz="0" w:space="0" w:color="auto"/>
                <w:right w:val="none" w:sz="0" w:space="0" w:color="auto"/>
              </w:divBdr>
              <w:divsChild>
                <w:div w:id="184441695">
                  <w:marLeft w:val="0"/>
                  <w:marRight w:val="0"/>
                  <w:marTop w:val="0"/>
                  <w:marBottom w:val="0"/>
                  <w:divBdr>
                    <w:top w:val="none" w:sz="0" w:space="0" w:color="auto"/>
                    <w:left w:val="none" w:sz="0" w:space="0" w:color="auto"/>
                    <w:bottom w:val="none" w:sz="0" w:space="0" w:color="auto"/>
                    <w:right w:val="none" w:sz="0" w:space="0" w:color="auto"/>
                  </w:divBdr>
                </w:div>
              </w:divsChild>
            </w:div>
            <w:div w:id="1904027983">
              <w:marLeft w:val="0"/>
              <w:marRight w:val="0"/>
              <w:marTop w:val="0"/>
              <w:marBottom w:val="0"/>
              <w:divBdr>
                <w:top w:val="none" w:sz="0" w:space="0" w:color="auto"/>
                <w:left w:val="none" w:sz="0" w:space="0" w:color="auto"/>
                <w:bottom w:val="none" w:sz="0" w:space="0" w:color="auto"/>
                <w:right w:val="none" w:sz="0" w:space="0" w:color="auto"/>
              </w:divBdr>
              <w:divsChild>
                <w:div w:id="508445130">
                  <w:marLeft w:val="0"/>
                  <w:marRight w:val="0"/>
                  <w:marTop w:val="0"/>
                  <w:marBottom w:val="0"/>
                  <w:divBdr>
                    <w:top w:val="none" w:sz="0" w:space="0" w:color="auto"/>
                    <w:left w:val="none" w:sz="0" w:space="0" w:color="auto"/>
                    <w:bottom w:val="none" w:sz="0" w:space="0" w:color="auto"/>
                    <w:right w:val="none" w:sz="0" w:space="0" w:color="auto"/>
                  </w:divBdr>
                </w:div>
              </w:divsChild>
            </w:div>
            <w:div w:id="1904873970">
              <w:marLeft w:val="0"/>
              <w:marRight w:val="0"/>
              <w:marTop w:val="0"/>
              <w:marBottom w:val="0"/>
              <w:divBdr>
                <w:top w:val="none" w:sz="0" w:space="0" w:color="auto"/>
                <w:left w:val="none" w:sz="0" w:space="0" w:color="auto"/>
                <w:bottom w:val="none" w:sz="0" w:space="0" w:color="auto"/>
                <w:right w:val="none" w:sz="0" w:space="0" w:color="auto"/>
              </w:divBdr>
              <w:divsChild>
                <w:div w:id="512769171">
                  <w:marLeft w:val="0"/>
                  <w:marRight w:val="0"/>
                  <w:marTop w:val="0"/>
                  <w:marBottom w:val="0"/>
                  <w:divBdr>
                    <w:top w:val="none" w:sz="0" w:space="0" w:color="auto"/>
                    <w:left w:val="none" w:sz="0" w:space="0" w:color="auto"/>
                    <w:bottom w:val="none" w:sz="0" w:space="0" w:color="auto"/>
                    <w:right w:val="none" w:sz="0" w:space="0" w:color="auto"/>
                  </w:divBdr>
                </w:div>
              </w:divsChild>
            </w:div>
            <w:div w:id="1906911717">
              <w:marLeft w:val="0"/>
              <w:marRight w:val="0"/>
              <w:marTop w:val="0"/>
              <w:marBottom w:val="0"/>
              <w:divBdr>
                <w:top w:val="none" w:sz="0" w:space="0" w:color="auto"/>
                <w:left w:val="none" w:sz="0" w:space="0" w:color="auto"/>
                <w:bottom w:val="none" w:sz="0" w:space="0" w:color="auto"/>
                <w:right w:val="none" w:sz="0" w:space="0" w:color="auto"/>
              </w:divBdr>
              <w:divsChild>
                <w:div w:id="1423139793">
                  <w:marLeft w:val="0"/>
                  <w:marRight w:val="0"/>
                  <w:marTop w:val="0"/>
                  <w:marBottom w:val="0"/>
                  <w:divBdr>
                    <w:top w:val="none" w:sz="0" w:space="0" w:color="auto"/>
                    <w:left w:val="none" w:sz="0" w:space="0" w:color="auto"/>
                    <w:bottom w:val="none" w:sz="0" w:space="0" w:color="auto"/>
                    <w:right w:val="none" w:sz="0" w:space="0" w:color="auto"/>
                  </w:divBdr>
                </w:div>
              </w:divsChild>
            </w:div>
            <w:div w:id="1907568089">
              <w:marLeft w:val="0"/>
              <w:marRight w:val="0"/>
              <w:marTop w:val="0"/>
              <w:marBottom w:val="0"/>
              <w:divBdr>
                <w:top w:val="none" w:sz="0" w:space="0" w:color="auto"/>
                <w:left w:val="none" w:sz="0" w:space="0" w:color="auto"/>
                <w:bottom w:val="none" w:sz="0" w:space="0" w:color="auto"/>
                <w:right w:val="none" w:sz="0" w:space="0" w:color="auto"/>
              </w:divBdr>
              <w:divsChild>
                <w:div w:id="1469281928">
                  <w:marLeft w:val="0"/>
                  <w:marRight w:val="0"/>
                  <w:marTop w:val="0"/>
                  <w:marBottom w:val="0"/>
                  <w:divBdr>
                    <w:top w:val="none" w:sz="0" w:space="0" w:color="auto"/>
                    <w:left w:val="none" w:sz="0" w:space="0" w:color="auto"/>
                    <w:bottom w:val="none" w:sz="0" w:space="0" w:color="auto"/>
                    <w:right w:val="none" w:sz="0" w:space="0" w:color="auto"/>
                  </w:divBdr>
                </w:div>
              </w:divsChild>
            </w:div>
            <w:div w:id="1908610285">
              <w:marLeft w:val="0"/>
              <w:marRight w:val="0"/>
              <w:marTop w:val="300"/>
              <w:marBottom w:val="300"/>
              <w:divBdr>
                <w:top w:val="none" w:sz="0" w:space="0" w:color="auto"/>
                <w:left w:val="none" w:sz="0" w:space="0" w:color="auto"/>
                <w:bottom w:val="none" w:sz="0" w:space="0" w:color="auto"/>
                <w:right w:val="none" w:sz="0" w:space="0" w:color="auto"/>
              </w:divBdr>
            </w:div>
            <w:div w:id="1908808430">
              <w:marLeft w:val="0"/>
              <w:marRight w:val="0"/>
              <w:marTop w:val="0"/>
              <w:marBottom w:val="0"/>
              <w:divBdr>
                <w:top w:val="none" w:sz="0" w:space="0" w:color="auto"/>
                <w:left w:val="none" w:sz="0" w:space="0" w:color="auto"/>
                <w:bottom w:val="none" w:sz="0" w:space="0" w:color="auto"/>
                <w:right w:val="none" w:sz="0" w:space="0" w:color="auto"/>
              </w:divBdr>
              <w:divsChild>
                <w:div w:id="2005860855">
                  <w:marLeft w:val="0"/>
                  <w:marRight w:val="0"/>
                  <w:marTop w:val="0"/>
                  <w:marBottom w:val="0"/>
                  <w:divBdr>
                    <w:top w:val="none" w:sz="0" w:space="0" w:color="auto"/>
                    <w:left w:val="none" w:sz="0" w:space="0" w:color="auto"/>
                    <w:bottom w:val="none" w:sz="0" w:space="0" w:color="auto"/>
                    <w:right w:val="none" w:sz="0" w:space="0" w:color="auto"/>
                  </w:divBdr>
                </w:div>
              </w:divsChild>
            </w:div>
            <w:div w:id="1911651615">
              <w:marLeft w:val="0"/>
              <w:marRight w:val="0"/>
              <w:marTop w:val="0"/>
              <w:marBottom w:val="0"/>
              <w:divBdr>
                <w:top w:val="none" w:sz="0" w:space="0" w:color="auto"/>
                <w:left w:val="none" w:sz="0" w:space="0" w:color="auto"/>
                <w:bottom w:val="none" w:sz="0" w:space="0" w:color="auto"/>
                <w:right w:val="none" w:sz="0" w:space="0" w:color="auto"/>
              </w:divBdr>
              <w:divsChild>
                <w:div w:id="725449202">
                  <w:marLeft w:val="0"/>
                  <w:marRight w:val="0"/>
                  <w:marTop w:val="0"/>
                  <w:marBottom w:val="0"/>
                  <w:divBdr>
                    <w:top w:val="none" w:sz="0" w:space="0" w:color="auto"/>
                    <w:left w:val="none" w:sz="0" w:space="0" w:color="auto"/>
                    <w:bottom w:val="none" w:sz="0" w:space="0" w:color="auto"/>
                    <w:right w:val="none" w:sz="0" w:space="0" w:color="auto"/>
                  </w:divBdr>
                </w:div>
              </w:divsChild>
            </w:div>
            <w:div w:id="1912422505">
              <w:marLeft w:val="0"/>
              <w:marRight w:val="0"/>
              <w:marTop w:val="0"/>
              <w:marBottom w:val="0"/>
              <w:divBdr>
                <w:top w:val="none" w:sz="0" w:space="0" w:color="auto"/>
                <w:left w:val="none" w:sz="0" w:space="0" w:color="auto"/>
                <w:bottom w:val="none" w:sz="0" w:space="0" w:color="auto"/>
                <w:right w:val="none" w:sz="0" w:space="0" w:color="auto"/>
              </w:divBdr>
              <w:divsChild>
                <w:div w:id="2018000169">
                  <w:marLeft w:val="0"/>
                  <w:marRight w:val="0"/>
                  <w:marTop w:val="0"/>
                  <w:marBottom w:val="0"/>
                  <w:divBdr>
                    <w:top w:val="none" w:sz="0" w:space="0" w:color="auto"/>
                    <w:left w:val="none" w:sz="0" w:space="0" w:color="auto"/>
                    <w:bottom w:val="none" w:sz="0" w:space="0" w:color="auto"/>
                    <w:right w:val="none" w:sz="0" w:space="0" w:color="auto"/>
                  </w:divBdr>
                </w:div>
              </w:divsChild>
            </w:div>
            <w:div w:id="1913150709">
              <w:marLeft w:val="0"/>
              <w:marRight w:val="0"/>
              <w:marTop w:val="0"/>
              <w:marBottom w:val="0"/>
              <w:divBdr>
                <w:top w:val="none" w:sz="0" w:space="0" w:color="auto"/>
                <w:left w:val="none" w:sz="0" w:space="0" w:color="auto"/>
                <w:bottom w:val="none" w:sz="0" w:space="0" w:color="auto"/>
                <w:right w:val="none" w:sz="0" w:space="0" w:color="auto"/>
              </w:divBdr>
              <w:divsChild>
                <w:div w:id="2090538549">
                  <w:marLeft w:val="0"/>
                  <w:marRight w:val="0"/>
                  <w:marTop w:val="0"/>
                  <w:marBottom w:val="0"/>
                  <w:divBdr>
                    <w:top w:val="none" w:sz="0" w:space="0" w:color="auto"/>
                    <w:left w:val="none" w:sz="0" w:space="0" w:color="auto"/>
                    <w:bottom w:val="none" w:sz="0" w:space="0" w:color="auto"/>
                    <w:right w:val="none" w:sz="0" w:space="0" w:color="auto"/>
                  </w:divBdr>
                </w:div>
              </w:divsChild>
            </w:div>
            <w:div w:id="1914504298">
              <w:marLeft w:val="0"/>
              <w:marRight w:val="0"/>
              <w:marTop w:val="0"/>
              <w:marBottom w:val="0"/>
              <w:divBdr>
                <w:top w:val="none" w:sz="0" w:space="0" w:color="auto"/>
                <w:left w:val="none" w:sz="0" w:space="0" w:color="auto"/>
                <w:bottom w:val="none" w:sz="0" w:space="0" w:color="auto"/>
                <w:right w:val="none" w:sz="0" w:space="0" w:color="auto"/>
              </w:divBdr>
              <w:divsChild>
                <w:div w:id="1897010901">
                  <w:marLeft w:val="0"/>
                  <w:marRight w:val="0"/>
                  <w:marTop w:val="0"/>
                  <w:marBottom w:val="0"/>
                  <w:divBdr>
                    <w:top w:val="none" w:sz="0" w:space="0" w:color="auto"/>
                    <w:left w:val="none" w:sz="0" w:space="0" w:color="auto"/>
                    <w:bottom w:val="none" w:sz="0" w:space="0" w:color="auto"/>
                    <w:right w:val="none" w:sz="0" w:space="0" w:color="auto"/>
                  </w:divBdr>
                </w:div>
              </w:divsChild>
            </w:div>
            <w:div w:id="1914852224">
              <w:marLeft w:val="0"/>
              <w:marRight w:val="0"/>
              <w:marTop w:val="0"/>
              <w:marBottom w:val="0"/>
              <w:divBdr>
                <w:top w:val="none" w:sz="0" w:space="0" w:color="auto"/>
                <w:left w:val="none" w:sz="0" w:space="0" w:color="auto"/>
                <w:bottom w:val="none" w:sz="0" w:space="0" w:color="auto"/>
                <w:right w:val="none" w:sz="0" w:space="0" w:color="auto"/>
              </w:divBdr>
              <w:divsChild>
                <w:div w:id="405230244">
                  <w:marLeft w:val="0"/>
                  <w:marRight w:val="0"/>
                  <w:marTop w:val="0"/>
                  <w:marBottom w:val="0"/>
                  <w:divBdr>
                    <w:top w:val="none" w:sz="0" w:space="0" w:color="auto"/>
                    <w:left w:val="none" w:sz="0" w:space="0" w:color="auto"/>
                    <w:bottom w:val="none" w:sz="0" w:space="0" w:color="auto"/>
                    <w:right w:val="none" w:sz="0" w:space="0" w:color="auto"/>
                  </w:divBdr>
                </w:div>
              </w:divsChild>
            </w:div>
            <w:div w:id="1915237711">
              <w:marLeft w:val="0"/>
              <w:marRight w:val="0"/>
              <w:marTop w:val="0"/>
              <w:marBottom w:val="0"/>
              <w:divBdr>
                <w:top w:val="none" w:sz="0" w:space="0" w:color="auto"/>
                <w:left w:val="none" w:sz="0" w:space="0" w:color="auto"/>
                <w:bottom w:val="none" w:sz="0" w:space="0" w:color="auto"/>
                <w:right w:val="none" w:sz="0" w:space="0" w:color="auto"/>
              </w:divBdr>
              <w:divsChild>
                <w:div w:id="1830170347">
                  <w:marLeft w:val="0"/>
                  <w:marRight w:val="0"/>
                  <w:marTop w:val="0"/>
                  <w:marBottom w:val="0"/>
                  <w:divBdr>
                    <w:top w:val="none" w:sz="0" w:space="0" w:color="auto"/>
                    <w:left w:val="none" w:sz="0" w:space="0" w:color="auto"/>
                    <w:bottom w:val="none" w:sz="0" w:space="0" w:color="auto"/>
                    <w:right w:val="none" w:sz="0" w:space="0" w:color="auto"/>
                  </w:divBdr>
                </w:div>
              </w:divsChild>
            </w:div>
            <w:div w:id="1916354126">
              <w:marLeft w:val="0"/>
              <w:marRight w:val="0"/>
              <w:marTop w:val="0"/>
              <w:marBottom w:val="0"/>
              <w:divBdr>
                <w:top w:val="none" w:sz="0" w:space="0" w:color="auto"/>
                <w:left w:val="none" w:sz="0" w:space="0" w:color="auto"/>
                <w:bottom w:val="none" w:sz="0" w:space="0" w:color="auto"/>
                <w:right w:val="none" w:sz="0" w:space="0" w:color="auto"/>
              </w:divBdr>
              <w:divsChild>
                <w:div w:id="276181829">
                  <w:marLeft w:val="0"/>
                  <w:marRight w:val="0"/>
                  <w:marTop w:val="0"/>
                  <w:marBottom w:val="0"/>
                  <w:divBdr>
                    <w:top w:val="none" w:sz="0" w:space="0" w:color="auto"/>
                    <w:left w:val="none" w:sz="0" w:space="0" w:color="auto"/>
                    <w:bottom w:val="none" w:sz="0" w:space="0" w:color="auto"/>
                    <w:right w:val="none" w:sz="0" w:space="0" w:color="auto"/>
                  </w:divBdr>
                </w:div>
              </w:divsChild>
            </w:div>
            <w:div w:id="1918320324">
              <w:marLeft w:val="0"/>
              <w:marRight w:val="0"/>
              <w:marTop w:val="300"/>
              <w:marBottom w:val="300"/>
              <w:divBdr>
                <w:top w:val="none" w:sz="0" w:space="0" w:color="auto"/>
                <w:left w:val="none" w:sz="0" w:space="0" w:color="auto"/>
                <w:bottom w:val="none" w:sz="0" w:space="0" w:color="auto"/>
                <w:right w:val="none" w:sz="0" w:space="0" w:color="auto"/>
              </w:divBdr>
            </w:div>
            <w:div w:id="1919825190">
              <w:marLeft w:val="0"/>
              <w:marRight w:val="0"/>
              <w:marTop w:val="0"/>
              <w:marBottom w:val="0"/>
              <w:divBdr>
                <w:top w:val="none" w:sz="0" w:space="0" w:color="auto"/>
                <w:left w:val="none" w:sz="0" w:space="0" w:color="auto"/>
                <w:bottom w:val="none" w:sz="0" w:space="0" w:color="auto"/>
                <w:right w:val="none" w:sz="0" w:space="0" w:color="auto"/>
              </w:divBdr>
              <w:divsChild>
                <w:div w:id="1515529475">
                  <w:marLeft w:val="0"/>
                  <w:marRight w:val="0"/>
                  <w:marTop w:val="0"/>
                  <w:marBottom w:val="0"/>
                  <w:divBdr>
                    <w:top w:val="none" w:sz="0" w:space="0" w:color="auto"/>
                    <w:left w:val="none" w:sz="0" w:space="0" w:color="auto"/>
                    <w:bottom w:val="none" w:sz="0" w:space="0" w:color="auto"/>
                    <w:right w:val="none" w:sz="0" w:space="0" w:color="auto"/>
                  </w:divBdr>
                </w:div>
              </w:divsChild>
            </w:div>
            <w:div w:id="1921255438">
              <w:marLeft w:val="0"/>
              <w:marRight w:val="0"/>
              <w:marTop w:val="0"/>
              <w:marBottom w:val="0"/>
              <w:divBdr>
                <w:top w:val="none" w:sz="0" w:space="0" w:color="auto"/>
                <w:left w:val="none" w:sz="0" w:space="0" w:color="auto"/>
                <w:bottom w:val="none" w:sz="0" w:space="0" w:color="auto"/>
                <w:right w:val="none" w:sz="0" w:space="0" w:color="auto"/>
              </w:divBdr>
              <w:divsChild>
                <w:div w:id="497498996">
                  <w:marLeft w:val="0"/>
                  <w:marRight w:val="0"/>
                  <w:marTop w:val="0"/>
                  <w:marBottom w:val="0"/>
                  <w:divBdr>
                    <w:top w:val="none" w:sz="0" w:space="0" w:color="auto"/>
                    <w:left w:val="none" w:sz="0" w:space="0" w:color="auto"/>
                    <w:bottom w:val="none" w:sz="0" w:space="0" w:color="auto"/>
                    <w:right w:val="none" w:sz="0" w:space="0" w:color="auto"/>
                  </w:divBdr>
                </w:div>
              </w:divsChild>
            </w:div>
            <w:div w:id="1922981354">
              <w:marLeft w:val="0"/>
              <w:marRight w:val="0"/>
              <w:marTop w:val="0"/>
              <w:marBottom w:val="0"/>
              <w:divBdr>
                <w:top w:val="none" w:sz="0" w:space="0" w:color="auto"/>
                <w:left w:val="none" w:sz="0" w:space="0" w:color="auto"/>
                <w:bottom w:val="none" w:sz="0" w:space="0" w:color="auto"/>
                <w:right w:val="none" w:sz="0" w:space="0" w:color="auto"/>
              </w:divBdr>
              <w:divsChild>
                <w:div w:id="33623457">
                  <w:marLeft w:val="0"/>
                  <w:marRight w:val="0"/>
                  <w:marTop w:val="0"/>
                  <w:marBottom w:val="0"/>
                  <w:divBdr>
                    <w:top w:val="none" w:sz="0" w:space="0" w:color="auto"/>
                    <w:left w:val="none" w:sz="0" w:space="0" w:color="auto"/>
                    <w:bottom w:val="none" w:sz="0" w:space="0" w:color="auto"/>
                    <w:right w:val="none" w:sz="0" w:space="0" w:color="auto"/>
                  </w:divBdr>
                </w:div>
              </w:divsChild>
            </w:div>
            <w:div w:id="1923685119">
              <w:marLeft w:val="0"/>
              <w:marRight w:val="0"/>
              <w:marTop w:val="300"/>
              <w:marBottom w:val="300"/>
              <w:divBdr>
                <w:top w:val="none" w:sz="0" w:space="0" w:color="auto"/>
                <w:left w:val="none" w:sz="0" w:space="0" w:color="auto"/>
                <w:bottom w:val="none" w:sz="0" w:space="0" w:color="auto"/>
                <w:right w:val="none" w:sz="0" w:space="0" w:color="auto"/>
              </w:divBdr>
            </w:div>
            <w:div w:id="1926500867">
              <w:marLeft w:val="0"/>
              <w:marRight w:val="0"/>
              <w:marTop w:val="300"/>
              <w:marBottom w:val="300"/>
              <w:divBdr>
                <w:top w:val="none" w:sz="0" w:space="0" w:color="auto"/>
                <w:left w:val="none" w:sz="0" w:space="0" w:color="auto"/>
                <w:bottom w:val="none" w:sz="0" w:space="0" w:color="auto"/>
                <w:right w:val="none" w:sz="0" w:space="0" w:color="auto"/>
              </w:divBdr>
            </w:div>
            <w:div w:id="1928079973">
              <w:marLeft w:val="0"/>
              <w:marRight w:val="0"/>
              <w:marTop w:val="300"/>
              <w:marBottom w:val="300"/>
              <w:divBdr>
                <w:top w:val="none" w:sz="0" w:space="0" w:color="auto"/>
                <w:left w:val="none" w:sz="0" w:space="0" w:color="auto"/>
                <w:bottom w:val="none" w:sz="0" w:space="0" w:color="auto"/>
                <w:right w:val="none" w:sz="0" w:space="0" w:color="auto"/>
              </w:divBdr>
            </w:div>
            <w:div w:id="1932591629">
              <w:marLeft w:val="0"/>
              <w:marRight w:val="0"/>
              <w:marTop w:val="0"/>
              <w:marBottom w:val="0"/>
              <w:divBdr>
                <w:top w:val="none" w:sz="0" w:space="0" w:color="auto"/>
                <w:left w:val="none" w:sz="0" w:space="0" w:color="auto"/>
                <w:bottom w:val="none" w:sz="0" w:space="0" w:color="auto"/>
                <w:right w:val="none" w:sz="0" w:space="0" w:color="auto"/>
              </w:divBdr>
              <w:divsChild>
                <w:div w:id="214895500">
                  <w:marLeft w:val="0"/>
                  <w:marRight w:val="0"/>
                  <w:marTop w:val="0"/>
                  <w:marBottom w:val="0"/>
                  <w:divBdr>
                    <w:top w:val="none" w:sz="0" w:space="0" w:color="auto"/>
                    <w:left w:val="none" w:sz="0" w:space="0" w:color="auto"/>
                    <w:bottom w:val="none" w:sz="0" w:space="0" w:color="auto"/>
                    <w:right w:val="none" w:sz="0" w:space="0" w:color="auto"/>
                  </w:divBdr>
                </w:div>
              </w:divsChild>
            </w:div>
            <w:div w:id="1932666000">
              <w:marLeft w:val="0"/>
              <w:marRight w:val="0"/>
              <w:marTop w:val="0"/>
              <w:marBottom w:val="0"/>
              <w:divBdr>
                <w:top w:val="none" w:sz="0" w:space="0" w:color="auto"/>
                <w:left w:val="none" w:sz="0" w:space="0" w:color="auto"/>
                <w:bottom w:val="none" w:sz="0" w:space="0" w:color="auto"/>
                <w:right w:val="none" w:sz="0" w:space="0" w:color="auto"/>
              </w:divBdr>
              <w:divsChild>
                <w:div w:id="2104377001">
                  <w:marLeft w:val="0"/>
                  <w:marRight w:val="0"/>
                  <w:marTop w:val="0"/>
                  <w:marBottom w:val="0"/>
                  <w:divBdr>
                    <w:top w:val="none" w:sz="0" w:space="0" w:color="auto"/>
                    <w:left w:val="none" w:sz="0" w:space="0" w:color="auto"/>
                    <w:bottom w:val="none" w:sz="0" w:space="0" w:color="auto"/>
                    <w:right w:val="none" w:sz="0" w:space="0" w:color="auto"/>
                  </w:divBdr>
                </w:div>
              </w:divsChild>
            </w:div>
            <w:div w:id="1933007040">
              <w:marLeft w:val="0"/>
              <w:marRight w:val="0"/>
              <w:marTop w:val="0"/>
              <w:marBottom w:val="0"/>
              <w:divBdr>
                <w:top w:val="none" w:sz="0" w:space="0" w:color="auto"/>
                <w:left w:val="none" w:sz="0" w:space="0" w:color="auto"/>
                <w:bottom w:val="none" w:sz="0" w:space="0" w:color="auto"/>
                <w:right w:val="none" w:sz="0" w:space="0" w:color="auto"/>
              </w:divBdr>
              <w:divsChild>
                <w:div w:id="1984264887">
                  <w:marLeft w:val="0"/>
                  <w:marRight w:val="0"/>
                  <w:marTop w:val="0"/>
                  <w:marBottom w:val="0"/>
                  <w:divBdr>
                    <w:top w:val="none" w:sz="0" w:space="0" w:color="auto"/>
                    <w:left w:val="none" w:sz="0" w:space="0" w:color="auto"/>
                    <w:bottom w:val="none" w:sz="0" w:space="0" w:color="auto"/>
                    <w:right w:val="none" w:sz="0" w:space="0" w:color="auto"/>
                  </w:divBdr>
                </w:div>
              </w:divsChild>
            </w:div>
            <w:div w:id="1933203514">
              <w:marLeft w:val="0"/>
              <w:marRight w:val="0"/>
              <w:marTop w:val="0"/>
              <w:marBottom w:val="0"/>
              <w:divBdr>
                <w:top w:val="none" w:sz="0" w:space="0" w:color="auto"/>
                <w:left w:val="none" w:sz="0" w:space="0" w:color="auto"/>
                <w:bottom w:val="none" w:sz="0" w:space="0" w:color="auto"/>
                <w:right w:val="none" w:sz="0" w:space="0" w:color="auto"/>
              </w:divBdr>
              <w:divsChild>
                <w:div w:id="397633906">
                  <w:marLeft w:val="0"/>
                  <w:marRight w:val="0"/>
                  <w:marTop w:val="0"/>
                  <w:marBottom w:val="0"/>
                  <w:divBdr>
                    <w:top w:val="none" w:sz="0" w:space="0" w:color="auto"/>
                    <w:left w:val="none" w:sz="0" w:space="0" w:color="auto"/>
                    <w:bottom w:val="none" w:sz="0" w:space="0" w:color="auto"/>
                    <w:right w:val="none" w:sz="0" w:space="0" w:color="auto"/>
                  </w:divBdr>
                </w:div>
              </w:divsChild>
            </w:div>
            <w:div w:id="1933203519">
              <w:marLeft w:val="0"/>
              <w:marRight w:val="0"/>
              <w:marTop w:val="0"/>
              <w:marBottom w:val="0"/>
              <w:divBdr>
                <w:top w:val="none" w:sz="0" w:space="0" w:color="auto"/>
                <w:left w:val="none" w:sz="0" w:space="0" w:color="auto"/>
                <w:bottom w:val="none" w:sz="0" w:space="0" w:color="auto"/>
                <w:right w:val="none" w:sz="0" w:space="0" w:color="auto"/>
              </w:divBdr>
              <w:divsChild>
                <w:div w:id="1520391437">
                  <w:marLeft w:val="0"/>
                  <w:marRight w:val="0"/>
                  <w:marTop w:val="0"/>
                  <w:marBottom w:val="0"/>
                  <w:divBdr>
                    <w:top w:val="none" w:sz="0" w:space="0" w:color="auto"/>
                    <w:left w:val="none" w:sz="0" w:space="0" w:color="auto"/>
                    <w:bottom w:val="none" w:sz="0" w:space="0" w:color="auto"/>
                    <w:right w:val="none" w:sz="0" w:space="0" w:color="auto"/>
                  </w:divBdr>
                </w:div>
              </w:divsChild>
            </w:div>
            <w:div w:id="1933968039">
              <w:marLeft w:val="0"/>
              <w:marRight w:val="0"/>
              <w:marTop w:val="0"/>
              <w:marBottom w:val="0"/>
              <w:divBdr>
                <w:top w:val="none" w:sz="0" w:space="0" w:color="auto"/>
                <w:left w:val="none" w:sz="0" w:space="0" w:color="auto"/>
                <w:bottom w:val="none" w:sz="0" w:space="0" w:color="auto"/>
                <w:right w:val="none" w:sz="0" w:space="0" w:color="auto"/>
              </w:divBdr>
              <w:divsChild>
                <w:div w:id="1868831609">
                  <w:marLeft w:val="0"/>
                  <w:marRight w:val="0"/>
                  <w:marTop w:val="0"/>
                  <w:marBottom w:val="0"/>
                  <w:divBdr>
                    <w:top w:val="none" w:sz="0" w:space="0" w:color="auto"/>
                    <w:left w:val="none" w:sz="0" w:space="0" w:color="auto"/>
                    <w:bottom w:val="none" w:sz="0" w:space="0" w:color="auto"/>
                    <w:right w:val="none" w:sz="0" w:space="0" w:color="auto"/>
                  </w:divBdr>
                </w:div>
              </w:divsChild>
            </w:div>
            <w:div w:id="1934320643">
              <w:marLeft w:val="0"/>
              <w:marRight w:val="0"/>
              <w:marTop w:val="0"/>
              <w:marBottom w:val="0"/>
              <w:divBdr>
                <w:top w:val="none" w:sz="0" w:space="0" w:color="auto"/>
                <w:left w:val="none" w:sz="0" w:space="0" w:color="auto"/>
                <w:bottom w:val="none" w:sz="0" w:space="0" w:color="auto"/>
                <w:right w:val="none" w:sz="0" w:space="0" w:color="auto"/>
              </w:divBdr>
              <w:divsChild>
                <w:div w:id="1639383487">
                  <w:marLeft w:val="0"/>
                  <w:marRight w:val="0"/>
                  <w:marTop w:val="0"/>
                  <w:marBottom w:val="0"/>
                  <w:divBdr>
                    <w:top w:val="none" w:sz="0" w:space="0" w:color="auto"/>
                    <w:left w:val="none" w:sz="0" w:space="0" w:color="auto"/>
                    <w:bottom w:val="none" w:sz="0" w:space="0" w:color="auto"/>
                    <w:right w:val="none" w:sz="0" w:space="0" w:color="auto"/>
                  </w:divBdr>
                </w:div>
              </w:divsChild>
            </w:div>
            <w:div w:id="1934433895">
              <w:marLeft w:val="0"/>
              <w:marRight w:val="0"/>
              <w:marTop w:val="0"/>
              <w:marBottom w:val="0"/>
              <w:divBdr>
                <w:top w:val="none" w:sz="0" w:space="0" w:color="auto"/>
                <w:left w:val="none" w:sz="0" w:space="0" w:color="auto"/>
                <w:bottom w:val="none" w:sz="0" w:space="0" w:color="auto"/>
                <w:right w:val="none" w:sz="0" w:space="0" w:color="auto"/>
              </w:divBdr>
              <w:divsChild>
                <w:div w:id="1538854819">
                  <w:marLeft w:val="0"/>
                  <w:marRight w:val="0"/>
                  <w:marTop w:val="0"/>
                  <w:marBottom w:val="0"/>
                  <w:divBdr>
                    <w:top w:val="none" w:sz="0" w:space="0" w:color="auto"/>
                    <w:left w:val="none" w:sz="0" w:space="0" w:color="auto"/>
                    <w:bottom w:val="none" w:sz="0" w:space="0" w:color="auto"/>
                    <w:right w:val="none" w:sz="0" w:space="0" w:color="auto"/>
                  </w:divBdr>
                </w:div>
              </w:divsChild>
            </w:div>
            <w:div w:id="1934626792">
              <w:marLeft w:val="0"/>
              <w:marRight w:val="0"/>
              <w:marTop w:val="0"/>
              <w:marBottom w:val="0"/>
              <w:divBdr>
                <w:top w:val="none" w:sz="0" w:space="0" w:color="auto"/>
                <w:left w:val="none" w:sz="0" w:space="0" w:color="auto"/>
                <w:bottom w:val="none" w:sz="0" w:space="0" w:color="auto"/>
                <w:right w:val="none" w:sz="0" w:space="0" w:color="auto"/>
              </w:divBdr>
              <w:divsChild>
                <w:div w:id="1557815052">
                  <w:marLeft w:val="0"/>
                  <w:marRight w:val="0"/>
                  <w:marTop w:val="0"/>
                  <w:marBottom w:val="0"/>
                  <w:divBdr>
                    <w:top w:val="none" w:sz="0" w:space="0" w:color="auto"/>
                    <w:left w:val="none" w:sz="0" w:space="0" w:color="auto"/>
                    <w:bottom w:val="none" w:sz="0" w:space="0" w:color="auto"/>
                    <w:right w:val="none" w:sz="0" w:space="0" w:color="auto"/>
                  </w:divBdr>
                </w:div>
              </w:divsChild>
            </w:div>
            <w:div w:id="1936858652">
              <w:marLeft w:val="0"/>
              <w:marRight w:val="0"/>
              <w:marTop w:val="0"/>
              <w:marBottom w:val="0"/>
              <w:divBdr>
                <w:top w:val="none" w:sz="0" w:space="0" w:color="auto"/>
                <w:left w:val="none" w:sz="0" w:space="0" w:color="auto"/>
                <w:bottom w:val="none" w:sz="0" w:space="0" w:color="auto"/>
                <w:right w:val="none" w:sz="0" w:space="0" w:color="auto"/>
              </w:divBdr>
              <w:divsChild>
                <w:div w:id="1372614610">
                  <w:marLeft w:val="0"/>
                  <w:marRight w:val="0"/>
                  <w:marTop w:val="0"/>
                  <w:marBottom w:val="0"/>
                  <w:divBdr>
                    <w:top w:val="none" w:sz="0" w:space="0" w:color="auto"/>
                    <w:left w:val="none" w:sz="0" w:space="0" w:color="auto"/>
                    <w:bottom w:val="none" w:sz="0" w:space="0" w:color="auto"/>
                    <w:right w:val="none" w:sz="0" w:space="0" w:color="auto"/>
                  </w:divBdr>
                </w:div>
              </w:divsChild>
            </w:div>
            <w:div w:id="1940289697">
              <w:marLeft w:val="0"/>
              <w:marRight w:val="0"/>
              <w:marTop w:val="0"/>
              <w:marBottom w:val="0"/>
              <w:divBdr>
                <w:top w:val="none" w:sz="0" w:space="0" w:color="auto"/>
                <w:left w:val="none" w:sz="0" w:space="0" w:color="auto"/>
                <w:bottom w:val="none" w:sz="0" w:space="0" w:color="auto"/>
                <w:right w:val="none" w:sz="0" w:space="0" w:color="auto"/>
              </w:divBdr>
              <w:divsChild>
                <w:div w:id="1342124188">
                  <w:marLeft w:val="0"/>
                  <w:marRight w:val="0"/>
                  <w:marTop w:val="0"/>
                  <w:marBottom w:val="0"/>
                  <w:divBdr>
                    <w:top w:val="none" w:sz="0" w:space="0" w:color="auto"/>
                    <w:left w:val="none" w:sz="0" w:space="0" w:color="auto"/>
                    <w:bottom w:val="none" w:sz="0" w:space="0" w:color="auto"/>
                    <w:right w:val="none" w:sz="0" w:space="0" w:color="auto"/>
                  </w:divBdr>
                </w:div>
              </w:divsChild>
            </w:div>
            <w:div w:id="1941378176">
              <w:marLeft w:val="0"/>
              <w:marRight w:val="0"/>
              <w:marTop w:val="300"/>
              <w:marBottom w:val="300"/>
              <w:divBdr>
                <w:top w:val="none" w:sz="0" w:space="0" w:color="auto"/>
                <w:left w:val="none" w:sz="0" w:space="0" w:color="auto"/>
                <w:bottom w:val="none" w:sz="0" w:space="0" w:color="auto"/>
                <w:right w:val="none" w:sz="0" w:space="0" w:color="auto"/>
              </w:divBdr>
            </w:div>
            <w:div w:id="1942182225">
              <w:marLeft w:val="0"/>
              <w:marRight w:val="0"/>
              <w:marTop w:val="0"/>
              <w:marBottom w:val="0"/>
              <w:divBdr>
                <w:top w:val="none" w:sz="0" w:space="0" w:color="auto"/>
                <w:left w:val="none" w:sz="0" w:space="0" w:color="auto"/>
                <w:bottom w:val="none" w:sz="0" w:space="0" w:color="auto"/>
                <w:right w:val="none" w:sz="0" w:space="0" w:color="auto"/>
              </w:divBdr>
              <w:divsChild>
                <w:div w:id="2005237648">
                  <w:marLeft w:val="0"/>
                  <w:marRight w:val="0"/>
                  <w:marTop w:val="0"/>
                  <w:marBottom w:val="0"/>
                  <w:divBdr>
                    <w:top w:val="none" w:sz="0" w:space="0" w:color="auto"/>
                    <w:left w:val="none" w:sz="0" w:space="0" w:color="auto"/>
                    <w:bottom w:val="none" w:sz="0" w:space="0" w:color="auto"/>
                    <w:right w:val="none" w:sz="0" w:space="0" w:color="auto"/>
                  </w:divBdr>
                </w:div>
              </w:divsChild>
            </w:div>
            <w:div w:id="1942295519">
              <w:marLeft w:val="0"/>
              <w:marRight w:val="0"/>
              <w:marTop w:val="0"/>
              <w:marBottom w:val="0"/>
              <w:divBdr>
                <w:top w:val="none" w:sz="0" w:space="0" w:color="auto"/>
                <w:left w:val="none" w:sz="0" w:space="0" w:color="auto"/>
                <w:bottom w:val="none" w:sz="0" w:space="0" w:color="auto"/>
                <w:right w:val="none" w:sz="0" w:space="0" w:color="auto"/>
              </w:divBdr>
              <w:divsChild>
                <w:div w:id="1927572244">
                  <w:marLeft w:val="0"/>
                  <w:marRight w:val="0"/>
                  <w:marTop w:val="0"/>
                  <w:marBottom w:val="0"/>
                  <w:divBdr>
                    <w:top w:val="none" w:sz="0" w:space="0" w:color="auto"/>
                    <w:left w:val="none" w:sz="0" w:space="0" w:color="auto"/>
                    <w:bottom w:val="none" w:sz="0" w:space="0" w:color="auto"/>
                    <w:right w:val="none" w:sz="0" w:space="0" w:color="auto"/>
                  </w:divBdr>
                </w:div>
              </w:divsChild>
            </w:div>
            <w:div w:id="1943953940">
              <w:marLeft w:val="0"/>
              <w:marRight w:val="0"/>
              <w:marTop w:val="0"/>
              <w:marBottom w:val="0"/>
              <w:divBdr>
                <w:top w:val="none" w:sz="0" w:space="0" w:color="auto"/>
                <w:left w:val="none" w:sz="0" w:space="0" w:color="auto"/>
                <w:bottom w:val="none" w:sz="0" w:space="0" w:color="auto"/>
                <w:right w:val="none" w:sz="0" w:space="0" w:color="auto"/>
              </w:divBdr>
              <w:divsChild>
                <w:div w:id="1647661158">
                  <w:marLeft w:val="0"/>
                  <w:marRight w:val="0"/>
                  <w:marTop w:val="0"/>
                  <w:marBottom w:val="0"/>
                  <w:divBdr>
                    <w:top w:val="none" w:sz="0" w:space="0" w:color="auto"/>
                    <w:left w:val="none" w:sz="0" w:space="0" w:color="auto"/>
                    <w:bottom w:val="none" w:sz="0" w:space="0" w:color="auto"/>
                    <w:right w:val="none" w:sz="0" w:space="0" w:color="auto"/>
                  </w:divBdr>
                </w:div>
              </w:divsChild>
            </w:div>
            <w:div w:id="1946769087">
              <w:marLeft w:val="0"/>
              <w:marRight w:val="0"/>
              <w:marTop w:val="0"/>
              <w:marBottom w:val="0"/>
              <w:divBdr>
                <w:top w:val="none" w:sz="0" w:space="0" w:color="auto"/>
                <w:left w:val="none" w:sz="0" w:space="0" w:color="auto"/>
                <w:bottom w:val="none" w:sz="0" w:space="0" w:color="auto"/>
                <w:right w:val="none" w:sz="0" w:space="0" w:color="auto"/>
              </w:divBdr>
              <w:divsChild>
                <w:div w:id="391849432">
                  <w:marLeft w:val="0"/>
                  <w:marRight w:val="0"/>
                  <w:marTop w:val="0"/>
                  <w:marBottom w:val="0"/>
                  <w:divBdr>
                    <w:top w:val="none" w:sz="0" w:space="0" w:color="auto"/>
                    <w:left w:val="none" w:sz="0" w:space="0" w:color="auto"/>
                    <w:bottom w:val="none" w:sz="0" w:space="0" w:color="auto"/>
                    <w:right w:val="none" w:sz="0" w:space="0" w:color="auto"/>
                  </w:divBdr>
                </w:div>
              </w:divsChild>
            </w:div>
            <w:div w:id="1948271409">
              <w:marLeft w:val="0"/>
              <w:marRight w:val="0"/>
              <w:marTop w:val="300"/>
              <w:marBottom w:val="300"/>
              <w:divBdr>
                <w:top w:val="none" w:sz="0" w:space="0" w:color="auto"/>
                <w:left w:val="none" w:sz="0" w:space="0" w:color="auto"/>
                <w:bottom w:val="none" w:sz="0" w:space="0" w:color="auto"/>
                <w:right w:val="none" w:sz="0" w:space="0" w:color="auto"/>
              </w:divBdr>
            </w:div>
            <w:div w:id="1949702922">
              <w:marLeft w:val="0"/>
              <w:marRight w:val="0"/>
              <w:marTop w:val="300"/>
              <w:marBottom w:val="300"/>
              <w:divBdr>
                <w:top w:val="none" w:sz="0" w:space="0" w:color="auto"/>
                <w:left w:val="none" w:sz="0" w:space="0" w:color="auto"/>
                <w:bottom w:val="none" w:sz="0" w:space="0" w:color="auto"/>
                <w:right w:val="none" w:sz="0" w:space="0" w:color="auto"/>
              </w:divBdr>
            </w:div>
            <w:div w:id="1951427249">
              <w:marLeft w:val="0"/>
              <w:marRight w:val="0"/>
              <w:marTop w:val="0"/>
              <w:marBottom w:val="0"/>
              <w:divBdr>
                <w:top w:val="none" w:sz="0" w:space="0" w:color="auto"/>
                <w:left w:val="none" w:sz="0" w:space="0" w:color="auto"/>
                <w:bottom w:val="none" w:sz="0" w:space="0" w:color="auto"/>
                <w:right w:val="none" w:sz="0" w:space="0" w:color="auto"/>
              </w:divBdr>
              <w:divsChild>
                <w:div w:id="1589728735">
                  <w:marLeft w:val="0"/>
                  <w:marRight w:val="0"/>
                  <w:marTop w:val="0"/>
                  <w:marBottom w:val="0"/>
                  <w:divBdr>
                    <w:top w:val="none" w:sz="0" w:space="0" w:color="auto"/>
                    <w:left w:val="none" w:sz="0" w:space="0" w:color="auto"/>
                    <w:bottom w:val="none" w:sz="0" w:space="0" w:color="auto"/>
                    <w:right w:val="none" w:sz="0" w:space="0" w:color="auto"/>
                  </w:divBdr>
                </w:div>
              </w:divsChild>
            </w:div>
            <w:div w:id="1951818228">
              <w:marLeft w:val="0"/>
              <w:marRight w:val="0"/>
              <w:marTop w:val="0"/>
              <w:marBottom w:val="0"/>
              <w:divBdr>
                <w:top w:val="none" w:sz="0" w:space="0" w:color="auto"/>
                <w:left w:val="none" w:sz="0" w:space="0" w:color="auto"/>
                <w:bottom w:val="none" w:sz="0" w:space="0" w:color="auto"/>
                <w:right w:val="none" w:sz="0" w:space="0" w:color="auto"/>
              </w:divBdr>
              <w:divsChild>
                <w:div w:id="1280919723">
                  <w:marLeft w:val="0"/>
                  <w:marRight w:val="0"/>
                  <w:marTop w:val="0"/>
                  <w:marBottom w:val="0"/>
                  <w:divBdr>
                    <w:top w:val="none" w:sz="0" w:space="0" w:color="auto"/>
                    <w:left w:val="none" w:sz="0" w:space="0" w:color="auto"/>
                    <w:bottom w:val="none" w:sz="0" w:space="0" w:color="auto"/>
                    <w:right w:val="none" w:sz="0" w:space="0" w:color="auto"/>
                  </w:divBdr>
                </w:div>
              </w:divsChild>
            </w:div>
            <w:div w:id="1958486772">
              <w:marLeft w:val="0"/>
              <w:marRight w:val="0"/>
              <w:marTop w:val="0"/>
              <w:marBottom w:val="0"/>
              <w:divBdr>
                <w:top w:val="none" w:sz="0" w:space="0" w:color="auto"/>
                <w:left w:val="none" w:sz="0" w:space="0" w:color="auto"/>
                <w:bottom w:val="none" w:sz="0" w:space="0" w:color="auto"/>
                <w:right w:val="none" w:sz="0" w:space="0" w:color="auto"/>
              </w:divBdr>
              <w:divsChild>
                <w:div w:id="995255850">
                  <w:marLeft w:val="0"/>
                  <w:marRight w:val="0"/>
                  <w:marTop w:val="0"/>
                  <w:marBottom w:val="0"/>
                  <w:divBdr>
                    <w:top w:val="none" w:sz="0" w:space="0" w:color="auto"/>
                    <w:left w:val="none" w:sz="0" w:space="0" w:color="auto"/>
                    <w:bottom w:val="none" w:sz="0" w:space="0" w:color="auto"/>
                    <w:right w:val="none" w:sz="0" w:space="0" w:color="auto"/>
                  </w:divBdr>
                </w:div>
              </w:divsChild>
            </w:div>
            <w:div w:id="1958635984">
              <w:marLeft w:val="0"/>
              <w:marRight w:val="0"/>
              <w:marTop w:val="0"/>
              <w:marBottom w:val="0"/>
              <w:divBdr>
                <w:top w:val="none" w:sz="0" w:space="0" w:color="auto"/>
                <w:left w:val="none" w:sz="0" w:space="0" w:color="auto"/>
                <w:bottom w:val="none" w:sz="0" w:space="0" w:color="auto"/>
                <w:right w:val="none" w:sz="0" w:space="0" w:color="auto"/>
              </w:divBdr>
              <w:divsChild>
                <w:div w:id="1010529097">
                  <w:marLeft w:val="0"/>
                  <w:marRight w:val="0"/>
                  <w:marTop w:val="0"/>
                  <w:marBottom w:val="0"/>
                  <w:divBdr>
                    <w:top w:val="none" w:sz="0" w:space="0" w:color="auto"/>
                    <w:left w:val="none" w:sz="0" w:space="0" w:color="auto"/>
                    <w:bottom w:val="none" w:sz="0" w:space="0" w:color="auto"/>
                    <w:right w:val="none" w:sz="0" w:space="0" w:color="auto"/>
                  </w:divBdr>
                </w:div>
              </w:divsChild>
            </w:div>
            <w:div w:id="1960330730">
              <w:marLeft w:val="0"/>
              <w:marRight w:val="0"/>
              <w:marTop w:val="0"/>
              <w:marBottom w:val="0"/>
              <w:divBdr>
                <w:top w:val="none" w:sz="0" w:space="0" w:color="auto"/>
                <w:left w:val="none" w:sz="0" w:space="0" w:color="auto"/>
                <w:bottom w:val="none" w:sz="0" w:space="0" w:color="auto"/>
                <w:right w:val="none" w:sz="0" w:space="0" w:color="auto"/>
              </w:divBdr>
              <w:divsChild>
                <w:div w:id="138311044">
                  <w:marLeft w:val="0"/>
                  <w:marRight w:val="0"/>
                  <w:marTop w:val="0"/>
                  <w:marBottom w:val="0"/>
                  <w:divBdr>
                    <w:top w:val="none" w:sz="0" w:space="0" w:color="auto"/>
                    <w:left w:val="none" w:sz="0" w:space="0" w:color="auto"/>
                    <w:bottom w:val="none" w:sz="0" w:space="0" w:color="auto"/>
                    <w:right w:val="none" w:sz="0" w:space="0" w:color="auto"/>
                  </w:divBdr>
                </w:div>
              </w:divsChild>
            </w:div>
            <w:div w:id="1960407606">
              <w:marLeft w:val="0"/>
              <w:marRight w:val="0"/>
              <w:marTop w:val="0"/>
              <w:marBottom w:val="0"/>
              <w:divBdr>
                <w:top w:val="none" w:sz="0" w:space="0" w:color="auto"/>
                <w:left w:val="none" w:sz="0" w:space="0" w:color="auto"/>
                <w:bottom w:val="none" w:sz="0" w:space="0" w:color="auto"/>
                <w:right w:val="none" w:sz="0" w:space="0" w:color="auto"/>
              </w:divBdr>
              <w:divsChild>
                <w:div w:id="619536310">
                  <w:marLeft w:val="0"/>
                  <w:marRight w:val="0"/>
                  <w:marTop w:val="0"/>
                  <w:marBottom w:val="0"/>
                  <w:divBdr>
                    <w:top w:val="none" w:sz="0" w:space="0" w:color="auto"/>
                    <w:left w:val="none" w:sz="0" w:space="0" w:color="auto"/>
                    <w:bottom w:val="none" w:sz="0" w:space="0" w:color="auto"/>
                    <w:right w:val="none" w:sz="0" w:space="0" w:color="auto"/>
                  </w:divBdr>
                </w:div>
              </w:divsChild>
            </w:div>
            <w:div w:id="1961185086">
              <w:marLeft w:val="0"/>
              <w:marRight w:val="0"/>
              <w:marTop w:val="0"/>
              <w:marBottom w:val="0"/>
              <w:divBdr>
                <w:top w:val="none" w:sz="0" w:space="0" w:color="auto"/>
                <w:left w:val="none" w:sz="0" w:space="0" w:color="auto"/>
                <w:bottom w:val="none" w:sz="0" w:space="0" w:color="auto"/>
                <w:right w:val="none" w:sz="0" w:space="0" w:color="auto"/>
              </w:divBdr>
              <w:divsChild>
                <w:div w:id="1856773268">
                  <w:marLeft w:val="0"/>
                  <w:marRight w:val="0"/>
                  <w:marTop w:val="0"/>
                  <w:marBottom w:val="0"/>
                  <w:divBdr>
                    <w:top w:val="none" w:sz="0" w:space="0" w:color="auto"/>
                    <w:left w:val="none" w:sz="0" w:space="0" w:color="auto"/>
                    <w:bottom w:val="none" w:sz="0" w:space="0" w:color="auto"/>
                    <w:right w:val="none" w:sz="0" w:space="0" w:color="auto"/>
                  </w:divBdr>
                </w:div>
              </w:divsChild>
            </w:div>
            <w:div w:id="1961760707">
              <w:marLeft w:val="0"/>
              <w:marRight w:val="0"/>
              <w:marTop w:val="0"/>
              <w:marBottom w:val="0"/>
              <w:divBdr>
                <w:top w:val="none" w:sz="0" w:space="0" w:color="auto"/>
                <w:left w:val="none" w:sz="0" w:space="0" w:color="auto"/>
                <w:bottom w:val="none" w:sz="0" w:space="0" w:color="auto"/>
                <w:right w:val="none" w:sz="0" w:space="0" w:color="auto"/>
              </w:divBdr>
              <w:divsChild>
                <w:div w:id="470095086">
                  <w:marLeft w:val="0"/>
                  <w:marRight w:val="0"/>
                  <w:marTop w:val="0"/>
                  <w:marBottom w:val="0"/>
                  <w:divBdr>
                    <w:top w:val="none" w:sz="0" w:space="0" w:color="auto"/>
                    <w:left w:val="none" w:sz="0" w:space="0" w:color="auto"/>
                    <w:bottom w:val="none" w:sz="0" w:space="0" w:color="auto"/>
                    <w:right w:val="none" w:sz="0" w:space="0" w:color="auto"/>
                  </w:divBdr>
                </w:div>
              </w:divsChild>
            </w:div>
            <w:div w:id="1961910777">
              <w:marLeft w:val="0"/>
              <w:marRight w:val="0"/>
              <w:marTop w:val="300"/>
              <w:marBottom w:val="300"/>
              <w:divBdr>
                <w:top w:val="none" w:sz="0" w:space="0" w:color="auto"/>
                <w:left w:val="none" w:sz="0" w:space="0" w:color="auto"/>
                <w:bottom w:val="none" w:sz="0" w:space="0" w:color="auto"/>
                <w:right w:val="none" w:sz="0" w:space="0" w:color="auto"/>
              </w:divBdr>
            </w:div>
            <w:div w:id="1964000052">
              <w:marLeft w:val="0"/>
              <w:marRight w:val="0"/>
              <w:marTop w:val="0"/>
              <w:marBottom w:val="0"/>
              <w:divBdr>
                <w:top w:val="none" w:sz="0" w:space="0" w:color="auto"/>
                <w:left w:val="none" w:sz="0" w:space="0" w:color="auto"/>
                <w:bottom w:val="none" w:sz="0" w:space="0" w:color="auto"/>
                <w:right w:val="none" w:sz="0" w:space="0" w:color="auto"/>
              </w:divBdr>
              <w:divsChild>
                <w:div w:id="397680">
                  <w:marLeft w:val="0"/>
                  <w:marRight w:val="0"/>
                  <w:marTop w:val="0"/>
                  <w:marBottom w:val="0"/>
                  <w:divBdr>
                    <w:top w:val="none" w:sz="0" w:space="0" w:color="auto"/>
                    <w:left w:val="none" w:sz="0" w:space="0" w:color="auto"/>
                    <w:bottom w:val="none" w:sz="0" w:space="0" w:color="auto"/>
                    <w:right w:val="none" w:sz="0" w:space="0" w:color="auto"/>
                  </w:divBdr>
                </w:div>
              </w:divsChild>
            </w:div>
            <w:div w:id="1965311156">
              <w:marLeft w:val="0"/>
              <w:marRight w:val="0"/>
              <w:marTop w:val="0"/>
              <w:marBottom w:val="0"/>
              <w:divBdr>
                <w:top w:val="none" w:sz="0" w:space="0" w:color="auto"/>
                <w:left w:val="none" w:sz="0" w:space="0" w:color="auto"/>
                <w:bottom w:val="none" w:sz="0" w:space="0" w:color="auto"/>
                <w:right w:val="none" w:sz="0" w:space="0" w:color="auto"/>
              </w:divBdr>
              <w:divsChild>
                <w:div w:id="733894178">
                  <w:marLeft w:val="0"/>
                  <w:marRight w:val="0"/>
                  <w:marTop w:val="0"/>
                  <w:marBottom w:val="0"/>
                  <w:divBdr>
                    <w:top w:val="none" w:sz="0" w:space="0" w:color="auto"/>
                    <w:left w:val="none" w:sz="0" w:space="0" w:color="auto"/>
                    <w:bottom w:val="none" w:sz="0" w:space="0" w:color="auto"/>
                    <w:right w:val="none" w:sz="0" w:space="0" w:color="auto"/>
                  </w:divBdr>
                </w:div>
              </w:divsChild>
            </w:div>
            <w:div w:id="1967546736">
              <w:marLeft w:val="0"/>
              <w:marRight w:val="0"/>
              <w:marTop w:val="0"/>
              <w:marBottom w:val="0"/>
              <w:divBdr>
                <w:top w:val="none" w:sz="0" w:space="0" w:color="auto"/>
                <w:left w:val="none" w:sz="0" w:space="0" w:color="auto"/>
                <w:bottom w:val="none" w:sz="0" w:space="0" w:color="auto"/>
                <w:right w:val="none" w:sz="0" w:space="0" w:color="auto"/>
              </w:divBdr>
              <w:divsChild>
                <w:div w:id="1554924311">
                  <w:marLeft w:val="0"/>
                  <w:marRight w:val="0"/>
                  <w:marTop w:val="0"/>
                  <w:marBottom w:val="0"/>
                  <w:divBdr>
                    <w:top w:val="none" w:sz="0" w:space="0" w:color="auto"/>
                    <w:left w:val="none" w:sz="0" w:space="0" w:color="auto"/>
                    <w:bottom w:val="none" w:sz="0" w:space="0" w:color="auto"/>
                    <w:right w:val="none" w:sz="0" w:space="0" w:color="auto"/>
                  </w:divBdr>
                </w:div>
              </w:divsChild>
            </w:div>
            <w:div w:id="1968732694">
              <w:marLeft w:val="0"/>
              <w:marRight w:val="0"/>
              <w:marTop w:val="0"/>
              <w:marBottom w:val="0"/>
              <w:divBdr>
                <w:top w:val="none" w:sz="0" w:space="0" w:color="auto"/>
                <w:left w:val="none" w:sz="0" w:space="0" w:color="auto"/>
                <w:bottom w:val="none" w:sz="0" w:space="0" w:color="auto"/>
                <w:right w:val="none" w:sz="0" w:space="0" w:color="auto"/>
              </w:divBdr>
              <w:divsChild>
                <w:div w:id="1894199112">
                  <w:marLeft w:val="0"/>
                  <w:marRight w:val="0"/>
                  <w:marTop w:val="0"/>
                  <w:marBottom w:val="0"/>
                  <w:divBdr>
                    <w:top w:val="none" w:sz="0" w:space="0" w:color="auto"/>
                    <w:left w:val="none" w:sz="0" w:space="0" w:color="auto"/>
                    <w:bottom w:val="none" w:sz="0" w:space="0" w:color="auto"/>
                    <w:right w:val="none" w:sz="0" w:space="0" w:color="auto"/>
                  </w:divBdr>
                </w:div>
              </w:divsChild>
            </w:div>
            <w:div w:id="1969890057">
              <w:marLeft w:val="0"/>
              <w:marRight w:val="0"/>
              <w:marTop w:val="0"/>
              <w:marBottom w:val="0"/>
              <w:divBdr>
                <w:top w:val="none" w:sz="0" w:space="0" w:color="auto"/>
                <w:left w:val="none" w:sz="0" w:space="0" w:color="auto"/>
                <w:bottom w:val="none" w:sz="0" w:space="0" w:color="auto"/>
                <w:right w:val="none" w:sz="0" w:space="0" w:color="auto"/>
              </w:divBdr>
              <w:divsChild>
                <w:div w:id="1545948919">
                  <w:marLeft w:val="0"/>
                  <w:marRight w:val="0"/>
                  <w:marTop w:val="0"/>
                  <w:marBottom w:val="0"/>
                  <w:divBdr>
                    <w:top w:val="none" w:sz="0" w:space="0" w:color="auto"/>
                    <w:left w:val="none" w:sz="0" w:space="0" w:color="auto"/>
                    <w:bottom w:val="none" w:sz="0" w:space="0" w:color="auto"/>
                    <w:right w:val="none" w:sz="0" w:space="0" w:color="auto"/>
                  </w:divBdr>
                </w:div>
              </w:divsChild>
            </w:div>
            <w:div w:id="1970741411">
              <w:marLeft w:val="0"/>
              <w:marRight w:val="0"/>
              <w:marTop w:val="0"/>
              <w:marBottom w:val="0"/>
              <w:divBdr>
                <w:top w:val="none" w:sz="0" w:space="0" w:color="auto"/>
                <w:left w:val="none" w:sz="0" w:space="0" w:color="auto"/>
                <w:bottom w:val="none" w:sz="0" w:space="0" w:color="auto"/>
                <w:right w:val="none" w:sz="0" w:space="0" w:color="auto"/>
              </w:divBdr>
              <w:divsChild>
                <w:div w:id="2013023254">
                  <w:marLeft w:val="0"/>
                  <w:marRight w:val="0"/>
                  <w:marTop w:val="0"/>
                  <w:marBottom w:val="0"/>
                  <w:divBdr>
                    <w:top w:val="none" w:sz="0" w:space="0" w:color="auto"/>
                    <w:left w:val="none" w:sz="0" w:space="0" w:color="auto"/>
                    <w:bottom w:val="none" w:sz="0" w:space="0" w:color="auto"/>
                    <w:right w:val="none" w:sz="0" w:space="0" w:color="auto"/>
                  </w:divBdr>
                </w:div>
              </w:divsChild>
            </w:div>
            <w:div w:id="1972633958">
              <w:marLeft w:val="0"/>
              <w:marRight w:val="0"/>
              <w:marTop w:val="0"/>
              <w:marBottom w:val="0"/>
              <w:divBdr>
                <w:top w:val="none" w:sz="0" w:space="0" w:color="auto"/>
                <w:left w:val="none" w:sz="0" w:space="0" w:color="auto"/>
                <w:bottom w:val="none" w:sz="0" w:space="0" w:color="auto"/>
                <w:right w:val="none" w:sz="0" w:space="0" w:color="auto"/>
              </w:divBdr>
              <w:divsChild>
                <w:div w:id="1379892900">
                  <w:marLeft w:val="0"/>
                  <w:marRight w:val="0"/>
                  <w:marTop w:val="0"/>
                  <w:marBottom w:val="0"/>
                  <w:divBdr>
                    <w:top w:val="none" w:sz="0" w:space="0" w:color="auto"/>
                    <w:left w:val="none" w:sz="0" w:space="0" w:color="auto"/>
                    <w:bottom w:val="none" w:sz="0" w:space="0" w:color="auto"/>
                    <w:right w:val="none" w:sz="0" w:space="0" w:color="auto"/>
                  </w:divBdr>
                </w:div>
              </w:divsChild>
            </w:div>
            <w:div w:id="1975014046">
              <w:marLeft w:val="0"/>
              <w:marRight w:val="0"/>
              <w:marTop w:val="0"/>
              <w:marBottom w:val="0"/>
              <w:divBdr>
                <w:top w:val="none" w:sz="0" w:space="0" w:color="auto"/>
                <w:left w:val="none" w:sz="0" w:space="0" w:color="auto"/>
                <w:bottom w:val="none" w:sz="0" w:space="0" w:color="auto"/>
                <w:right w:val="none" w:sz="0" w:space="0" w:color="auto"/>
              </w:divBdr>
              <w:divsChild>
                <w:div w:id="711343792">
                  <w:marLeft w:val="0"/>
                  <w:marRight w:val="0"/>
                  <w:marTop w:val="0"/>
                  <w:marBottom w:val="0"/>
                  <w:divBdr>
                    <w:top w:val="none" w:sz="0" w:space="0" w:color="auto"/>
                    <w:left w:val="none" w:sz="0" w:space="0" w:color="auto"/>
                    <w:bottom w:val="none" w:sz="0" w:space="0" w:color="auto"/>
                    <w:right w:val="none" w:sz="0" w:space="0" w:color="auto"/>
                  </w:divBdr>
                </w:div>
              </w:divsChild>
            </w:div>
            <w:div w:id="1978143232">
              <w:marLeft w:val="0"/>
              <w:marRight w:val="0"/>
              <w:marTop w:val="0"/>
              <w:marBottom w:val="0"/>
              <w:divBdr>
                <w:top w:val="none" w:sz="0" w:space="0" w:color="auto"/>
                <w:left w:val="none" w:sz="0" w:space="0" w:color="auto"/>
                <w:bottom w:val="none" w:sz="0" w:space="0" w:color="auto"/>
                <w:right w:val="none" w:sz="0" w:space="0" w:color="auto"/>
              </w:divBdr>
              <w:divsChild>
                <w:div w:id="1918787997">
                  <w:marLeft w:val="0"/>
                  <w:marRight w:val="0"/>
                  <w:marTop w:val="0"/>
                  <w:marBottom w:val="0"/>
                  <w:divBdr>
                    <w:top w:val="none" w:sz="0" w:space="0" w:color="auto"/>
                    <w:left w:val="none" w:sz="0" w:space="0" w:color="auto"/>
                    <w:bottom w:val="none" w:sz="0" w:space="0" w:color="auto"/>
                    <w:right w:val="none" w:sz="0" w:space="0" w:color="auto"/>
                  </w:divBdr>
                </w:div>
              </w:divsChild>
            </w:div>
            <w:div w:id="1978221376">
              <w:marLeft w:val="0"/>
              <w:marRight w:val="0"/>
              <w:marTop w:val="0"/>
              <w:marBottom w:val="0"/>
              <w:divBdr>
                <w:top w:val="none" w:sz="0" w:space="0" w:color="auto"/>
                <w:left w:val="none" w:sz="0" w:space="0" w:color="auto"/>
                <w:bottom w:val="none" w:sz="0" w:space="0" w:color="auto"/>
                <w:right w:val="none" w:sz="0" w:space="0" w:color="auto"/>
              </w:divBdr>
              <w:divsChild>
                <w:div w:id="36200004">
                  <w:marLeft w:val="0"/>
                  <w:marRight w:val="0"/>
                  <w:marTop w:val="0"/>
                  <w:marBottom w:val="0"/>
                  <w:divBdr>
                    <w:top w:val="none" w:sz="0" w:space="0" w:color="auto"/>
                    <w:left w:val="none" w:sz="0" w:space="0" w:color="auto"/>
                    <w:bottom w:val="none" w:sz="0" w:space="0" w:color="auto"/>
                    <w:right w:val="none" w:sz="0" w:space="0" w:color="auto"/>
                  </w:divBdr>
                </w:div>
              </w:divsChild>
            </w:div>
            <w:div w:id="1978416437">
              <w:marLeft w:val="0"/>
              <w:marRight w:val="0"/>
              <w:marTop w:val="0"/>
              <w:marBottom w:val="0"/>
              <w:divBdr>
                <w:top w:val="none" w:sz="0" w:space="0" w:color="auto"/>
                <w:left w:val="none" w:sz="0" w:space="0" w:color="auto"/>
                <w:bottom w:val="none" w:sz="0" w:space="0" w:color="auto"/>
                <w:right w:val="none" w:sz="0" w:space="0" w:color="auto"/>
              </w:divBdr>
              <w:divsChild>
                <w:div w:id="300116499">
                  <w:marLeft w:val="0"/>
                  <w:marRight w:val="0"/>
                  <w:marTop w:val="0"/>
                  <w:marBottom w:val="0"/>
                  <w:divBdr>
                    <w:top w:val="none" w:sz="0" w:space="0" w:color="auto"/>
                    <w:left w:val="none" w:sz="0" w:space="0" w:color="auto"/>
                    <w:bottom w:val="none" w:sz="0" w:space="0" w:color="auto"/>
                    <w:right w:val="none" w:sz="0" w:space="0" w:color="auto"/>
                  </w:divBdr>
                </w:div>
              </w:divsChild>
            </w:div>
            <w:div w:id="1978679921">
              <w:marLeft w:val="0"/>
              <w:marRight w:val="0"/>
              <w:marTop w:val="0"/>
              <w:marBottom w:val="0"/>
              <w:divBdr>
                <w:top w:val="none" w:sz="0" w:space="0" w:color="auto"/>
                <w:left w:val="none" w:sz="0" w:space="0" w:color="auto"/>
                <w:bottom w:val="none" w:sz="0" w:space="0" w:color="auto"/>
                <w:right w:val="none" w:sz="0" w:space="0" w:color="auto"/>
              </w:divBdr>
              <w:divsChild>
                <w:div w:id="633683148">
                  <w:marLeft w:val="0"/>
                  <w:marRight w:val="0"/>
                  <w:marTop w:val="0"/>
                  <w:marBottom w:val="0"/>
                  <w:divBdr>
                    <w:top w:val="none" w:sz="0" w:space="0" w:color="auto"/>
                    <w:left w:val="none" w:sz="0" w:space="0" w:color="auto"/>
                    <w:bottom w:val="none" w:sz="0" w:space="0" w:color="auto"/>
                    <w:right w:val="none" w:sz="0" w:space="0" w:color="auto"/>
                  </w:divBdr>
                </w:div>
              </w:divsChild>
            </w:div>
            <w:div w:id="1979607847">
              <w:marLeft w:val="0"/>
              <w:marRight w:val="0"/>
              <w:marTop w:val="0"/>
              <w:marBottom w:val="0"/>
              <w:divBdr>
                <w:top w:val="none" w:sz="0" w:space="0" w:color="auto"/>
                <w:left w:val="none" w:sz="0" w:space="0" w:color="auto"/>
                <w:bottom w:val="none" w:sz="0" w:space="0" w:color="auto"/>
                <w:right w:val="none" w:sz="0" w:space="0" w:color="auto"/>
              </w:divBdr>
              <w:divsChild>
                <w:div w:id="322125441">
                  <w:marLeft w:val="0"/>
                  <w:marRight w:val="0"/>
                  <w:marTop w:val="0"/>
                  <w:marBottom w:val="0"/>
                  <w:divBdr>
                    <w:top w:val="none" w:sz="0" w:space="0" w:color="auto"/>
                    <w:left w:val="none" w:sz="0" w:space="0" w:color="auto"/>
                    <w:bottom w:val="none" w:sz="0" w:space="0" w:color="auto"/>
                    <w:right w:val="none" w:sz="0" w:space="0" w:color="auto"/>
                  </w:divBdr>
                </w:div>
              </w:divsChild>
            </w:div>
            <w:div w:id="1980770255">
              <w:marLeft w:val="0"/>
              <w:marRight w:val="0"/>
              <w:marTop w:val="0"/>
              <w:marBottom w:val="0"/>
              <w:divBdr>
                <w:top w:val="none" w:sz="0" w:space="0" w:color="auto"/>
                <w:left w:val="none" w:sz="0" w:space="0" w:color="auto"/>
                <w:bottom w:val="none" w:sz="0" w:space="0" w:color="auto"/>
                <w:right w:val="none" w:sz="0" w:space="0" w:color="auto"/>
              </w:divBdr>
              <w:divsChild>
                <w:div w:id="1958752302">
                  <w:marLeft w:val="0"/>
                  <w:marRight w:val="0"/>
                  <w:marTop w:val="0"/>
                  <w:marBottom w:val="0"/>
                  <w:divBdr>
                    <w:top w:val="none" w:sz="0" w:space="0" w:color="auto"/>
                    <w:left w:val="none" w:sz="0" w:space="0" w:color="auto"/>
                    <w:bottom w:val="none" w:sz="0" w:space="0" w:color="auto"/>
                    <w:right w:val="none" w:sz="0" w:space="0" w:color="auto"/>
                  </w:divBdr>
                </w:div>
              </w:divsChild>
            </w:div>
            <w:div w:id="1982034634">
              <w:marLeft w:val="0"/>
              <w:marRight w:val="0"/>
              <w:marTop w:val="300"/>
              <w:marBottom w:val="300"/>
              <w:divBdr>
                <w:top w:val="none" w:sz="0" w:space="0" w:color="auto"/>
                <w:left w:val="none" w:sz="0" w:space="0" w:color="auto"/>
                <w:bottom w:val="none" w:sz="0" w:space="0" w:color="auto"/>
                <w:right w:val="none" w:sz="0" w:space="0" w:color="auto"/>
              </w:divBdr>
            </w:div>
            <w:div w:id="1982080525">
              <w:marLeft w:val="0"/>
              <w:marRight w:val="0"/>
              <w:marTop w:val="300"/>
              <w:marBottom w:val="300"/>
              <w:divBdr>
                <w:top w:val="none" w:sz="0" w:space="0" w:color="auto"/>
                <w:left w:val="none" w:sz="0" w:space="0" w:color="auto"/>
                <w:bottom w:val="none" w:sz="0" w:space="0" w:color="auto"/>
                <w:right w:val="none" w:sz="0" w:space="0" w:color="auto"/>
              </w:divBdr>
            </w:div>
            <w:div w:id="1983265887">
              <w:marLeft w:val="0"/>
              <w:marRight w:val="0"/>
              <w:marTop w:val="0"/>
              <w:marBottom w:val="0"/>
              <w:divBdr>
                <w:top w:val="none" w:sz="0" w:space="0" w:color="auto"/>
                <w:left w:val="none" w:sz="0" w:space="0" w:color="auto"/>
                <w:bottom w:val="none" w:sz="0" w:space="0" w:color="auto"/>
                <w:right w:val="none" w:sz="0" w:space="0" w:color="auto"/>
              </w:divBdr>
              <w:divsChild>
                <w:div w:id="1366367177">
                  <w:marLeft w:val="0"/>
                  <w:marRight w:val="0"/>
                  <w:marTop w:val="0"/>
                  <w:marBottom w:val="0"/>
                  <w:divBdr>
                    <w:top w:val="none" w:sz="0" w:space="0" w:color="auto"/>
                    <w:left w:val="none" w:sz="0" w:space="0" w:color="auto"/>
                    <w:bottom w:val="none" w:sz="0" w:space="0" w:color="auto"/>
                    <w:right w:val="none" w:sz="0" w:space="0" w:color="auto"/>
                  </w:divBdr>
                </w:div>
              </w:divsChild>
            </w:div>
            <w:div w:id="1984968011">
              <w:marLeft w:val="0"/>
              <w:marRight w:val="0"/>
              <w:marTop w:val="300"/>
              <w:marBottom w:val="300"/>
              <w:divBdr>
                <w:top w:val="none" w:sz="0" w:space="0" w:color="auto"/>
                <w:left w:val="none" w:sz="0" w:space="0" w:color="auto"/>
                <w:bottom w:val="none" w:sz="0" w:space="0" w:color="auto"/>
                <w:right w:val="none" w:sz="0" w:space="0" w:color="auto"/>
              </w:divBdr>
            </w:div>
            <w:div w:id="1985160029">
              <w:marLeft w:val="0"/>
              <w:marRight w:val="0"/>
              <w:marTop w:val="0"/>
              <w:marBottom w:val="0"/>
              <w:divBdr>
                <w:top w:val="none" w:sz="0" w:space="0" w:color="auto"/>
                <w:left w:val="none" w:sz="0" w:space="0" w:color="auto"/>
                <w:bottom w:val="none" w:sz="0" w:space="0" w:color="auto"/>
                <w:right w:val="none" w:sz="0" w:space="0" w:color="auto"/>
              </w:divBdr>
              <w:divsChild>
                <w:div w:id="1871719210">
                  <w:marLeft w:val="0"/>
                  <w:marRight w:val="0"/>
                  <w:marTop w:val="0"/>
                  <w:marBottom w:val="0"/>
                  <w:divBdr>
                    <w:top w:val="none" w:sz="0" w:space="0" w:color="auto"/>
                    <w:left w:val="none" w:sz="0" w:space="0" w:color="auto"/>
                    <w:bottom w:val="none" w:sz="0" w:space="0" w:color="auto"/>
                    <w:right w:val="none" w:sz="0" w:space="0" w:color="auto"/>
                  </w:divBdr>
                </w:div>
              </w:divsChild>
            </w:div>
            <w:div w:id="1987587857">
              <w:marLeft w:val="0"/>
              <w:marRight w:val="0"/>
              <w:marTop w:val="0"/>
              <w:marBottom w:val="0"/>
              <w:divBdr>
                <w:top w:val="none" w:sz="0" w:space="0" w:color="auto"/>
                <w:left w:val="none" w:sz="0" w:space="0" w:color="auto"/>
                <w:bottom w:val="none" w:sz="0" w:space="0" w:color="auto"/>
                <w:right w:val="none" w:sz="0" w:space="0" w:color="auto"/>
              </w:divBdr>
              <w:divsChild>
                <w:div w:id="600377888">
                  <w:marLeft w:val="0"/>
                  <w:marRight w:val="0"/>
                  <w:marTop w:val="0"/>
                  <w:marBottom w:val="0"/>
                  <w:divBdr>
                    <w:top w:val="none" w:sz="0" w:space="0" w:color="auto"/>
                    <w:left w:val="none" w:sz="0" w:space="0" w:color="auto"/>
                    <w:bottom w:val="none" w:sz="0" w:space="0" w:color="auto"/>
                    <w:right w:val="none" w:sz="0" w:space="0" w:color="auto"/>
                  </w:divBdr>
                </w:div>
              </w:divsChild>
            </w:div>
            <w:div w:id="1987737479">
              <w:marLeft w:val="0"/>
              <w:marRight w:val="0"/>
              <w:marTop w:val="300"/>
              <w:marBottom w:val="300"/>
              <w:divBdr>
                <w:top w:val="none" w:sz="0" w:space="0" w:color="auto"/>
                <w:left w:val="none" w:sz="0" w:space="0" w:color="auto"/>
                <w:bottom w:val="none" w:sz="0" w:space="0" w:color="auto"/>
                <w:right w:val="none" w:sz="0" w:space="0" w:color="auto"/>
              </w:divBdr>
            </w:div>
            <w:div w:id="1987859908">
              <w:marLeft w:val="0"/>
              <w:marRight w:val="0"/>
              <w:marTop w:val="300"/>
              <w:marBottom w:val="300"/>
              <w:divBdr>
                <w:top w:val="none" w:sz="0" w:space="0" w:color="auto"/>
                <w:left w:val="none" w:sz="0" w:space="0" w:color="auto"/>
                <w:bottom w:val="none" w:sz="0" w:space="0" w:color="auto"/>
                <w:right w:val="none" w:sz="0" w:space="0" w:color="auto"/>
              </w:divBdr>
            </w:div>
            <w:div w:id="1989507121">
              <w:marLeft w:val="0"/>
              <w:marRight w:val="0"/>
              <w:marTop w:val="0"/>
              <w:marBottom w:val="0"/>
              <w:divBdr>
                <w:top w:val="none" w:sz="0" w:space="0" w:color="auto"/>
                <w:left w:val="none" w:sz="0" w:space="0" w:color="auto"/>
                <w:bottom w:val="none" w:sz="0" w:space="0" w:color="auto"/>
                <w:right w:val="none" w:sz="0" w:space="0" w:color="auto"/>
              </w:divBdr>
              <w:divsChild>
                <w:div w:id="1273246036">
                  <w:marLeft w:val="0"/>
                  <w:marRight w:val="0"/>
                  <w:marTop w:val="0"/>
                  <w:marBottom w:val="0"/>
                  <w:divBdr>
                    <w:top w:val="none" w:sz="0" w:space="0" w:color="auto"/>
                    <w:left w:val="none" w:sz="0" w:space="0" w:color="auto"/>
                    <w:bottom w:val="none" w:sz="0" w:space="0" w:color="auto"/>
                    <w:right w:val="none" w:sz="0" w:space="0" w:color="auto"/>
                  </w:divBdr>
                </w:div>
              </w:divsChild>
            </w:div>
            <w:div w:id="1989554327">
              <w:marLeft w:val="0"/>
              <w:marRight w:val="0"/>
              <w:marTop w:val="0"/>
              <w:marBottom w:val="0"/>
              <w:divBdr>
                <w:top w:val="none" w:sz="0" w:space="0" w:color="auto"/>
                <w:left w:val="none" w:sz="0" w:space="0" w:color="auto"/>
                <w:bottom w:val="none" w:sz="0" w:space="0" w:color="auto"/>
                <w:right w:val="none" w:sz="0" w:space="0" w:color="auto"/>
              </w:divBdr>
              <w:divsChild>
                <w:div w:id="1879974727">
                  <w:marLeft w:val="0"/>
                  <w:marRight w:val="0"/>
                  <w:marTop w:val="0"/>
                  <w:marBottom w:val="0"/>
                  <w:divBdr>
                    <w:top w:val="none" w:sz="0" w:space="0" w:color="auto"/>
                    <w:left w:val="none" w:sz="0" w:space="0" w:color="auto"/>
                    <w:bottom w:val="none" w:sz="0" w:space="0" w:color="auto"/>
                    <w:right w:val="none" w:sz="0" w:space="0" w:color="auto"/>
                  </w:divBdr>
                </w:div>
              </w:divsChild>
            </w:div>
            <w:div w:id="1990867138">
              <w:marLeft w:val="0"/>
              <w:marRight w:val="0"/>
              <w:marTop w:val="0"/>
              <w:marBottom w:val="0"/>
              <w:divBdr>
                <w:top w:val="none" w:sz="0" w:space="0" w:color="auto"/>
                <w:left w:val="none" w:sz="0" w:space="0" w:color="auto"/>
                <w:bottom w:val="none" w:sz="0" w:space="0" w:color="auto"/>
                <w:right w:val="none" w:sz="0" w:space="0" w:color="auto"/>
              </w:divBdr>
              <w:divsChild>
                <w:div w:id="1284772838">
                  <w:marLeft w:val="0"/>
                  <w:marRight w:val="0"/>
                  <w:marTop w:val="0"/>
                  <w:marBottom w:val="0"/>
                  <w:divBdr>
                    <w:top w:val="none" w:sz="0" w:space="0" w:color="auto"/>
                    <w:left w:val="none" w:sz="0" w:space="0" w:color="auto"/>
                    <w:bottom w:val="none" w:sz="0" w:space="0" w:color="auto"/>
                    <w:right w:val="none" w:sz="0" w:space="0" w:color="auto"/>
                  </w:divBdr>
                </w:div>
              </w:divsChild>
            </w:div>
            <w:div w:id="1992707213">
              <w:marLeft w:val="0"/>
              <w:marRight w:val="0"/>
              <w:marTop w:val="300"/>
              <w:marBottom w:val="300"/>
              <w:divBdr>
                <w:top w:val="none" w:sz="0" w:space="0" w:color="auto"/>
                <w:left w:val="none" w:sz="0" w:space="0" w:color="auto"/>
                <w:bottom w:val="none" w:sz="0" w:space="0" w:color="auto"/>
                <w:right w:val="none" w:sz="0" w:space="0" w:color="auto"/>
              </w:divBdr>
            </w:div>
            <w:div w:id="1998679475">
              <w:marLeft w:val="0"/>
              <w:marRight w:val="0"/>
              <w:marTop w:val="0"/>
              <w:marBottom w:val="0"/>
              <w:divBdr>
                <w:top w:val="none" w:sz="0" w:space="0" w:color="auto"/>
                <w:left w:val="none" w:sz="0" w:space="0" w:color="auto"/>
                <w:bottom w:val="none" w:sz="0" w:space="0" w:color="auto"/>
                <w:right w:val="none" w:sz="0" w:space="0" w:color="auto"/>
              </w:divBdr>
              <w:divsChild>
                <w:div w:id="1269461093">
                  <w:marLeft w:val="0"/>
                  <w:marRight w:val="0"/>
                  <w:marTop w:val="0"/>
                  <w:marBottom w:val="0"/>
                  <w:divBdr>
                    <w:top w:val="none" w:sz="0" w:space="0" w:color="auto"/>
                    <w:left w:val="none" w:sz="0" w:space="0" w:color="auto"/>
                    <w:bottom w:val="none" w:sz="0" w:space="0" w:color="auto"/>
                    <w:right w:val="none" w:sz="0" w:space="0" w:color="auto"/>
                  </w:divBdr>
                </w:div>
              </w:divsChild>
            </w:div>
            <w:div w:id="1999190286">
              <w:marLeft w:val="0"/>
              <w:marRight w:val="0"/>
              <w:marTop w:val="0"/>
              <w:marBottom w:val="0"/>
              <w:divBdr>
                <w:top w:val="none" w:sz="0" w:space="0" w:color="auto"/>
                <w:left w:val="none" w:sz="0" w:space="0" w:color="auto"/>
                <w:bottom w:val="none" w:sz="0" w:space="0" w:color="auto"/>
                <w:right w:val="none" w:sz="0" w:space="0" w:color="auto"/>
              </w:divBdr>
              <w:divsChild>
                <w:div w:id="380517039">
                  <w:marLeft w:val="0"/>
                  <w:marRight w:val="0"/>
                  <w:marTop w:val="0"/>
                  <w:marBottom w:val="0"/>
                  <w:divBdr>
                    <w:top w:val="none" w:sz="0" w:space="0" w:color="auto"/>
                    <w:left w:val="none" w:sz="0" w:space="0" w:color="auto"/>
                    <w:bottom w:val="none" w:sz="0" w:space="0" w:color="auto"/>
                    <w:right w:val="none" w:sz="0" w:space="0" w:color="auto"/>
                  </w:divBdr>
                </w:div>
              </w:divsChild>
            </w:div>
            <w:div w:id="2000183699">
              <w:marLeft w:val="0"/>
              <w:marRight w:val="0"/>
              <w:marTop w:val="0"/>
              <w:marBottom w:val="0"/>
              <w:divBdr>
                <w:top w:val="none" w:sz="0" w:space="0" w:color="auto"/>
                <w:left w:val="none" w:sz="0" w:space="0" w:color="auto"/>
                <w:bottom w:val="none" w:sz="0" w:space="0" w:color="auto"/>
                <w:right w:val="none" w:sz="0" w:space="0" w:color="auto"/>
              </w:divBdr>
              <w:divsChild>
                <w:div w:id="596719126">
                  <w:marLeft w:val="0"/>
                  <w:marRight w:val="0"/>
                  <w:marTop w:val="0"/>
                  <w:marBottom w:val="0"/>
                  <w:divBdr>
                    <w:top w:val="none" w:sz="0" w:space="0" w:color="auto"/>
                    <w:left w:val="none" w:sz="0" w:space="0" w:color="auto"/>
                    <w:bottom w:val="none" w:sz="0" w:space="0" w:color="auto"/>
                    <w:right w:val="none" w:sz="0" w:space="0" w:color="auto"/>
                  </w:divBdr>
                </w:div>
              </w:divsChild>
            </w:div>
            <w:div w:id="2000571798">
              <w:marLeft w:val="0"/>
              <w:marRight w:val="0"/>
              <w:marTop w:val="0"/>
              <w:marBottom w:val="0"/>
              <w:divBdr>
                <w:top w:val="none" w:sz="0" w:space="0" w:color="auto"/>
                <w:left w:val="none" w:sz="0" w:space="0" w:color="auto"/>
                <w:bottom w:val="none" w:sz="0" w:space="0" w:color="auto"/>
                <w:right w:val="none" w:sz="0" w:space="0" w:color="auto"/>
              </w:divBdr>
              <w:divsChild>
                <w:div w:id="462163141">
                  <w:marLeft w:val="0"/>
                  <w:marRight w:val="0"/>
                  <w:marTop w:val="0"/>
                  <w:marBottom w:val="0"/>
                  <w:divBdr>
                    <w:top w:val="none" w:sz="0" w:space="0" w:color="auto"/>
                    <w:left w:val="none" w:sz="0" w:space="0" w:color="auto"/>
                    <w:bottom w:val="none" w:sz="0" w:space="0" w:color="auto"/>
                    <w:right w:val="none" w:sz="0" w:space="0" w:color="auto"/>
                  </w:divBdr>
                </w:div>
              </w:divsChild>
            </w:div>
            <w:div w:id="2001889546">
              <w:marLeft w:val="0"/>
              <w:marRight w:val="0"/>
              <w:marTop w:val="0"/>
              <w:marBottom w:val="0"/>
              <w:divBdr>
                <w:top w:val="none" w:sz="0" w:space="0" w:color="auto"/>
                <w:left w:val="none" w:sz="0" w:space="0" w:color="auto"/>
                <w:bottom w:val="none" w:sz="0" w:space="0" w:color="auto"/>
                <w:right w:val="none" w:sz="0" w:space="0" w:color="auto"/>
              </w:divBdr>
              <w:divsChild>
                <w:div w:id="1847212523">
                  <w:marLeft w:val="0"/>
                  <w:marRight w:val="0"/>
                  <w:marTop w:val="0"/>
                  <w:marBottom w:val="0"/>
                  <w:divBdr>
                    <w:top w:val="none" w:sz="0" w:space="0" w:color="auto"/>
                    <w:left w:val="none" w:sz="0" w:space="0" w:color="auto"/>
                    <w:bottom w:val="none" w:sz="0" w:space="0" w:color="auto"/>
                    <w:right w:val="none" w:sz="0" w:space="0" w:color="auto"/>
                  </w:divBdr>
                </w:div>
              </w:divsChild>
            </w:div>
            <w:div w:id="2002653467">
              <w:marLeft w:val="0"/>
              <w:marRight w:val="0"/>
              <w:marTop w:val="300"/>
              <w:marBottom w:val="300"/>
              <w:divBdr>
                <w:top w:val="none" w:sz="0" w:space="0" w:color="auto"/>
                <w:left w:val="none" w:sz="0" w:space="0" w:color="auto"/>
                <w:bottom w:val="none" w:sz="0" w:space="0" w:color="auto"/>
                <w:right w:val="none" w:sz="0" w:space="0" w:color="auto"/>
              </w:divBdr>
            </w:div>
            <w:div w:id="2005236323">
              <w:marLeft w:val="0"/>
              <w:marRight w:val="0"/>
              <w:marTop w:val="0"/>
              <w:marBottom w:val="0"/>
              <w:divBdr>
                <w:top w:val="none" w:sz="0" w:space="0" w:color="auto"/>
                <w:left w:val="none" w:sz="0" w:space="0" w:color="auto"/>
                <w:bottom w:val="none" w:sz="0" w:space="0" w:color="auto"/>
                <w:right w:val="none" w:sz="0" w:space="0" w:color="auto"/>
              </w:divBdr>
              <w:divsChild>
                <w:div w:id="301544822">
                  <w:marLeft w:val="0"/>
                  <w:marRight w:val="0"/>
                  <w:marTop w:val="0"/>
                  <w:marBottom w:val="0"/>
                  <w:divBdr>
                    <w:top w:val="none" w:sz="0" w:space="0" w:color="auto"/>
                    <w:left w:val="none" w:sz="0" w:space="0" w:color="auto"/>
                    <w:bottom w:val="none" w:sz="0" w:space="0" w:color="auto"/>
                    <w:right w:val="none" w:sz="0" w:space="0" w:color="auto"/>
                  </w:divBdr>
                </w:div>
              </w:divsChild>
            </w:div>
            <w:div w:id="2005283654">
              <w:marLeft w:val="0"/>
              <w:marRight w:val="0"/>
              <w:marTop w:val="300"/>
              <w:marBottom w:val="300"/>
              <w:divBdr>
                <w:top w:val="none" w:sz="0" w:space="0" w:color="auto"/>
                <w:left w:val="none" w:sz="0" w:space="0" w:color="auto"/>
                <w:bottom w:val="none" w:sz="0" w:space="0" w:color="auto"/>
                <w:right w:val="none" w:sz="0" w:space="0" w:color="auto"/>
              </w:divBdr>
            </w:div>
            <w:div w:id="2005814849">
              <w:marLeft w:val="0"/>
              <w:marRight w:val="0"/>
              <w:marTop w:val="0"/>
              <w:marBottom w:val="0"/>
              <w:divBdr>
                <w:top w:val="none" w:sz="0" w:space="0" w:color="auto"/>
                <w:left w:val="none" w:sz="0" w:space="0" w:color="auto"/>
                <w:bottom w:val="none" w:sz="0" w:space="0" w:color="auto"/>
                <w:right w:val="none" w:sz="0" w:space="0" w:color="auto"/>
              </w:divBdr>
              <w:divsChild>
                <w:div w:id="247233571">
                  <w:marLeft w:val="0"/>
                  <w:marRight w:val="0"/>
                  <w:marTop w:val="0"/>
                  <w:marBottom w:val="0"/>
                  <w:divBdr>
                    <w:top w:val="none" w:sz="0" w:space="0" w:color="auto"/>
                    <w:left w:val="none" w:sz="0" w:space="0" w:color="auto"/>
                    <w:bottom w:val="none" w:sz="0" w:space="0" w:color="auto"/>
                    <w:right w:val="none" w:sz="0" w:space="0" w:color="auto"/>
                  </w:divBdr>
                </w:div>
              </w:divsChild>
            </w:div>
            <w:div w:id="2008287026">
              <w:marLeft w:val="0"/>
              <w:marRight w:val="0"/>
              <w:marTop w:val="0"/>
              <w:marBottom w:val="0"/>
              <w:divBdr>
                <w:top w:val="none" w:sz="0" w:space="0" w:color="auto"/>
                <w:left w:val="none" w:sz="0" w:space="0" w:color="auto"/>
                <w:bottom w:val="none" w:sz="0" w:space="0" w:color="auto"/>
                <w:right w:val="none" w:sz="0" w:space="0" w:color="auto"/>
              </w:divBdr>
              <w:divsChild>
                <w:div w:id="868883694">
                  <w:marLeft w:val="0"/>
                  <w:marRight w:val="0"/>
                  <w:marTop w:val="0"/>
                  <w:marBottom w:val="0"/>
                  <w:divBdr>
                    <w:top w:val="none" w:sz="0" w:space="0" w:color="auto"/>
                    <w:left w:val="none" w:sz="0" w:space="0" w:color="auto"/>
                    <w:bottom w:val="none" w:sz="0" w:space="0" w:color="auto"/>
                    <w:right w:val="none" w:sz="0" w:space="0" w:color="auto"/>
                  </w:divBdr>
                </w:div>
              </w:divsChild>
            </w:div>
            <w:div w:id="2009408960">
              <w:marLeft w:val="0"/>
              <w:marRight w:val="0"/>
              <w:marTop w:val="300"/>
              <w:marBottom w:val="300"/>
              <w:divBdr>
                <w:top w:val="none" w:sz="0" w:space="0" w:color="auto"/>
                <w:left w:val="none" w:sz="0" w:space="0" w:color="auto"/>
                <w:bottom w:val="none" w:sz="0" w:space="0" w:color="auto"/>
                <w:right w:val="none" w:sz="0" w:space="0" w:color="auto"/>
              </w:divBdr>
            </w:div>
            <w:div w:id="2010332353">
              <w:marLeft w:val="0"/>
              <w:marRight w:val="0"/>
              <w:marTop w:val="0"/>
              <w:marBottom w:val="0"/>
              <w:divBdr>
                <w:top w:val="none" w:sz="0" w:space="0" w:color="auto"/>
                <w:left w:val="none" w:sz="0" w:space="0" w:color="auto"/>
                <w:bottom w:val="none" w:sz="0" w:space="0" w:color="auto"/>
                <w:right w:val="none" w:sz="0" w:space="0" w:color="auto"/>
              </w:divBdr>
              <w:divsChild>
                <w:div w:id="604776851">
                  <w:marLeft w:val="0"/>
                  <w:marRight w:val="0"/>
                  <w:marTop w:val="0"/>
                  <w:marBottom w:val="0"/>
                  <w:divBdr>
                    <w:top w:val="none" w:sz="0" w:space="0" w:color="auto"/>
                    <w:left w:val="none" w:sz="0" w:space="0" w:color="auto"/>
                    <w:bottom w:val="none" w:sz="0" w:space="0" w:color="auto"/>
                    <w:right w:val="none" w:sz="0" w:space="0" w:color="auto"/>
                  </w:divBdr>
                </w:div>
              </w:divsChild>
            </w:div>
            <w:div w:id="2012483047">
              <w:marLeft w:val="0"/>
              <w:marRight w:val="0"/>
              <w:marTop w:val="0"/>
              <w:marBottom w:val="0"/>
              <w:divBdr>
                <w:top w:val="none" w:sz="0" w:space="0" w:color="auto"/>
                <w:left w:val="none" w:sz="0" w:space="0" w:color="auto"/>
                <w:bottom w:val="none" w:sz="0" w:space="0" w:color="auto"/>
                <w:right w:val="none" w:sz="0" w:space="0" w:color="auto"/>
              </w:divBdr>
              <w:divsChild>
                <w:div w:id="2053840871">
                  <w:marLeft w:val="0"/>
                  <w:marRight w:val="0"/>
                  <w:marTop w:val="0"/>
                  <w:marBottom w:val="0"/>
                  <w:divBdr>
                    <w:top w:val="none" w:sz="0" w:space="0" w:color="auto"/>
                    <w:left w:val="none" w:sz="0" w:space="0" w:color="auto"/>
                    <w:bottom w:val="none" w:sz="0" w:space="0" w:color="auto"/>
                    <w:right w:val="none" w:sz="0" w:space="0" w:color="auto"/>
                  </w:divBdr>
                </w:div>
              </w:divsChild>
            </w:div>
            <w:div w:id="2016378740">
              <w:marLeft w:val="0"/>
              <w:marRight w:val="0"/>
              <w:marTop w:val="0"/>
              <w:marBottom w:val="0"/>
              <w:divBdr>
                <w:top w:val="none" w:sz="0" w:space="0" w:color="auto"/>
                <w:left w:val="none" w:sz="0" w:space="0" w:color="auto"/>
                <w:bottom w:val="none" w:sz="0" w:space="0" w:color="auto"/>
                <w:right w:val="none" w:sz="0" w:space="0" w:color="auto"/>
              </w:divBdr>
              <w:divsChild>
                <w:div w:id="1026758527">
                  <w:marLeft w:val="0"/>
                  <w:marRight w:val="0"/>
                  <w:marTop w:val="0"/>
                  <w:marBottom w:val="0"/>
                  <w:divBdr>
                    <w:top w:val="none" w:sz="0" w:space="0" w:color="auto"/>
                    <w:left w:val="none" w:sz="0" w:space="0" w:color="auto"/>
                    <w:bottom w:val="none" w:sz="0" w:space="0" w:color="auto"/>
                    <w:right w:val="none" w:sz="0" w:space="0" w:color="auto"/>
                  </w:divBdr>
                </w:div>
              </w:divsChild>
            </w:div>
            <w:div w:id="2016880015">
              <w:marLeft w:val="0"/>
              <w:marRight w:val="0"/>
              <w:marTop w:val="0"/>
              <w:marBottom w:val="0"/>
              <w:divBdr>
                <w:top w:val="none" w:sz="0" w:space="0" w:color="auto"/>
                <w:left w:val="none" w:sz="0" w:space="0" w:color="auto"/>
                <w:bottom w:val="none" w:sz="0" w:space="0" w:color="auto"/>
                <w:right w:val="none" w:sz="0" w:space="0" w:color="auto"/>
              </w:divBdr>
              <w:divsChild>
                <w:div w:id="1536578889">
                  <w:marLeft w:val="0"/>
                  <w:marRight w:val="0"/>
                  <w:marTop w:val="0"/>
                  <w:marBottom w:val="0"/>
                  <w:divBdr>
                    <w:top w:val="none" w:sz="0" w:space="0" w:color="auto"/>
                    <w:left w:val="none" w:sz="0" w:space="0" w:color="auto"/>
                    <w:bottom w:val="none" w:sz="0" w:space="0" w:color="auto"/>
                    <w:right w:val="none" w:sz="0" w:space="0" w:color="auto"/>
                  </w:divBdr>
                </w:div>
              </w:divsChild>
            </w:div>
            <w:div w:id="2017267977">
              <w:marLeft w:val="0"/>
              <w:marRight w:val="0"/>
              <w:marTop w:val="0"/>
              <w:marBottom w:val="0"/>
              <w:divBdr>
                <w:top w:val="none" w:sz="0" w:space="0" w:color="auto"/>
                <w:left w:val="none" w:sz="0" w:space="0" w:color="auto"/>
                <w:bottom w:val="none" w:sz="0" w:space="0" w:color="auto"/>
                <w:right w:val="none" w:sz="0" w:space="0" w:color="auto"/>
              </w:divBdr>
              <w:divsChild>
                <w:div w:id="2086412920">
                  <w:marLeft w:val="0"/>
                  <w:marRight w:val="0"/>
                  <w:marTop w:val="0"/>
                  <w:marBottom w:val="0"/>
                  <w:divBdr>
                    <w:top w:val="none" w:sz="0" w:space="0" w:color="auto"/>
                    <w:left w:val="none" w:sz="0" w:space="0" w:color="auto"/>
                    <w:bottom w:val="none" w:sz="0" w:space="0" w:color="auto"/>
                    <w:right w:val="none" w:sz="0" w:space="0" w:color="auto"/>
                  </w:divBdr>
                </w:div>
              </w:divsChild>
            </w:div>
            <w:div w:id="2017801031">
              <w:marLeft w:val="0"/>
              <w:marRight w:val="0"/>
              <w:marTop w:val="0"/>
              <w:marBottom w:val="0"/>
              <w:divBdr>
                <w:top w:val="none" w:sz="0" w:space="0" w:color="auto"/>
                <w:left w:val="none" w:sz="0" w:space="0" w:color="auto"/>
                <w:bottom w:val="none" w:sz="0" w:space="0" w:color="auto"/>
                <w:right w:val="none" w:sz="0" w:space="0" w:color="auto"/>
              </w:divBdr>
              <w:divsChild>
                <w:div w:id="1684090356">
                  <w:marLeft w:val="0"/>
                  <w:marRight w:val="0"/>
                  <w:marTop w:val="0"/>
                  <w:marBottom w:val="0"/>
                  <w:divBdr>
                    <w:top w:val="none" w:sz="0" w:space="0" w:color="auto"/>
                    <w:left w:val="none" w:sz="0" w:space="0" w:color="auto"/>
                    <w:bottom w:val="none" w:sz="0" w:space="0" w:color="auto"/>
                    <w:right w:val="none" w:sz="0" w:space="0" w:color="auto"/>
                  </w:divBdr>
                </w:div>
              </w:divsChild>
            </w:div>
            <w:div w:id="2022009019">
              <w:marLeft w:val="0"/>
              <w:marRight w:val="0"/>
              <w:marTop w:val="0"/>
              <w:marBottom w:val="0"/>
              <w:divBdr>
                <w:top w:val="none" w:sz="0" w:space="0" w:color="auto"/>
                <w:left w:val="none" w:sz="0" w:space="0" w:color="auto"/>
                <w:bottom w:val="none" w:sz="0" w:space="0" w:color="auto"/>
                <w:right w:val="none" w:sz="0" w:space="0" w:color="auto"/>
              </w:divBdr>
              <w:divsChild>
                <w:div w:id="538862445">
                  <w:marLeft w:val="0"/>
                  <w:marRight w:val="0"/>
                  <w:marTop w:val="0"/>
                  <w:marBottom w:val="0"/>
                  <w:divBdr>
                    <w:top w:val="none" w:sz="0" w:space="0" w:color="auto"/>
                    <w:left w:val="none" w:sz="0" w:space="0" w:color="auto"/>
                    <w:bottom w:val="none" w:sz="0" w:space="0" w:color="auto"/>
                    <w:right w:val="none" w:sz="0" w:space="0" w:color="auto"/>
                  </w:divBdr>
                </w:div>
              </w:divsChild>
            </w:div>
            <w:div w:id="2022080080">
              <w:marLeft w:val="0"/>
              <w:marRight w:val="0"/>
              <w:marTop w:val="0"/>
              <w:marBottom w:val="0"/>
              <w:divBdr>
                <w:top w:val="none" w:sz="0" w:space="0" w:color="auto"/>
                <w:left w:val="none" w:sz="0" w:space="0" w:color="auto"/>
                <w:bottom w:val="none" w:sz="0" w:space="0" w:color="auto"/>
                <w:right w:val="none" w:sz="0" w:space="0" w:color="auto"/>
              </w:divBdr>
              <w:divsChild>
                <w:div w:id="851191033">
                  <w:marLeft w:val="0"/>
                  <w:marRight w:val="0"/>
                  <w:marTop w:val="0"/>
                  <w:marBottom w:val="0"/>
                  <w:divBdr>
                    <w:top w:val="none" w:sz="0" w:space="0" w:color="auto"/>
                    <w:left w:val="none" w:sz="0" w:space="0" w:color="auto"/>
                    <w:bottom w:val="none" w:sz="0" w:space="0" w:color="auto"/>
                    <w:right w:val="none" w:sz="0" w:space="0" w:color="auto"/>
                  </w:divBdr>
                </w:div>
              </w:divsChild>
            </w:div>
            <w:div w:id="2022853260">
              <w:marLeft w:val="0"/>
              <w:marRight w:val="0"/>
              <w:marTop w:val="0"/>
              <w:marBottom w:val="0"/>
              <w:divBdr>
                <w:top w:val="none" w:sz="0" w:space="0" w:color="auto"/>
                <w:left w:val="none" w:sz="0" w:space="0" w:color="auto"/>
                <w:bottom w:val="none" w:sz="0" w:space="0" w:color="auto"/>
                <w:right w:val="none" w:sz="0" w:space="0" w:color="auto"/>
              </w:divBdr>
              <w:divsChild>
                <w:div w:id="1686320468">
                  <w:marLeft w:val="0"/>
                  <w:marRight w:val="0"/>
                  <w:marTop w:val="0"/>
                  <w:marBottom w:val="0"/>
                  <w:divBdr>
                    <w:top w:val="none" w:sz="0" w:space="0" w:color="auto"/>
                    <w:left w:val="none" w:sz="0" w:space="0" w:color="auto"/>
                    <w:bottom w:val="none" w:sz="0" w:space="0" w:color="auto"/>
                    <w:right w:val="none" w:sz="0" w:space="0" w:color="auto"/>
                  </w:divBdr>
                </w:div>
              </w:divsChild>
            </w:div>
            <w:div w:id="2023583967">
              <w:marLeft w:val="0"/>
              <w:marRight w:val="0"/>
              <w:marTop w:val="0"/>
              <w:marBottom w:val="0"/>
              <w:divBdr>
                <w:top w:val="none" w:sz="0" w:space="0" w:color="auto"/>
                <w:left w:val="none" w:sz="0" w:space="0" w:color="auto"/>
                <w:bottom w:val="none" w:sz="0" w:space="0" w:color="auto"/>
                <w:right w:val="none" w:sz="0" w:space="0" w:color="auto"/>
              </w:divBdr>
              <w:divsChild>
                <w:div w:id="1007368576">
                  <w:marLeft w:val="0"/>
                  <w:marRight w:val="0"/>
                  <w:marTop w:val="0"/>
                  <w:marBottom w:val="0"/>
                  <w:divBdr>
                    <w:top w:val="none" w:sz="0" w:space="0" w:color="auto"/>
                    <w:left w:val="none" w:sz="0" w:space="0" w:color="auto"/>
                    <w:bottom w:val="none" w:sz="0" w:space="0" w:color="auto"/>
                    <w:right w:val="none" w:sz="0" w:space="0" w:color="auto"/>
                  </w:divBdr>
                </w:div>
              </w:divsChild>
            </w:div>
            <w:div w:id="2023630944">
              <w:marLeft w:val="0"/>
              <w:marRight w:val="0"/>
              <w:marTop w:val="0"/>
              <w:marBottom w:val="0"/>
              <w:divBdr>
                <w:top w:val="none" w:sz="0" w:space="0" w:color="auto"/>
                <w:left w:val="none" w:sz="0" w:space="0" w:color="auto"/>
                <w:bottom w:val="none" w:sz="0" w:space="0" w:color="auto"/>
                <w:right w:val="none" w:sz="0" w:space="0" w:color="auto"/>
              </w:divBdr>
              <w:divsChild>
                <w:div w:id="1265385243">
                  <w:marLeft w:val="0"/>
                  <w:marRight w:val="0"/>
                  <w:marTop w:val="0"/>
                  <w:marBottom w:val="0"/>
                  <w:divBdr>
                    <w:top w:val="none" w:sz="0" w:space="0" w:color="auto"/>
                    <w:left w:val="none" w:sz="0" w:space="0" w:color="auto"/>
                    <w:bottom w:val="none" w:sz="0" w:space="0" w:color="auto"/>
                    <w:right w:val="none" w:sz="0" w:space="0" w:color="auto"/>
                  </w:divBdr>
                </w:div>
              </w:divsChild>
            </w:div>
            <w:div w:id="2023966105">
              <w:marLeft w:val="0"/>
              <w:marRight w:val="0"/>
              <w:marTop w:val="0"/>
              <w:marBottom w:val="0"/>
              <w:divBdr>
                <w:top w:val="none" w:sz="0" w:space="0" w:color="auto"/>
                <w:left w:val="none" w:sz="0" w:space="0" w:color="auto"/>
                <w:bottom w:val="none" w:sz="0" w:space="0" w:color="auto"/>
                <w:right w:val="none" w:sz="0" w:space="0" w:color="auto"/>
              </w:divBdr>
              <w:divsChild>
                <w:div w:id="776951697">
                  <w:marLeft w:val="0"/>
                  <w:marRight w:val="0"/>
                  <w:marTop w:val="0"/>
                  <w:marBottom w:val="0"/>
                  <w:divBdr>
                    <w:top w:val="none" w:sz="0" w:space="0" w:color="auto"/>
                    <w:left w:val="none" w:sz="0" w:space="0" w:color="auto"/>
                    <w:bottom w:val="none" w:sz="0" w:space="0" w:color="auto"/>
                    <w:right w:val="none" w:sz="0" w:space="0" w:color="auto"/>
                  </w:divBdr>
                </w:div>
              </w:divsChild>
            </w:div>
            <w:div w:id="2024352478">
              <w:marLeft w:val="0"/>
              <w:marRight w:val="0"/>
              <w:marTop w:val="300"/>
              <w:marBottom w:val="300"/>
              <w:divBdr>
                <w:top w:val="none" w:sz="0" w:space="0" w:color="auto"/>
                <w:left w:val="none" w:sz="0" w:space="0" w:color="auto"/>
                <w:bottom w:val="none" w:sz="0" w:space="0" w:color="auto"/>
                <w:right w:val="none" w:sz="0" w:space="0" w:color="auto"/>
              </w:divBdr>
            </w:div>
            <w:div w:id="2024358960">
              <w:marLeft w:val="0"/>
              <w:marRight w:val="0"/>
              <w:marTop w:val="300"/>
              <w:marBottom w:val="300"/>
              <w:divBdr>
                <w:top w:val="none" w:sz="0" w:space="0" w:color="auto"/>
                <w:left w:val="none" w:sz="0" w:space="0" w:color="auto"/>
                <w:bottom w:val="none" w:sz="0" w:space="0" w:color="auto"/>
                <w:right w:val="none" w:sz="0" w:space="0" w:color="auto"/>
              </w:divBdr>
            </w:div>
            <w:div w:id="2024936807">
              <w:marLeft w:val="0"/>
              <w:marRight w:val="0"/>
              <w:marTop w:val="0"/>
              <w:marBottom w:val="0"/>
              <w:divBdr>
                <w:top w:val="none" w:sz="0" w:space="0" w:color="auto"/>
                <w:left w:val="none" w:sz="0" w:space="0" w:color="auto"/>
                <w:bottom w:val="none" w:sz="0" w:space="0" w:color="auto"/>
                <w:right w:val="none" w:sz="0" w:space="0" w:color="auto"/>
              </w:divBdr>
              <w:divsChild>
                <w:div w:id="1219627402">
                  <w:marLeft w:val="0"/>
                  <w:marRight w:val="0"/>
                  <w:marTop w:val="0"/>
                  <w:marBottom w:val="0"/>
                  <w:divBdr>
                    <w:top w:val="none" w:sz="0" w:space="0" w:color="auto"/>
                    <w:left w:val="none" w:sz="0" w:space="0" w:color="auto"/>
                    <w:bottom w:val="none" w:sz="0" w:space="0" w:color="auto"/>
                    <w:right w:val="none" w:sz="0" w:space="0" w:color="auto"/>
                  </w:divBdr>
                </w:div>
              </w:divsChild>
            </w:div>
            <w:div w:id="2025790049">
              <w:marLeft w:val="0"/>
              <w:marRight w:val="0"/>
              <w:marTop w:val="300"/>
              <w:marBottom w:val="300"/>
              <w:divBdr>
                <w:top w:val="none" w:sz="0" w:space="0" w:color="auto"/>
                <w:left w:val="none" w:sz="0" w:space="0" w:color="auto"/>
                <w:bottom w:val="none" w:sz="0" w:space="0" w:color="auto"/>
                <w:right w:val="none" w:sz="0" w:space="0" w:color="auto"/>
              </w:divBdr>
            </w:div>
            <w:div w:id="2029060991">
              <w:marLeft w:val="0"/>
              <w:marRight w:val="0"/>
              <w:marTop w:val="0"/>
              <w:marBottom w:val="0"/>
              <w:divBdr>
                <w:top w:val="none" w:sz="0" w:space="0" w:color="auto"/>
                <w:left w:val="none" w:sz="0" w:space="0" w:color="auto"/>
                <w:bottom w:val="none" w:sz="0" w:space="0" w:color="auto"/>
                <w:right w:val="none" w:sz="0" w:space="0" w:color="auto"/>
              </w:divBdr>
              <w:divsChild>
                <w:div w:id="1705062083">
                  <w:marLeft w:val="0"/>
                  <w:marRight w:val="0"/>
                  <w:marTop w:val="0"/>
                  <w:marBottom w:val="0"/>
                  <w:divBdr>
                    <w:top w:val="none" w:sz="0" w:space="0" w:color="auto"/>
                    <w:left w:val="none" w:sz="0" w:space="0" w:color="auto"/>
                    <w:bottom w:val="none" w:sz="0" w:space="0" w:color="auto"/>
                    <w:right w:val="none" w:sz="0" w:space="0" w:color="auto"/>
                  </w:divBdr>
                </w:div>
              </w:divsChild>
            </w:div>
            <w:div w:id="2029866965">
              <w:marLeft w:val="0"/>
              <w:marRight w:val="0"/>
              <w:marTop w:val="0"/>
              <w:marBottom w:val="0"/>
              <w:divBdr>
                <w:top w:val="none" w:sz="0" w:space="0" w:color="auto"/>
                <w:left w:val="none" w:sz="0" w:space="0" w:color="auto"/>
                <w:bottom w:val="none" w:sz="0" w:space="0" w:color="auto"/>
                <w:right w:val="none" w:sz="0" w:space="0" w:color="auto"/>
              </w:divBdr>
              <w:divsChild>
                <w:div w:id="1795560025">
                  <w:marLeft w:val="0"/>
                  <w:marRight w:val="0"/>
                  <w:marTop w:val="0"/>
                  <w:marBottom w:val="0"/>
                  <w:divBdr>
                    <w:top w:val="none" w:sz="0" w:space="0" w:color="auto"/>
                    <w:left w:val="none" w:sz="0" w:space="0" w:color="auto"/>
                    <w:bottom w:val="none" w:sz="0" w:space="0" w:color="auto"/>
                    <w:right w:val="none" w:sz="0" w:space="0" w:color="auto"/>
                  </w:divBdr>
                </w:div>
              </w:divsChild>
            </w:div>
            <w:div w:id="2030132187">
              <w:marLeft w:val="0"/>
              <w:marRight w:val="0"/>
              <w:marTop w:val="300"/>
              <w:marBottom w:val="300"/>
              <w:divBdr>
                <w:top w:val="none" w:sz="0" w:space="0" w:color="auto"/>
                <w:left w:val="none" w:sz="0" w:space="0" w:color="auto"/>
                <w:bottom w:val="none" w:sz="0" w:space="0" w:color="auto"/>
                <w:right w:val="none" w:sz="0" w:space="0" w:color="auto"/>
              </w:divBdr>
            </w:div>
            <w:div w:id="2031487595">
              <w:marLeft w:val="0"/>
              <w:marRight w:val="0"/>
              <w:marTop w:val="300"/>
              <w:marBottom w:val="300"/>
              <w:divBdr>
                <w:top w:val="none" w:sz="0" w:space="0" w:color="auto"/>
                <w:left w:val="none" w:sz="0" w:space="0" w:color="auto"/>
                <w:bottom w:val="none" w:sz="0" w:space="0" w:color="auto"/>
                <w:right w:val="none" w:sz="0" w:space="0" w:color="auto"/>
              </w:divBdr>
            </w:div>
            <w:div w:id="2032030400">
              <w:marLeft w:val="0"/>
              <w:marRight w:val="0"/>
              <w:marTop w:val="0"/>
              <w:marBottom w:val="0"/>
              <w:divBdr>
                <w:top w:val="none" w:sz="0" w:space="0" w:color="auto"/>
                <w:left w:val="none" w:sz="0" w:space="0" w:color="auto"/>
                <w:bottom w:val="none" w:sz="0" w:space="0" w:color="auto"/>
                <w:right w:val="none" w:sz="0" w:space="0" w:color="auto"/>
              </w:divBdr>
              <w:divsChild>
                <w:div w:id="609317035">
                  <w:marLeft w:val="0"/>
                  <w:marRight w:val="0"/>
                  <w:marTop w:val="0"/>
                  <w:marBottom w:val="0"/>
                  <w:divBdr>
                    <w:top w:val="none" w:sz="0" w:space="0" w:color="auto"/>
                    <w:left w:val="none" w:sz="0" w:space="0" w:color="auto"/>
                    <w:bottom w:val="none" w:sz="0" w:space="0" w:color="auto"/>
                    <w:right w:val="none" w:sz="0" w:space="0" w:color="auto"/>
                  </w:divBdr>
                </w:div>
              </w:divsChild>
            </w:div>
            <w:div w:id="2032414736">
              <w:marLeft w:val="0"/>
              <w:marRight w:val="0"/>
              <w:marTop w:val="0"/>
              <w:marBottom w:val="0"/>
              <w:divBdr>
                <w:top w:val="none" w:sz="0" w:space="0" w:color="auto"/>
                <w:left w:val="none" w:sz="0" w:space="0" w:color="auto"/>
                <w:bottom w:val="none" w:sz="0" w:space="0" w:color="auto"/>
                <w:right w:val="none" w:sz="0" w:space="0" w:color="auto"/>
              </w:divBdr>
              <w:divsChild>
                <w:div w:id="2000310291">
                  <w:marLeft w:val="0"/>
                  <w:marRight w:val="0"/>
                  <w:marTop w:val="0"/>
                  <w:marBottom w:val="0"/>
                  <w:divBdr>
                    <w:top w:val="none" w:sz="0" w:space="0" w:color="auto"/>
                    <w:left w:val="none" w:sz="0" w:space="0" w:color="auto"/>
                    <w:bottom w:val="none" w:sz="0" w:space="0" w:color="auto"/>
                    <w:right w:val="none" w:sz="0" w:space="0" w:color="auto"/>
                  </w:divBdr>
                </w:div>
              </w:divsChild>
            </w:div>
            <w:div w:id="2033451775">
              <w:marLeft w:val="0"/>
              <w:marRight w:val="0"/>
              <w:marTop w:val="0"/>
              <w:marBottom w:val="0"/>
              <w:divBdr>
                <w:top w:val="none" w:sz="0" w:space="0" w:color="auto"/>
                <w:left w:val="none" w:sz="0" w:space="0" w:color="auto"/>
                <w:bottom w:val="none" w:sz="0" w:space="0" w:color="auto"/>
                <w:right w:val="none" w:sz="0" w:space="0" w:color="auto"/>
              </w:divBdr>
              <w:divsChild>
                <w:div w:id="100490259">
                  <w:marLeft w:val="0"/>
                  <w:marRight w:val="0"/>
                  <w:marTop w:val="0"/>
                  <w:marBottom w:val="0"/>
                  <w:divBdr>
                    <w:top w:val="none" w:sz="0" w:space="0" w:color="auto"/>
                    <w:left w:val="none" w:sz="0" w:space="0" w:color="auto"/>
                    <w:bottom w:val="none" w:sz="0" w:space="0" w:color="auto"/>
                    <w:right w:val="none" w:sz="0" w:space="0" w:color="auto"/>
                  </w:divBdr>
                </w:div>
              </w:divsChild>
            </w:div>
            <w:div w:id="2033996774">
              <w:marLeft w:val="0"/>
              <w:marRight w:val="0"/>
              <w:marTop w:val="0"/>
              <w:marBottom w:val="0"/>
              <w:divBdr>
                <w:top w:val="none" w:sz="0" w:space="0" w:color="auto"/>
                <w:left w:val="none" w:sz="0" w:space="0" w:color="auto"/>
                <w:bottom w:val="none" w:sz="0" w:space="0" w:color="auto"/>
                <w:right w:val="none" w:sz="0" w:space="0" w:color="auto"/>
              </w:divBdr>
              <w:divsChild>
                <w:div w:id="1541044726">
                  <w:marLeft w:val="0"/>
                  <w:marRight w:val="0"/>
                  <w:marTop w:val="0"/>
                  <w:marBottom w:val="0"/>
                  <w:divBdr>
                    <w:top w:val="none" w:sz="0" w:space="0" w:color="auto"/>
                    <w:left w:val="none" w:sz="0" w:space="0" w:color="auto"/>
                    <w:bottom w:val="none" w:sz="0" w:space="0" w:color="auto"/>
                    <w:right w:val="none" w:sz="0" w:space="0" w:color="auto"/>
                  </w:divBdr>
                </w:div>
              </w:divsChild>
            </w:div>
            <w:div w:id="2033996949">
              <w:marLeft w:val="0"/>
              <w:marRight w:val="0"/>
              <w:marTop w:val="300"/>
              <w:marBottom w:val="300"/>
              <w:divBdr>
                <w:top w:val="none" w:sz="0" w:space="0" w:color="auto"/>
                <w:left w:val="none" w:sz="0" w:space="0" w:color="auto"/>
                <w:bottom w:val="none" w:sz="0" w:space="0" w:color="auto"/>
                <w:right w:val="none" w:sz="0" w:space="0" w:color="auto"/>
              </w:divBdr>
            </w:div>
            <w:div w:id="2034648397">
              <w:marLeft w:val="0"/>
              <w:marRight w:val="0"/>
              <w:marTop w:val="0"/>
              <w:marBottom w:val="0"/>
              <w:divBdr>
                <w:top w:val="none" w:sz="0" w:space="0" w:color="auto"/>
                <w:left w:val="none" w:sz="0" w:space="0" w:color="auto"/>
                <w:bottom w:val="none" w:sz="0" w:space="0" w:color="auto"/>
                <w:right w:val="none" w:sz="0" w:space="0" w:color="auto"/>
              </w:divBdr>
              <w:divsChild>
                <w:div w:id="295180890">
                  <w:marLeft w:val="0"/>
                  <w:marRight w:val="0"/>
                  <w:marTop w:val="0"/>
                  <w:marBottom w:val="0"/>
                  <w:divBdr>
                    <w:top w:val="none" w:sz="0" w:space="0" w:color="auto"/>
                    <w:left w:val="none" w:sz="0" w:space="0" w:color="auto"/>
                    <w:bottom w:val="none" w:sz="0" w:space="0" w:color="auto"/>
                    <w:right w:val="none" w:sz="0" w:space="0" w:color="auto"/>
                  </w:divBdr>
                </w:div>
              </w:divsChild>
            </w:div>
            <w:div w:id="2035184778">
              <w:marLeft w:val="0"/>
              <w:marRight w:val="0"/>
              <w:marTop w:val="0"/>
              <w:marBottom w:val="0"/>
              <w:divBdr>
                <w:top w:val="none" w:sz="0" w:space="0" w:color="auto"/>
                <w:left w:val="none" w:sz="0" w:space="0" w:color="auto"/>
                <w:bottom w:val="none" w:sz="0" w:space="0" w:color="auto"/>
                <w:right w:val="none" w:sz="0" w:space="0" w:color="auto"/>
              </w:divBdr>
              <w:divsChild>
                <w:div w:id="348915635">
                  <w:marLeft w:val="0"/>
                  <w:marRight w:val="0"/>
                  <w:marTop w:val="0"/>
                  <w:marBottom w:val="0"/>
                  <w:divBdr>
                    <w:top w:val="none" w:sz="0" w:space="0" w:color="auto"/>
                    <w:left w:val="none" w:sz="0" w:space="0" w:color="auto"/>
                    <w:bottom w:val="none" w:sz="0" w:space="0" w:color="auto"/>
                    <w:right w:val="none" w:sz="0" w:space="0" w:color="auto"/>
                  </w:divBdr>
                </w:div>
              </w:divsChild>
            </w:div>
            <w:div w:id="2035420861">
              <w:marLeft w:val="0"/>
              <w:marRight w:val="0"/>
              <w:marTop w:val="0"/>
              <w:marBottom w:val="0"/>
              <w:divBdr>
                <w:top w:val="none" w:sz="0" w:space="0" w:color="auto"/>
                <w:left w:val="none" w:sz="0" w:space="0" w:color="auto"/>
                <w:bottom w:val="none" w:sz="0" w:space="0" w:color="auto"/>
                <w:right w:val="none" w:sz="0" w:space="0" w:color="auto"/>
              </w:divBdr>
              <w:divsChild>
                <w:div w:id="1332875792">
                  <w:marLeft w:val="0"/>
                  <w:marRight w:val="0"/>
                  <w:marTop w:val="0"/>
                  <w:marBottom w:val="0"/>
                  <w:divBdr>
                    <w:top w:val="none" w:sz="0" w:space="0" w:color="auto"/>
                    <w:left w:val="none" w:sz="0" w:space="0" w:color="auto"/>
                    <w:bottom w:val="none" w:sz="0" w:space="0" w:color="auto"/>
                    <w:right w:val="none" w:sz="0" w:space="0" w:color="auto"/>
                  </w:divBdr>
                </w:div>
              </w:divsChild>
            </w:div>
            <w:div w:id="2036151716">
              <w:marLeft w:val="0"/>
              <w:marRight w:val="0"/>
              <w:marTop w:val="0"/>
              <w:marBottom w:val="0"/>
              <w:divBdr>
                <w:top w:val="none" w:sz="0" w:space="0" w:color="auto"/>
                <w:left w:val="none" w:sz="0" w:space="0" w:color="auto"/>
                <w:bottom w:val="none" w:sz="0" w:space="0" w:color="auto"/>
                <w:right w:val="none" w:sz="0" w:space="0" w:color="auto"/>
              </w:divBdr>
              <w:divsChild>
                <w:div w:id="2027561379">
                  <w:marLeft w:val="0"/>
                  <w:marRight w:val="0"/>
                  <w:marTop w:val="0"/>
                  <w:marBottom w:val="0"/>
                  <w:divBdr>
                    <w:top w:val="none" w:sz="0" w:space="0" w:color="auto"/>
                    <w:left w:val="none" w:sz="0" w:space="0" w:color="auto"/>
                    <w:bottom w:val="none" w:sz="0" w:space="0" w:color="auto"/>
                    <w:right w:val="none" w:sz="0" w:space="0" w:color="auto"/>
                  </w:divBdr>
                </w:div>
              </w:divsChild>
            </w:div>
            <w:div w:id="2036273714">
              <w:marLeft w:val="0"/>
              <w:marRight w:val="0"/>
              <w:marTop w:val="0"/>
              <w:marBottom w:val="0"/>
              <w:divBdr>
                <w:top w:val="none" w:sz="0" w:space="0" w:color="auto"/>
                <w:left w:val="none" w:sz="0" w:space="0" w:color="auto"/>
                <w:bottom w:val="none" w:sz="0" w:space="0" w:color="auto"/>
                <w:right w:val="none" w:sz="0" w:space="0" w:color="auto"/>
              </w:divBdr>
              <w:divsChild>
                <w:div w:id="1290672570">
                  <w:marLeft w:val="0"/>
                  <w:marRight w:val="0"/>
                  <w:marTop w:val="0"/>
                  <w:marBottom w:val="0"/>
                  <w:divBdr>
                    <w:top w:val="none" w:sz="0" w:space="0" w:color="auto"/>
                    <w:left w:val="none" w:sz="0" w:space="0" w:color="auto"/>
                    <w:bottom w:val="none" w:sz="0" w:space="0" w:color="auto"/>
                    <w:right w:val="none" w:sz="0" w:space="0" w:color="auto"/>
                  </w:divBdr>
                </w:div>
              </w:divsChild>
            </w:div>
            <w:div w:id="2039506130">
              <w:marLeft w:val="0"/>
              <w:marRight w:val="0"/>
              <w:marTop w:val="300"/>
              <w:marBottom w:val="300"/>
              <w:divBdr>
                <w:top w:val="none" w:sz="0" w:space="0" w:color="auto"/>
                <w:left w:val="none" w:sz="0" w:space="0" w:color="auto"/>
                <w:bottom w:val="none" w:sz="0" w:space="0" w:color="auto"/>
                <w:right w:val="none" w:sz="0" w:space="0" w:color="auto"/>
              </w:divBdr>
            </w:div>
            <w:div w:id="2040087391">
              <w:marLeft w:val="0"/>
              <w:marRight w:val="0"/>
              <w:marTop w:val="0"/>
              <w:marBottom w:val="0"/>
              <w:divBdr>
                <w:top w:val="none" w:sz="0" w:space="0" w:color="auto"/>
                <w:left w:val="none" w:sz="0" w:space="0" w:color="auto"/>
                <w:bottom w:val="none" w:sz="0" w:space="0" w:color="auto"/>
                <w:right w:val="none" w:sz="0" w:space="0" w:color="auto"/>
              </w:divBdr>
              <w:divsChild>
                <w:div w:id="743379318">
                  <w:marLeft w:val="0"/>
                  <w:marRight w:val="0"/>
                  <w:marTop w:val="0"/>
                  <w:marBottom w:val="0"/>
                  <w:divBdr>
                    <w:top w:val="none" w:sz="0" w:space="0" w:color="auto"/>
                    <w:left w:val="none" w:sz="0" w:space="0" w:color="auto"/>
                    <w:bottom w:val="none" w:sz="0" w:space="0" w:color="auto"/>
                    <w:right w:val="none" w:sz="0" w:space="0" w:color="auto"/>
                  </w:divBdr>
                </w:div>
              </w:divsChild>
            </w:div>
            <w:div w:id="2040201588">
              <w:marLeft w:val="0"/>
              <w:marRight w:val="0"/>
              <w:marTop w:val="300"/>
              <w:marBottom w:val="300"/>
              <w:divBdr>
                <w:top w:val="none" w:sz="0" w:space="0" w:color="auto"/>
                <w:left w:val="none" w:sz="0" w:space="0" w:color="auto"/>
                <w:bottom w:val="none" w:sz="0" w:space="0" w:color="auto"/>
                <w:right w:val="none" w:sz="0" w:space="0" w:color="auto"/>
              </w:divBdr>
            </w:div>
            <w:div w:id="2040741047">
              <w:marLeft w:val="0"/>
              <w:marRight w:val="0"/>
              <w:marTop w:val="0"/>
              <w:marBottom w:val="0"/>
              <w:divBdr>
                <w:top w:val="none" w:sz="0" w:space="0" w:color="auto"/>
                <w:left w:val="none" w:sz="0" w:space="0" w:color="auto"/>
                <w:bottom w:val="none" w:sz="0" w:space="0" w:color="auto"/>
                <w:right w:val="none" w:sz="0" w:space="0" w:color="auto"/>
              </w:divBdr>
              <w:divsChild>
                <w:div w:id="583683891">
                  <w:marLeft w:val="0"/>
                  <w:marRight w:val="0"/>
                  <w:marTop w:val="0"/>
                  <w:marBottom w:val="0"/>
                  <w:divBdr>
                    <w:top w:val="none" w:sz="0" w:space="0" w:color="auto"/>
                    <w:left w:val="none" w:sz="0" w:space="0" w:color="auto"/>
                    <w:bottom w:val="none" w:sz="0" w:space="0" w:color="auto"/>
                    <w:right w:val="none" w:sz="0" w:space="0" w:color="auto"/>
                  </w:divBdr>
                </w:div>
              </w:divsChild>
            </w:div>
            <w:div w:id="2040812720">
              <w:marLeft w:val="0"/>
              <w:marRight w:val="0"/>
              <w:marTop w:val="300"/>
              <w:marBottom w:val="300"/>
              <w:divBdr>
                <w:top w:val="none" w:sz="0" w:space="0" w:color="auto"/>
                <w:left w:val="none" w:sz="0" w:space="0" w:color="auto"/>
                <w:bottom w:val="none" w:sz="0" w:space="0" w:color="auto"/>
                <w:right w:val="none" w:sz="0" w:space="0" w:color="auto"/>
              </w:divBdr>
            </w:div>
            <w:div w:id="2042439069">
              <w:marLeft w:val="0"/>
              <w:marRight w:val="0"/>
              <w:marTop w:val="300"/>
              <w:marBottom w:val="300"/>
              <w:divBdr>
                <w:top w:val="none" w:sz="0" w:space="0" w:color="auto"/>
                <w:left w:val="none" w:sz="0" w:space="0" w:color="auto"/>
                <w:bottom w:val="none" w:sz="0" w:space="0" w:color="auto"/>
                <w:right w:val="none" w:sz="0" w:space="0" w:color="auto"/>
              </w:divBdr>
            </w:div>
            <w:div w:id="2043895073">
              <w:marLeft w:val="0"/>
              <w:marRight w:val="0"/>
              <w:marTop w:val="0"/>
              <w:marBottom w:val="0"/>
              <w:divBdr>
                <w:top w:val="none" w:sz="0" w:space="0" w:color="auto"/>
                <w:left w:val="none" w:sz="0" w:space="0" w:color="auto"/>
                <w:bottom w:val="none" w:sz="0" w:space="0" w:color="auto"/>
                <w:right w:val="none" w:sz="0" w:space="0" w:color="auto"/>
              </w:divBdr>
              <w:divsChild>
                <w:div w:id="1404718535">
                  <w:marLeft w:val="0"/>
                  <w:marRight w:val="0"/>
                  <w:marTop w:val="0"/>
                  <w:marBottom w:val="0"/>
                  <w:divBdr>
                    <w:top w:val="none" w:sz="0" w:space="0" w:color="auto"/>
                    <w:left w:val="none" w:sz="0" w:space="0" w:color="auto"/>
                    <w:bottom w:val="none" w:sz="0" w:space="0" w:color="auto"/>
                    <w:right w:val="none" w:sz="0" w:space="0" w:color="auto"/>
                  </w:divBdr>
                </w:div>
              </w:divsChild>
            </w:div>
            <w:div w:id="2044011033">
              <w:marLeft w:val="0"/>
              <w:marRight w:val="0"/>
              <w:marTop w:val="0"/>
              <w:marBottom w:val="0"/>
              <w:divBdr>
                <w:top w:val="none" w:sz="0" w:space="0" w:color="auto"/>
                <w:left w:val="none" w:sz="0" w:space="0" w:color="auto"/>
                <w:bottom w:val="none" w:sz="0" w:space="0" w:color="auto"/>
                <w:right w:val="none" w:sz="0" w:space="0" w:color="auto"/>
              </w:divBdr>
              <w:divsChild>
                <w:div w:id="1173105447">
                  <w:marLeft w:val="0"/>
                  <w:marRight w:val="0"/>
                  <w:marTop w:val="0"/>
                  <w:marBottom w:val="0"/>
                  <w:divBdr>
                    <w:top w:val="none" w:sz="0" w:space="0" w:color="auto"/>
                    <w:left w:val="none" w:sz="0" w:space="0" w:color="auto"/>
                    <w:bottom w:val="none" w:sz="0" w:space="0" w:color="auto"/>
                    <w:right w:val="none" w:sz="0" w:space="0" w:color="auto"/>
                  </w:divBdr>
                </w:div>
              </w:divsChild>
            </w:div>
            <w:div w:id="2044749386">
              <w:marLeft w:val="0"/>
              <w:marRight w:val="0"/>
              <w:marTop w:val="0"/>
              <w:marBottom w:val="0"/>
              <w:divBdr>
                <w:top w:val="none" w:sz="0" w:space="0" w:color="auto"/>
                <w:left w:val="none" w:sz="0" w:space="0" w:color="auto"/>
                <w:bottom w:val="none" w:sz="0" w:space="0" w:color="auto"/>
                <w:right w:val="none" w:sz="0" w:space="0" w:color="auto"/>
              </w:divBdr>
              <w:divsChild>
                <w:div w:id="746617127">
                  <w:marLeft w:val="0"/>
                  <w:marRight w:val="0"/>
                  <w:marTop w:val="0"/>
                  <w:marBottom w:val="0"/>
                  <w:divBdr>
                    <w:top w:val="none" w:sz="0" w:space="0" w:color="auto"/>
                    <w:left w:val="none" w:sz="0" w:space="0" w:color="auto"/>
                    <w:bottom w:val="none" w:sz="0" w:space="0" w:color="auto"/>
                    <w:right w:val="none" w:sz="0" w:space="0" w:color="auto"/>
                  </w:divBdr>
                </w:div>
              </w:divsChild>
            </w:div>
            <w:div w:id="2045517714">
              <w:marLeft w:val="0"/>
              <w:marRight w:val="0"/>
              <w:marTop w:val="300"/>
              <w:marBottom w:val="300"/>
              <w:divBdr>
                <w:top w:val="none" w:sz="0" w:space="0" w:color="auto"/>
                <w:left w:val="none" w:sz="0" w:space="0" w:color="auto"/>
                <w:bottom w:val="none" w:sz="0" w:space="0" w:color="auto"/>
                <w:right w:val="none" w:sz="0" w:space="0" w:color="auto"/>
              </w:divBdr>
            </w:div>
            <w:div w:id="2045933709">
              <w:marLeft w:val="0"/>
              <w:marRight w:val="0"/>
              <w:marTop w:val="300"/>
              <w:marBottom w:val="300"/>
              <w:divBdr>
                <w:top w:val="none" w:sz="0" w:space="0" w:color="auto"/>
                <w:left w:val="none" w:sz="0" w:space="0" w:color="auto"/>
                <w:bottom w:val="none" w:sz="0" w:space="0" w:color="auto"/>
                <w:right w:val="none" w:sz="0" w:space="0" w:color="auto"/>
              </w:divBdr>
            </w:div>
            <w:div w:id="2046058214">
              <w:marLeft w:val="0"/>
              <w:marRight w:val="0"/>
              <w:marTop w:val="0"/>
              <w:marBottom w:val="0"/>
              <w:divBdr>
                <w:top w:val="none" w:sz="0" w:space="0" w:color="auto"/>
                <w:left w:val="none" w:sz="0" w:space="0" w:color="auto"/>
                <w:bottom w:val="none" w:sz="0" w:space="0" w:color="auto"/>
                <w:right w:val="none" w:sz="0" w:space="0" w:color="auto"/>
              </w:divBdr>
              <w:divsChild>
                <w:div w:id="921060256">
                  <w:marLeft w:val="0"/>
                  <w:marRight w:val="0"/>
                  <w:marTop w:val="0"/>
                  <w:marBottom w:val="0"/>
                  <w:divBdr>
                    <w:top w:val="none" w:sz="0" w:space="0" w:color="auto"/>
                    <w:left w:val="none" w:sz="0" w:space="0" w:color="auto"/>
                    <w:bottom w:val="none" w:sz="0" w:space="0" w:color="auto"/>
                    <w:right w:val="none" w:sz="0" w:space="0" w:color="auto"/>
                  </w:divBdr>
                </w:div>
              </w:divsChild>
            </w:div>
            <w:div w:id="2046172785">
              <w:marLeft w:val="0"/>
              <w:marRight w:val="0"/>
              <w:marTop w:val="0"/>
              <w:marBottom w:val="0"/>
              <w:divBdr>
                <w:top w:val="none" w:sz="0" w:space="0" w:color="auto"/>
                <w:left w:val="none" w:sz="0" w:space="0" w:color="auto"/>
                <w:bottom w:val="none" w:sz="0" w:space="0" w:color="auto"/>
                <w:right w:val="none" w:sz="0" w:space="0" w:color="auto"/>
              </w:divBdr>
              <w:divsChild>
                <w:div w:id="1228146335">
                  <w:marLeft w:val="0"/>
                  <w:marRight w:val="0"/>
                  <w:marTop w:val="0"/>
                  <w:marBottom w:val="0"/>
                  <w:divBdr>
                    <w:top w:val="none" w:sz="0" w:space="0" w:color="auto"/>
                    <w:left w:val="none" w:sz="0" w:space="0" w:color="auto"/>
                    <w:bottom w:val="none" w:sz="0" w:space="0" w:color="auto"/>
                    <w:right w:val="none" w:sz="0" w:space="0" w:color="auto"/>
                  </w:divBdr>
                </w:div>
              </w:divsChild>
            </w:div>
            <w:div w:id="2046321427">
              <w:marLeft w:val="0"/>
              <w:marRight w:val="0"/>
              <w:marTop w:val="0"/>
              <w:marBottom w:val="0"/>
              <w:divBdr>
                <w:top w:val="none" w:sz="0" w:space="0" w:color="auto"/>
                <w:left w:val="none" w:sz="0" w:space="0" w:color="auto"/>
                <w:bottom w:val="none" w:sz="0" w:space="0" w:color="auto"/>
                <w:right w:val="none" w:sz="0" w:space="0" w:color="auto"/>
              </w:divBdr>
              <w:divsChild>
                <w:div w:id="56633857">
                  <w:marLeft w:val="0"/>
                  <w:marRight w:val="0"/>
                  <w:marTop w:val="0"/>
                  <w:marBottom w:val="0"/>
                  <w:divBdr>
                    <w:top w:val="none" w:sz="0" w:space="0" w:color="auto"/>
                    <w:left w:val="none" w:sz="0" w:space="0" w:color="auto"/>
                    <w:bottom w:val="none" w:sz="0" w:space="0" w:color="auto"/>
                    <w:right w:val="none" w:sz="0" w:space="0" w:color="auto"/>
                  </w:divBdr>
                </w:div>
              </w:divsChild>
            </w:div>
            <w:div w:id="2047099890">
              <w:marLeft w:val="0"/>
              <w:marRight w:val="0"/>
              <w:marTop w:val="0"/>
              <w:marBottom w:val="0"/>
              <w:divBdr>
                <w:top w:val="none" w:sz="0" w:space="0" w:color="auto"/>
                <w:left w:val="none" w:sz="0" w:space="0" w:color="auto"/>
                <w:bottom w:val="none" w:sz="0" w:space="0" w:color="auto"/>
                <w:right w:val="none" w:sz="0" w:space="0" w:color="auto"/>
              </w:divBdr>
              <w:divsChild>
                <w:div w:id="43911982">
                  <w:marLeft w:val="0"/>
                  <w:marRight w:val="0"/>
                  <w:marTop w:val="0"/>
                  <w:marBottom w:val="0"/>
                  <w:divBdr>
                    <w:top w:val="none" w:sz="0" w:space="0" w:color="auto"/>
                    <w:left w:val="none" w:sz="0" w:space="0" w:color="auto"/>
                    <w:bottom w:val="none" w:sz="0" w:space="0" w:color="auto"/>
                    <w:right w:val="none" w:sz="0" w:space="0" w:color="auto"/>
                  </w:divBdr>
                </w:div>
              </w:divsChild>
            </w:div>
            <w:div w:id="2047363705">
              <w:marLeft w:val="0"/>
              <w:marRight w:val="0"/>
              <w:marTop w:val="0"/>
              <w:marBottom w:val="0"/>
              <w:divBdr>
                <w:top w:val="none" w:sz="0" w:space="0" w:color="auto"/>
                <w:left w:val="none" w:sz="0" w:space="0" w:color="auto"/>
                <w:bottom w:val="none" w:sz="0" w:space="0" w:color="auto"/>
                <w:right w:val="none" w:sz="0" w:space="0" w:color="auto"/>
              </w:divBdr>
              <w:divsChild>
                <w:div w:id="1719011615">
                  <w:marLeft w:val="0"/>
                  <w:marRight w:val="0"/>
                  <w:marTop w:val="0"/>
                  <w:marBottom w:val="0"/>
                  <w:divBdr>
                    <w:top w:val="none" w:sz="0" w:space="0" w:color="auto"/>
                    <w:left w:val="none" w:sz="0" w:space="0" w:color="auto"/>
                    <w:bottom w:val="none" w:sz="0" w:space="0" w:color="auto"/>
                    <w:right w:val="none" w:sz="0" w:space="0" w:color="auto"/>
                  </w:divBdr>
                </w:div>
              </w:divsChild>
            </w:div>
            <w:div w:id="2048874825">
              <w:marLeft w:val="0"/>
              <w:marRight w:val="0"/>
              <w:marTop w:val="0"/>
              <w:marBottom w:val="0"/>
              <w:divBdr>
                <w:top w:val="none" w:sz="0" w:space="0" w:color="auto"/>
                <w:left w:val="none" w:sz="0" w:space="0" w:color="auto"/>
                <w:bottom w:val="none" w:sz="0" w:space="0" w:color="auto"/>
                <w:right w:val="none" w:sz="0" w:space="0" w:color="auto"/>
              </w:divBdr>
              <w:divsChild>
                <w:div w:id="806510218">
                  <w:marLeft w:val="0"/>
                  <w:marRight w:val="0"/>
                  <w:marTop w:val="0"/>
                  <w:marBottom w:val="0"/>
                  <w:divBdr>
                    <w:top w:val="none" w:sz="0" w:space="0" w:color="auto"/>
                    <w:left w:val="none" w:sz="0" w:space="0" w:color="auto"/>
                    <w:bottom w:val="none" w:sz="0" w:space="0" w:color="auto"/>
                    <w:right w:val="none" w:sz="0" w:space="0" w:color="auto"/>
                  </w:divBdr>
                </w:div>
              </w:divsChild>
            </w:div>
            <w:div w:id="2049378097">
              <w:marLeft w:val="0"/>
              <w:marRight w:val="0"/>
              <w:marTop w:val="0"/>
              <w:marBottom w:val="0"/>
              <w:divBdr>
                <w:top w:val="none" w:sz="0" w:space="0" w:color="auto"/>
                <w:left w:val="none" w:sz="0" w:space="0" w:color="auto"/>
                <w:bottom w:val="none" w:sz="0" w:space="0" w:color="auto"/>
                <w:right w:val="none" w:sz="0" w:space="0" w:color="auto"/>
              </w:divBdr>
              <w:divsChild>
                <w:div w:id="378172234">
                  <w:marLeft w:val="0"/>
                  <w:marRight w:val="0"/>
                  <w:marTop w:val="0"/>
                  <w:marBottom w:val="0"/>
                  <w:divBdr>
                    <w:top w:val="none" w:sz="0" w:space="0" w:color="auto"/>
                    <w:left w:val="none" w:sz="0" w:space="0" w:color="auto"/>
                    <w:bottom w:val="none" w:sz="0" w:space="0" w:color="auto"/>
                    <w:right w:val="none" w:sz="0" w:space="0" w:color="auto"/>
                  </w:divBdr>
                </w:div>
              </w:divsChild>
            </w:div>
            <w:div w:id="2049908844">
              <w:marLeft w:val="0"/>
              <w:marRight w:val="0"/>
              <w:marTop w:val="0"/>
              <w:marBottom w:val="0"/>
              <w:divBdr>
                <w:top w:val="none" w:sz="0" w:space="0" w:color="auto"/>
                <w:left w:val="none" w:sz="0" w:space="0" w:color="auto"/>
                <w:bottom w:val="none" w:sz="0" w:space="0" w:color="auto"/>
                <w:right w:val="none" w:sz="0" w:space="0" w:color="auto"/>
              </w:divBdr>
              <w:divsChild>
                <w:div w:id="1570769537">
                  <w:marLeft w:val="0"/>
                  <w:marRight w:val="0"/>
                  <w:marTop w:val="0"/>
                  <w:marBottom w:val="0"/>
                  <w:divBdr>
                    <w:top w:val="none" w:sz="0" w:space="0" w:color="auto"/>
                    <w:left w:val="none" w:sz="0" w:space="0" w:color="auto"/>
                    <w:bottom w:val="none" w:sz="0" w:space="0" w:color="auto"/>
                    <w:right w:val="none" w:sz="0" w:space="0" w:color="auto"/>
                  </w:divBdr>
                </w:div>
              </w:divsChild>
            </w:div>
            <w:div w:id="2049911560">
              <w:marLeft w:val="0"/>
              <w:marRight w:val="0"/>
              <w:marTop w:val="0"/>
              <w:marBottom w:val="0"/>
              <w:divBdr>
                <w:top w:val="none" w:sz="0" w:space="0" w:color="auto"/>
                <w:left w:val="none" w:sz="0" w:space="0" w:color="auto"/>
                <w:bottom w:val="none" w:sz="0" w:space="0" w:color="auto"/>
                <w:right w:val="none" w:sz="0" w:space="0" w:color="auto"/>
              </w:divBdr>
              <w:divsChild>
                <w:div w:id="154151228">
                  <w:marLeft w:val="0"/>
                  <w:marRight w:val="0"/>
                  <w:marTop w:val="0"/>
                  <w:marBottom w:val="0"/>
                  <w:divBdr>
                    <w:top w:val="none" w:sz="0" w:space="0" w:color="auto"/>
                    <w:left w:val="none" w:sz="0" w:space="0" w:color="auto"/>
                    <w:bottom w:val="none" w:sz="0" w:space="0" w:color="auto"/>
                    <w:right w:val="none" w:sz="0" w:space="0" w:color="auto"/>
                  </w:divBdr>
                </w:div>
              </w:divsChild>
            </w:div>
            <w:div w:id="2053453573">
              <w:marLeft w:val="0"/>
              <w:marRight w:val="0"/>
              <w:marTop w:val="0"/>
              <w:marBottom w:val="0"/>
              <w:divBdr>
                <w:top w:val="none" w:sz="0" w:space="0" w:color="auto"/>
                <w:left w:val="none" w:sz="0" w:space="0" w:color="auto"/>
                <w:bottom w:val="none" w:sz="0" w:space="0" w:color="auto"/>
                <w:right w:val="none" w:sz="0" w:space="0" w:color="auto"/>
              </w:divBdr>
              <w:divsChild>
                <w:div w:id="1816024673">
                  <w:marLeft w:val="0"/>
                  <w:marRight w:val="0"/>
                  <w:marTop w:val="0"/>
                  <w:marBottom w:val="0"/>
                  <w:divBdr>
                    <w:top w:val="none" w:sz="0" w:space="0" w:color="auto"/>
                    <w:left w:val="none" w:sz="0" w:space="0" w:color="auto"/>
                    <w:bottom w:val="none" w:sz="0" w:space="0" w:color="auto"/>
                    <w:right w:val="none" w:sz="0" w:space="0" w:color="auto"/>
                  </w:divBdr>
                </w:div>
              </w:divsChild>
            </w:div>
            <w:div w:id="2053575302">
              <w:marLeft w:val="0"/>
              <w:marRight w:val="0"/>
              <w:marTop w:val="0"/>
              <w:marBottom w:val="0"/>
              <w:divBdr>
                <w:top w:val="none" w:sz="0" w:space="0" w:color="auto"/>
                <w:left w:val="none" w:sz="0" w:space="0" w:color="auto"/>
                <w:bottom w:val="none" w:sz="0" w:space="0" w:color="auto"/>
                <w:right w:val="none" w:sz="0" w:space="0" w:color="auto"/>
              </w:divBdr>
              <w:divsChild>
                <w:div w:id="2041513474">
                  <w:marLeft w:val="0"/>
                  <w:marRight w:val="0"/>
                  <w:marTop w:val="0"/>
                  <w:marBottom w:val="0"/>
                  <w:divBdr>
                    <w:top w:val="none" w:sz="0" w:space="0" w:color="auto"/>
                    <w:left w:val="none" w:sz="0" w:space="0" w:color="auto"/>
                    <w:bottom w:val="none" w:sz="0" w:space="0" w:color="auto"/>
                    <w:right w:val="none" w:sz="0" w:space="0" w:color="auto"/>
                  </w:divBdr>
                </w:div>
              </w:divsChild>
            </w:div>
            <w:div w:id="2055695923">
              <w:marLeft w:val="0"/>
              <w:marRight w:val="0"/>
              <w:marTop w:val="0"/>
              <w:marBottom w:val="0"/>
              <w:divBdr>
                <w:top w:val="none" w:sz="0" w:space="0" w:color="auto"/>
                <w:left w:val="none" w:sz="0" w:space="0" w:color="auto"/>
                <w:bottom w:val="none" w:sz="0" w:space="0" w:color="auto"/>
                <w:right w:val="none" w:sz="0" w:space="0" w:color="auto"/>
              </w:divBdr>
              <w:divsChild>
                <w:div w:id="1107391145">
                  <w:marLeft w:val="0"/>
                  <w:marRight w:val="0"/>
                  <w:marTop w:val="0"/>
                  <w:marBottom w:val="0"/>
                  <w:divBdr>
                    <w:top w:val="none" w:sz="0" w:space="0" w:color="auto"/>
                    <w:left w:val="none" w:sz="0" w:space="0" w:color="auto"/>
                    <w:bottom w:val="none" w:sz="0" w:space="0" w:color="auto"/>
                    <w:right w:val="none" w:sz="0" w:space="0" w:color="auto"/>
                  </w:divBdr>
                </w:div>
              </w:divsChild>
            </w:div>
            <w:div w:id="2056388809">
              <w:marLeft w:val="0"/>
              <w:marRight w:val="0"/>
              <w:marTop w:val="0"/>
              <w:marBottom w:val="0"/>
              <w:divBdr>
                <w:top w:val="none" w:sz="0" w:space="0" w:color="auto"/>
                <w:left w:val="none" w:sz="0" w:space="0" w:color="auto"/>
                <w:bottom w:val="none" w:sz="0" w:space="0" w:color="auto"/>
                <w:right w:val="none" w:sz="0" w:space="0" w:color="auto"/>
              </w:divBdr>
              <w:divsChild>
                <w:div w:id="154298695">
                  <w:marLeft w:val="0"/>
                  <w:marRight w:val="0"/>
                  <w:marTop w:val="0"/>
                  <w:marBottom w:val="0"/>
                  <w:divBdr>
                    <w:top w:val="none" w:sz="0" w:space="0" w:color="auto"/>
                    <w:left w:val="none" w:sz="0" w:space="0" w:color="auto"/>
                    <w:bottom w:val="none" w:sz="0" w:space="0" w:color="auto"/>
                    <w:right w:val="none" w:sz="0" w:space="0" w:color="auto"/>
                  </w:divBdr>
                </w:div>
              </w:divsChild>
            </w:div>
            <w:div w:id="2056661656">
              <w:marLeft w:val="0"/>
              <w:marRight w:val="0"/>
              <w:marTop w:val="0"/>
              <w:marBottom w:val="0"/>
              <w:divBdr>
                <w:top w:val="none" w:sz="0" w:space="0" w:color="auto"/>
                <w:left w:val="none" w:sz="0" w:space="0" w:color="auto"/>
                <w:bottom w:val="none" w:sz="0" w:space="0" w:color="auto"/>
                <w:right w:val="none" w:sz="0" w:space="0" w:color="auto"/>
              </w:divBdr>
              <w:divsChild>
                <w:div w:id="1499614390">
                  <w:marLeft w:val="0"/>
                  <w:marRight w:val="0"/>
                  <w:marTop w:val="0"/>
                  <w:marBottom w:val="0"/>
                  <w:divBdr>
                    <w:top w:val="none" w:sz="0" w:space="0" w:color="auto"/>
                    <w:left w:val="none" w:sz="0" w:space="0" w:color="auto"/>
                    <w:bottom w:val="none" w:sz="0" w:space="0" w:color="auto"/>
                    <w:right w:val="none" w:sz="0" w:space="0" w:color="auto"/>
                  </w:divBdr>
                </w:div>
              </w:divsChild>
            </w:div>
            <w:div w:id="2056998361">
              <w:marLeft w:val="0"/>
              <w:marRight w:val="0"/>
              <w:marTop w:val="0"/>
              <w:marBottom w:val="0"/>
              <w:divBdr>
                <w:top w:val="none" w:sz="0" w:space="0" w:color="auto"/>
                <w:left w:val="none" w:sz="0" w:space="0" w:color="auto"/>
                <w:bottom w:val="none" w:sz="0" w:space="0" w:color="auto"/>
                <w:right w:val="none" w:sz="0" w:space="0" w:color="auto"/>
              </w:divBdr>
              <w:divsChild>
                <w:div w:id="1311986250">
                  <w:marLeft w:val="0"/>
                  <w:marRight w:val="0"/>
                  <w:marTop w:val="0"/>
                  <w:marBottom w:val="0"/>
                  <w:divBdr>
                    <w:top w:val="none" w:sz="0" w:space="0" w:color="auto"/>
                    <w:left w:val="none" w:sz="0" w:space="0" w:color="auto"/>
                    <w:bottom w:val="none" w:sz="0" w:space="0" w:color="auto"/>
                    <w:right w:val="none" w:sz="0" w:space="0" w:color="auto"/>
                  </w:divBdr>
                </w:div>
              </w:divsChild>
            </w:div>
            <w:div w:id="2058511233">
              <w:marLeft w:val="0"/>
              <w:marRight w:val="0"/>
              <w:marTop w:val="0"/>
              <w:marBottom w:val="0"/>
              <w:divBdr>
                <w:top w:val="none" w:sz="0" w:space="0" w:color="auto"/>
                <w:left w:val="none" w:sz="0" w:space="0" w:color="auto"/>
                <w:bottom w:val="none" w:sz="0" w:space="0" w:color="auto"/>
                <w:right w:val="none" w:sz="0" w:space="0" w:color="auto"/>
              </w:divBdr>
              <w:divsChild>
                <w:div w:id="8220196">
                  <w:marLeft w:val="0"/>
                  <w:marRight w:val="0"/>
                  <w:marTop w:val="0"/>
                  <w:marBottom w:val="0"/>
                  <w:divBdr>
                    <w:top w:val="none" w:sz="0" w:space="0" w:color="auto"/>
                    <w:left w:val="none" w:sz="0" w:space="0" w:color="auto"/>
                    <w:bottom w:val="none" w:sz="0" w:space="0" w:color="auto"/>
                    <w:right w:val="none" w:sz="0" w:space="0" w:color="auto"/>
                  </w:divBdr>
                </w:div>
              </w:divsChild>
            </w:div>
            <w:div w:id="2059671014">
              <w:marLeft w:val="0"/>
              <w:marRight w:val="0"/>
              <w:marTop w:val="0"/>
              <w:marBottom w:val="0"/>
              <w:divBdr>
                <w:top w:val="none" w:sz="0" w:space="0" w:color="auto"/>
                <w:left w:val="none" w:sz="0" w:space="0" w:color="auto"/>
                <w:bottom w:val="none" w:sz="0" w:space="0" w:color="auto"/>
                <w:right w:val="none" w:sz="0" w:space="0" w:color="auto"/>
              </w:divBdr>
              <w:divsChild>
                <w:div w:id="1176000007">
                  <w:marLeft w:val="0"/>
                  <w:marRight w:val="0"/>
                  <w:marTop w:val="0"/>
                  <w:marBottom w:val="0"/>
                  <w:divBdr>
                    <w:top w:val="none" w:sz="0" w:space="0" w:color="auto"/>
                    <w:left w:val="none" w:sz="0" w:space="0" w:color="auto"/>
                    <w:bottom w:val="none" w:sz="0" w:space="0" w:color="auto"/>
                    <w:right w:val="none" w:sz="0" w:space="0" w:color="auto"/>
                  </w:divBdr>
                </w:div>
              </w:divsChild>
            </w:div>
            <w:div w:id="2062318757">
              <w:marLeft w:val="0"/>
              <w:marRight w:val="0"/>
              <w:marTop w:val="0"/>
              <w:marBottom w:val="0"/>
              <w:divBdr>
                <w:top w:val="none" w:sz="0" w:space="0" w:color="auto"/>
                <w:left w:val="none" w:sz="0" w:space="0" w:color="auto"/>
                <w:bottom w:val="none" w:sz="0" w:space="0" w:color="auto"/>
                <w:right w:val="none" w:sz="0" w:space="0" w:color="auto"/>
              </w:divBdr>
              <w:divsChild>
                <w:div w:id="1004939617">
                  <w:marLeft w:val="0"/>
                  <w:marRight w:val="0"/>
                  <w:marTop w:val="0"/>
                  <w:marBottom w:val="0"/>
                  <w:divBdr>
                    <w:top w:val="none" w:sz="0" w:space="0" w:color="auto"/>
                    <w:left w:val="none" w:sz="0" w:space="0" w:color="auto"/>
                    <w:bottom w:val="none" w:sz="0" w:space="0" w:color="auto"/>
                    <w:right w:val="none" w:sz="0" w:space="0" w:color="auto"/>
                  </w:divBdr>
                </w:div>
              </w:divsChild>
            </w:div>
            <w:div w:id="2064058968">
              <w:marLeft w:val="0"/>
              <w:marRight w:val="0"/>
              <w:marTop w:val="0"/>
              <w:marBottom w:val="0"/>
              <w:divBdr>
                <w:top w:val="none" w:sz="0" w:space="0" w:color="auto"/>
                <w:left w:val="none" w:sz="0" w:space="0" w:color="auto"/>
                <w:bottom w:val="none" w:sz="0" w:space="0" w:color="auto"/>
                <w:right w:val="none" w:sz="0" w:space="0" w:color="auto"/>
              </w:divBdr>
              <w:divsChild>
                <w:div w:id="1870869601">
                  <w:marLeft w:val="0"/>
                  <w:marRight w:val="0"/>
                  <w:marTop w:val="0"/>
                  <w:marBottom w:val="0"/>
                  <w:divBdr>
                    <w:top w:val="none" w:sz="0" w:space="0" w:color="auto"/>
                    <w:left w:val="none" w:sz="0" w:space="0" w:color="auto"/>
                    <w:bottom w:val="none" w:sz="0" w:space="0" w:color="auto"/>
                    <w:right w:val="none" w:sz="0" w:space="0" w:color="auto"/>
                  </w:divBdr>
                </w:div>
              </w:divsChild>
            </w:div>
            <w:div w:id="2066639917">
              <w:marLeft w:val="0"/>
              <w:marRight w:val="0"/>
              <w:marTop w:val="0"/>
              <w:marBottom w:val="0"/>
              <w:divBdr>
                <w:top w:val="none" w:sz="0" w:space="0" w:color="auto"/>
                <w:left w:val="none" w:sz="0" w:space="0" w:color="auto"/>
                <w:bottom w:val="none" w:sz="0" w:space="0" w:color="auto"/>
                <w:right w:val="none" w:sz="0" w:space="0" w:color="auto"/>
              </w:divBdr>
              <w:divsChild>
                <w:div w:id="890311631">
                  <w:marLeft w:val="0"/>
                  <w:marRight w:val="0"/>
                  <w:marTop w:val="0"/>
                  <w:marBottom w:val="0"/>
                  <w:divBdr>
                    <w:top w:val="none" w:sz="0" w:space="0" w:color="auto"/>
                    <w:left w:val="none" w:sz="0" w:space="0" w:color="auto"/>
                    <w:bottom w:val="none" w:sz="0" w:space="0" w:color="auto"/>
                    <w:right w:val="none" w:sz="0" w:space="0" w:color="auto"/>
                  </w:divBdr>
                </w:div>
              </w:divsChild>
            </w:div>
            <w:div w:id="2067291907">
              <w:marLeft w:val="0"/>
              <w:marRight w:val="0"/>
              <w:marTop w:val="0"/>
              <w:marBottom w:val="0"/>
              <w:divBdr>
                <w:top w:val="none" w:sz="0" w:space="0" w:color="auto"/>
                <w:left w:val="none" w:sz="0" w:space="0" w:color="auto"/>
                <w:bottom w:val="none" w:sz="0" w:space="0" w:color="auto"/>
                <w:right w:val="none" w:sz="0" w:space="0" w:color="auto"/>
              </w:divBdr>
              <w:divsChild>
                <w:div w:id="516316139">
                  <w:marLeft w:val="0"/>
                  <w:marRight w:val="0"/>
                  <w:marTop w:val="0"/>
                  <w:marBottom w:val="0"/>
                  <w:divBdr>
                    <w:top w:val="none" w:sz="0" w:space="0" w:color="auto"/>
                    <w:left w:val="none" w:sz="0" w:space="0" w:color="auto"/>
                    <w:bottom w:val="none" w:sz="0" w:space="0" w:color="auto"/>
                    <w:right w:val="none" w:sz="0" w:space="0" w:color="auto"/>
                  </w:divBdr>
                </w:div>
              </w:divsChild>
            </w:div>
            <w:div w:id="2068064371">
              <w:marLeft w:val="0"/>
              <w:marRight w:val="0"/>
              <w:marTop w:val="0"/>
              <w:marBottom w:val="0"/>
              <w:divBdr>
                <w:top w:val="none" w:sz="0" w:space="0" w:color="auto"/>
                <w:left w:val="none" w:sz="0" w:space="0" w:color="auto"/>
                <w:bottom w:val="none" w:sz="0" w:space="0" w:color="auto"/>
                <w:right w:val="none" w:sz="0" w:space="0" w:color="auto"/>
              </w:divBdr>
              <w:divsChild>
                <w:div w:id="437606903">
                  <w:marLeft w:val="0"/>
                  <w:marRight w:val="0"/>
                  <w:marTop w:val="0"/>
                  <w:marBottom w:val="0"/>
                  <w:divBdr>
                    <w:top w:val="none" w:sz="0" w:space="0" w:color="auto"/>
                    <w:left w:val="none" w:sz="0" w:space="0" w:color="auto"/>
                    <w:bottom w:val="none" w:sz="0" w:space="0" w:color="auto"/>
                    <w:right w:val="none" w:sz="0" w:space="0" w:color="auto"/>
                  </w:divBdr>
                </w:div>
              </w:divsChild>
            </w:div>
            <w:div w:id="2068069377">
              <w:marLeft w:val="0"/>
              <w:marRight w:val="0"/>
              <w:marTop w:val="0"/>
              <w:marBottom w:val="0"/>
              <w:divBdr>
                <w:top w:val="none" w:sz="0" w:space="0" w:color="auto"/>
                <w:left w:val="none" w:sz="0" w:space="0" w:color="auto"/>
                <w:bottom w:val="none" w:sz="0" w:space="0" w:color="auto"/>
                <w:right w:val="none" w:sz="0" w:space="0" w:color="auto"/>
              </w:divBdr>
              <w:divsChild>
                <w:div w:id="941456863">
                  <w:marLeft w:val="0"/>
                  <w:marRight w:val="0"/>
                  <w:marTop w:val="0"/>
                  <w:marBottom w:val="0"/>
                  <w:divBdr>
                    <w:top w:val="none" w:sz="0" w:space="0" w:color="auto"/>
                    <w:left w:val="none" w:sz="0" w:space="0" w:color="auto"/>
                    <w:bottom w:val="none" w:sz="0" w:space="0" w:color="auto"/>
                    <w:right w:val="none" w:sz="0" w:space="0" w:color="auto"/>
                  </w:divBdr>
                </w:div>
              </w:divsChild>
            </w:div>
            <w:div w:id="2068071139">
              <w:marLeft w:val="0"/>
              <w:marRight w:val="0"/>
              <w:marTop w:val="0"/>
              <w:marBottom w:val="0"/>
              <w:divBdr>
                <w:top w:val="none" w:sz="0" w:space="0" w:color="auto"/>
                <w:left w:val="none" w:sz="0" w:space="0" w:color="auto"/>
                <w:bottom w:val="none" w:sz="0" w:space="0" w:color="auto"/>
                <w:right w:val="none" w:sz="0" w:space="0" w:color="auto"/>
              </w:divBdr>
              <w:divsChild>
                <w:div w:id="694041314">
                  <w:marLeft w:val="0"/>
                  <w:marRight w:val="0"/>
                  <w:marTop w:val="0"/>
                  <w:marBottom w:val="0"/>
                  <w:divBdr>
                    <w:top w:val="none" w:sz="0" w:space="0" w:color="auto"/>
                    <w:left w:val="none" w:sz="0" w:space="0" w:color="auto"/>
                    <w:bottom w:val="none" w:sz="0" w:space="0" w:color="auto"/>
                    <w:right w:val="none" w:sz="0" w:space="0" w:color="auto"/>
                  </w:divBdr>
                </w:div>
              </w:divsChild>
            </w:div>
            <w:div w:id="2069302077">
              <w:marLeft w:val="0"/>
              <w:marRight w:val="0"/>
              <w:marTop w:val="0"/>
              <w:marBottom w:val="0"/>
              <w:divBdr>
                <w:top w:val="none" w:sz="0" w:space="0" w:color="auto"/>
                <w:left w:val="none" w:sz="0" w:space="0" w:color="auto"/>
                <w:bottom w:val="none" w:sz="0" w:space="0" w:color="auto"/>
                <w:right w:val="none" w:sz="0" w:space="0" w:color="auto"/>
              </w:divBdr>
              <w:divsChild>
                <w:div w:id="1631092324">
                  <w:marLeft w:val="0"/>
                  <w:marRight w:val="0"/>
                  <w:marTop w:val="0"/>
                  <w:marBottom w:val="0"/>
                  <w:divBdr>
                    <w:top w:val="none" w:sz="0" w:space="0" w:color="auto"/>
                    <w:left w:val="none" w:sz="0" w:space="0" w:color="auto"/>
                    <w:bottom w:val="none" w:sz="0" w:space="0" w:color="auto"/>
                    <w:right w:val="none" w:sz="0" w:space="0" w:color="auto"/>
                  </w:divBdr>
                </w:div>
              </w:divsChild>
            </w:div>
            <w:div w:id="2070222581">
              <w:marLeft w:val="0"/>
              <w:marRight w:val="0"/>
              <w:marTop w:val="0"/>
              <w:marBottom w:val="0"/>
              <w:divBdr>
                <w:top w:val="none" w:sz="0" w:space="0" w:color="auto"/>
                <w:left w:val="none" w:sz="0" w:space="0" w:color="auto"/>
                <w:bottom w:val="none" w:sz="0" w:space="0" w:color="auto"/>
                <w:right w:val="none" w:sz="0" w:space="0" w:color="auto"/>
              </w:divBdr>
              <w:divsChild>
                <w:div w:id="226573883">
                  <w:marLeft w:val="0"/>
                  <w:marRight w:val="0"/>
                  <w:marTop w:val="0"/>
                  <w:marBottom w:val="0"/>
                  <w:divBdr>
                    <w:top w:val="none" w:sz="0" w:space="0" w:color="auto"/>
                    <w:left w:val="none" w:sz="0" w:space="0" w:color="auto"/>
                    <w:bottom w:val="none" w:sz="0" w:space="0" w:color="auto"/>
                    <w:right w:val="none" w:sz="0" w:space="0" w:color="auto"/>
                  </w:divBdr>
                </w:div>
              </w:divsChild>
            </w:div>
            <w:div w:id="2071881924">
              <w:marLeft w:val="0"/>
              <w:marRight w:val="0"/>
              <w:marTop w:val="300"/>
              <w:marBottom w:val="300"/>
              <w:divBdr>
                <w:top w:val="none" w:sz="0" w:space="0" w:color="auto"/>
                <w:left w:val="none" w:sz="0" w:space="0" w:color="auto"/>
                <w:bottom w:val="none" w:sz="0" w:space="0" w:color="auto"/>
                <w:right w:val="none" w:sz="0" w:space="0" w:color="auto"/>
              </w:divBdr>
            </w:div>
            <w:div w:id="2071925051">
              <w:marLeft w:val="0"/>
              <w:marRight w:val="0"/>
              <w:marTop w:val="0"/>
              <w:marBottom w:val="0"/>
              <w:divBdr>
                <w:top w:val="none" w:sz="0" w:space="0" w:color="auto"/>
                <w:left w:val="none" w:sz="0" w:space="0" w:color="auto"/>
                <w:bottom w:val="none" w:sz="0" w:space="0" w:color="auto"/>
                <w:right w:val="none" w:sz="0" w:space="0" w:color="auto"/>
              </w:divBdr>
              <w:divsChild>
                <w:div w:id="1488937740">
                  <w:marLeft w:val="0"/>
                  <w:marRight w:val="0"/>
                  <w:marTop w:val="0"/>
                  <w:marBottom w:val="0"/>
                  <w:divBdr>
                    <w:top w:val="none" w:sz="0" w:space="0" w:color="auto"/>
                    <w:left w:val="none" w:sz="0" w:space="0" w:color="auto"/>
                    <w:bottom w:val="none" w:sz="0" w:space="0" w:color="auto"/>
                    <w:right w:val="none" w:sz="0" w:space="0" w:color="auto"/>
                  </w:divBdr>
                </w:div>
              </w:divsChild>
            </w:div>
            <w:div w:id="2074232653">
              <w:marLeft w:val="0"/>
              <w:marRight w:val="0"/>
              <w:marTop w:val="0"/>
              <w:marBottom w:val="0"/>
              <w:divBdr>
                <w:top w:val="none" w:sz="0" w:space="0" w:color="auto"/>
                <w:left w:val="none" w:sz="0" w:space="0" w:color="auto"/>
                <w:bottom w:val="none" w:sz="0" w:space="0" w:color="auto"/>
                <w:right w:val="none" w:sz="0" w:space="0" w:color="auto"/>
              </w:divBdr>
              <w:divsChild>
                <w:div w:id="1158422653">
                  <w:marLeft w:val="0"/>
                  <w:marRight w:val="0"/>
                  <w:marTop w:val="0"/>
                  <w:marBottom w:val="0"/>
                  <w:divBdr>
                    <w:top w:val="none" w:sz="0" w:space="0" w:color="auto"/>
                    <w:left w:val="none" w:sz="0" w:space="0" w:color="auto"/>
                    <w:bottom w:val="none" w:sz="0" w:space="0" w:color="auto"/>
                    <w:right w:val="none" w:sz="0" w:space="0" w:color="auto"/>
                  </w:divBdr>
                </w:div>
              </w:divsChild>
            </w:div>
            <w:div w:id="2074573268">
              <w:marLeft w:val="0"/>
              <w:marRight w:val="0"/>
              <w:marTop w:val="300"/>
              <w:marBottom w:val="300"/>
              <w:divBdr>
                <w:top w:val="none" w:sz="0" w:space="0" w:color="auto"/>
                <w:left w:val="none" w:sz="0" w:space="0" w:color="auto"/>
                <w:bottom w:val="none" w:sz="0" w:space="0" w:color="auto"/>
                <w:right w:val="none" w:sz="0" w:space="0" w:color="auto"/>
              </w:divBdr>
            </w:div>
            <w:div w:id="2075547162">
              <w:marLeft w:val="0"/>
              <w:marRight w:val="0"/>
              <w:marTop w:val="300"/>
              <w:marBottom w:val="300"/>
              <w:divBdr>
                <w:top w:val="none" w:sz="0" w:space="0" w:color="auto"/>
                <w:left w:val="none" w:sz="0" w:space="0" w:color="auto"/>
                <w:bottom w:val="none" w:sz="0" w:space="0" w:color="auto"/>
                <w:right w:val="none" w:sz="0" w:space="0" w:color="auto"/>
              </w:divBdr>
            </w:div>
            <w:div w:id="2075810219">
              <w:marLeft w:val="0"/>
              <w:marRight w:val="0"/>
              <w:marTop w:val="0"/>
              <w:marBottom w:val="0"/>
              <w:divBdr>
                <w:top w:val="none" w:sz="0" w:space="0" w:color="auto"/>
                <w:left w:val="none" w:sz="0" w:space="0" w:color="auto"/>
                <w:bottom w:val="none" w:sz="0" w:space="0" w:color="auto"/>
                <w:right w:val="none" w:sz="0" w:space="0" w:color="auto"/>
              </w:divBdr>
              <w:divsChild>
                <w:div w:id="549196694">
                  <w:marLeft w:val="0"/>
                  <w:marRight w:val="0"/>
                  <w:marTop w:val="0"/>
                  <w:marBottom w:val="0"/>
                  <w:divBdr>
                    <w:top w:val="none" w:sz="0" w:space="0" w:color="auto"/>
                    <w:left w:val="none" w:sz="0" w:space="0" w:color="auto"/>
                    <w:bottom w:val="none" w:sz="0" w:space="0" w:color="auto"/>
                    <w:right w:val="none" w:sz="0" w:space="0" w:color="auto"/>
                  </w:divBdr>
                </w:div>
              </w:divsChild>
            </w:div>
            <w:div w:id="2076274521">
              <w:marLeft w:val="0"/>
              <w:marRight w:val="0"/>
              <w:marTop w:val="0"/>
              <w:marBottom w:val="0"/>
              <w:divBdr>
                <w:top w:val="none" w:sz="0" w:space="0" w:color="auto"/>
                <w:left w:val="none" w:sz="0" w:space="0" w:color="auto"/>
                <w:bottom w:val="none" w:sz="0" w:space="0" w:color="auto"/>
                <w:right w:val="none" w:sz="0" w:space="0" w:color="auto"/>
              </w:divBdr>
              <w:divsChild>
                <w:div w:id="789128965">
                  <w:marLeft w:val="0"/>
                  <w:marRight w:val="0"/>
                  <w:marTop w:val="0"/>
                  <w:marBottom w:val="0"/>
                  <w:divBdr>
                    <w:top w:val="none" w:sz="0" w:space="0" w:color="auto"/>
                    <w:left w:val="none" w:sz="0" w:space="0" w:color="auto"/>
                    <w:bottom w:val="none" w:sz="0" w:space="0" w:color="auto"/>
                    <w:right w:val="none" w:sz="0" w:space="0" w:color="auto"/>
                  </w:divBdr>
                </w:div>
              </w:divsChild>
            </w:div>
            <w:div w:id="2077849847">
              <w:marLeft w:val="0"/>
              <w:marRight w:val="0"/>
              <w:marTop w:val="0"/>
              <w:marBottom w:val="0"/>
              <w:divBdr>
                <w:top w:val="none" w:sz="0" w:space="0" w:color="auto"/>
                <w:left w:val="none" w:sz="0" w:space="0" w:color="auto"/>
                <w:bottom w:val="none" w:sz="0" w:space="0" w:color="auto"/>
                <w:right w:val="none" w:sz="0" w:space="0" w:color="auto"/>
              </w:divBdr>
              <w:divsChild>
                <w:div w:id="881481841">
                  <w:marLeft w:val="0"/>
                  <w:marRight w:val="0"/>
                  <w:marTop w:val="0"/>
                  <w:marBottom w:val="0"/>
                  <w:divBdr>
                    <w:top w:val="none" w:sz="0" w:space="0" w:color="auto"/>
                    <w:left w:val="none" w:sz="0" w:space="0" w:color="auto"/>
                    <w:bottom w:val="none" w:sz="0" w:space="0" w:color="auto"/>
                    <w:right w:val="none" w:sz="0" w:space="0" w:color="auto"/>
                  </w:divBdr>
                </w:div>
              </w:divsChild>
            </w:div>
            <w:div w:id="2079672552">
              <w:marLeft w:val="0"/>
              <w:marRight w:val="0"/>
              <w:marTop w:val="0"/>
              <w:marBottom w:val="0"/>
              <w:divBdr>
                <w:top w:val="none" w:sz="0" w:space="0" w:color="auto"/>
                <w:left w:val="none" w:sz="0" w:space="0" w:color="auto"/>
                <w:bottom w:val="none" w:sz="0" w:space="0" w:color="auto"/>
                <w:right w:val="none" w:sz="0" w:space="0" w:color="auto"/>
              </w:divBdr>
              <w:divsChild>
                <w:div w:id="109398638">
                  <w:marLeft w:val="0"/>
                  <w:marRight w:val="0"/>
                  <w:marTop w:val="0"/>
                  <w:marBottom w:val="0"/>
                  <w:divBdr>
                    <w:top w:val="none" w:sz="0" w:space="0" w:color="auto"/>
                    <w:left w:val="none" w:sz="0" w:space="0" w:color="auto"/>
                    <w:bottom w:val="none" w:sz="0" w:space="0" w:color="auto"/>
                    <w:right w:val="none" w:sz="0" w:space="0" w:color="auto"/>
                  </w:divBdr>
                </w:div>
              </w:divsChild>
            </w:div>
            <w:div w:id="2080131812">
              <w:marLeft w:val="0"/>
              <w:marRight w:val="0"/>
              <w:marTop w:val="0"/>
              <w:marBottom w:val="0"/>
              <w:divBdr>
                <w:top w:val="none" w:sz="0" w:space="0" w:color="auto"/>
                <w:left w:val="none" w:sz="0" w:space="0" w:color="auto"/>
                <w:bottom w:val="none" w:sz="0" w:space="0" w:color="auto"/>
                <w:right w:val="none" w:sz="0" w:space="0" w:color="auto"/>
              </w:divBdr>
              <w:divsChild>
                <w:div w:id="638538244">
                  <w:marLeft w:val="0"/>
                  <w:marRight w:val="0"/>
                  <w:marTop w:val="0"/>
                  <w:marBottom w:val="0"/>
                  <w:divBdr>
                    <w:top w:val="none" w:sz="0" w:space="0" w:color="auto"/>
                    <w:left w:val="none" w:sz="0" w:space="0" w:color="auto"/>
                    <w:bottom w:val="none" w:sz="0" w:space="0" w:color="auto"/>
                    <w:right w:val="none" w:sz="0" w:space="0" w:color="auto"/>
                  </w:divBdr>
                </w:div>
              </w:divsChild>
            </w:div>
            <w:div w:id="2080445710">
              <w:marLeft w:val="0"/>
              <w:marRight w:val="0"/>
              <w:marTop w:val="0"/>
              <w:marBottom w:val="0"/>
              <w:divBdr>
                <w:top w:val="none" w:sz="0" w:space="0" w:color="auto"/>
                <w:left w:val="none" w:sz="0" w:space="0" w:color="auto"/>
                <w:bottom w:val="none" w:sz="0" w:space="0" w:color="auto"/>
                <w:right w:val="none" w:sz="0" w:space="0" w:color="auto"/>
              </w:divBdr>
              <w:divsChild>
                <w:div w:id="135993562">
                  <w:marLeft w:val="0"/>
                  <w:marRight w:val="0"/>
                  <w:marTop w:val="0"/>
                  <w:marBottom w:val="0"/>
                  <w:divBdr>
                    <w:top w:val="none" w:sz="0" w:space="0" w:color="auto"/>
                    <w:left w:val="none" w:sz="0" w:space="0" w:color="auto"/>
                    <w:bottom w:val="none" w:sz="0" w:space="0" w:color="auto"/>
                    <w:right w:val="none" w:sz="0" w:space="0" w:color="auto"/>
                  </w:divBdr>
                </w:div>
              </w:divsChild>
            </w:div>
            <w:div w:id="2080663876">
              <w:marLeft w:val="0"/>
              <w:marRight w:val="0"/>
              <w:marTop w:val="0"/>
              <w:marBottom w:val="0"/>
              <w:divBdr>
                <w:top w:val="none" w:sz="0" w:space="0" w:color="auto"/>
                <w:left w:val="none" w:sz="0" w:space="0" w:color="auto"/>
                <w:bottom w:val="none" w:sz="0" w:space="0" w:color="auto"/>
                <w:right w:val="none" w:sz="0" w:space="0" w:color="auto"/>
              </w:divBdr>
              <w:divsChild>
                <w:div w:id="147022544">
                  <w:marLeft w:val="0"/>
                  <w:marRight w:val="0"/>
                  <w:marTop w:val="0"/>
                  <w:marBottom w:val="0"/>
                  <w:divBdr>
                    <w:top w:val="none" w:sz="0" w:space="0" w:color="auto"/>
                    <w:left w:val="none" w:sz="0" w:space="0" w:color="auto"/>
                    <w:bottom w:val="none" w:sz="0" w:space="0" w:color="auto"/>
                    <w:right w:val="none" w:sz="0" w:space="0" w:color="auto"/>
                  </w:divBdr>
                </w:div>
              </w:divsChild>
            </w:div>
            <w:div w:id="2080902155">
              <w:marLeft w:val="0"/>
              <w:marRight w:val="0"/>
              <w:marTop w:val="0"/>
              <w:marBottom w:val="0"/>
              <w:divBdr>
                <w:top w:val="none" w:sz="0" w:space="0" w:color="auto"/>
                <w:left w:val="none" w:sz="0" w:space="0" w:color="auto"/>
                <w:bottom w:val="none" w:sz="0" w:space="0" w:color="auto"/>
                <w:right w:val="none" w:sz="0" w:space="0" w:color="auto"/>
              </w:divBdr>
              <w:divsChild>
                <w:div w:id="890113528">
                  <w:marLeft w:val="0"/>
                  <w:marRight w:val="0"/>
                  <w:marTop w:val="0"/>
                  <w:marBottom w:val="0"/>
                  <w:divBdr>
                    <w:top w:val="none" w:sz="0" w:space="0" w:color="auto"/>
                    <w:left w:val="none" w:sz="0" w:space="0" w:color="auto"/>
                    <w:bottom w:val="none" w:sz="0" w:space="0" w:color="auto"/>
                    <w:right w:val="none" w:sz="0" w:space="0" w:color="auto"/>
                  </w:divBdr>
                </w:div>
              </w:divsChild>
            </w:div>
            <w:div w:id="2082294240">
              <w:marLeft w:val="0"/>
              <w:marRight w:val="0"/>
              <w:marTop w:val="300"/>
              <w:marBottom w:val="300"/>
              <w:divBdr>
                <w:top w:val="none" w:sz="0" w:space="0" w:color="auto"/>
                <w:left w:val="none" w:sz="0" w:space="0" w:color="auto"/>
                <w:bottom w:val="none" w:sz="0" w:space="0" w:color="auto"/>
                <w:right w:val="none" w:sz="0" w:space="0" w:color="auto"/>
              </w:divBdr>
            </w:div>
            <w:div w:id="2083521771">
              <w:marLeft w:val="0"/>
              <w:marRight w:val="0"/>
              <w:marTop w:val="0"/>
              <w:marBottom w:val="0"/>
              <w:divBdr>
                <w:top w:val="none" w:sz="0" w:space="0" w:color="auto"/>
                <w:left w:val="none" w:sz="0" w:space="0" w:color="auto"/>
                <w:bottom w:val="none" w:sz="0" w:space="0" w:color="auto"/>
                <w:right w:val="none" w:sz="0" w:space="0" w:color="auto"/>
              </w:divBdr>
              <w:divsChild>
                <w:div w:id="785999979">
                  <w:marLeft w:val="0"/>
                  <w:marRight w:val="0"/>
                  <w:marTop w:val="0"/>
                  <w:marBottom w:val="0"/>
                  <w:divBdr>
                    <w:top w:val="none" w:sz="0" w:space="0" w:color="auto"/>
                    <w:left w:val="none" w:sz="0" w:space="0" w:color="auto"/>
                    <w:bottom w:val="none" w:sz="0" w:space="0" w:color="auto"/>
                    <w:right w:val="none" w:sz="0" w:space="0" w:color="auto"/>
                  </w:divBdr>
                </w:div>
              </w:divsChild>
            </w:div>
            <w:div w:id="2084713445">
              <w:marLeft w:val="0"/>
              <w:marRight w:val="0"/>
              <w:marTop w:val="300"/>
              <w:marBottom w:val="300"/>
              <w:divBdr>
                <w:top w:val="none" w:sz="0" w:space="0" w:color="auto"/>
                <w:left w:val="none" w:sz="0" w:space="0" w:color="auto"/>
                <w:bottom w:val="none" w:sz="0" w:space="0" w:color="auto"/>
                <w:right w:val="none" w:sz="0" w:space="0" w:color="auto"/>
              </w:divBdr>
            </w:div>
            <w:div w:id="2085489962">
              <w:marLeft w:val="0"/>
              <w:marRight w:val="0"/>
              <w:marTop w:val="0"/>
              <w:marBottom w:val="0"/>
              <w:divBdr>
                <w:top w:val="none" w:sz="0" w:space="0" w:color="auto"/>
                <w:left w:val="none" w:sz="0" w:space="0" w:color="auto"/>
                <w:bottom w:val="none" w:sz="0" w:space="0" w:color="auto"/>
                <w:right w:val="none" w:sz="0" w:space="0" w:color="auto"/>
              </w:divBdr>
              <w:divsChild>
                <w:div w:id="1604846715">
                  <w:marLeft w:val="0"/>
                  <w:marRight w:val="0"/>
                  <w:marTop w:val="0"/>
                  <w:marBottom w:val="0"/>
                  <w:divBdr>
                    <w:top w:val="none" w:sz="0" w:space="0" w:color="auto"/>
                    <w:left w:val="none" w:sz="0" w:space="0" w:color="auto"/>
                    <w:bottom w:val="none" w:sz="0" w:space="0" w:color="auto"/>
                    <w:right w:val="none" w:sz="0" w:space="0" w:color="auto"/>
                  </w:divBdr>
                </w:div>
              </w:divsChild>
            </w:div>
            <w:div w:id="2087026013">
              <w:marLeft w:val="0"/>
              <w:marRight w:val="0"/>
              <w:marTop w:val="300"/>
              <w:marBottom w:val="300"/>
              <w:divBdr>
                <w:top w:val="none" w:sz="0" w:space="0" w:color="auto"/>
                <w:left w:val="none" w:sz="0" w:space="0" w:color="auto"/>
                <w:bottom w:val="none" w:sz="0" w:space="0" w:color="auto"/>
                <w:right w:val="none" w:sz="0" w:space="0" w:color="auto"/>
              </w:divBdr>
            </w:div>
            <w:div w:id="2088576032">
              <w:marLeft w:val="0"/>
              <w:marRight w:val="0"/>
              <w:marTop w:val="0"/>
              <w:marBottom w:val="0"/>
              <w:divBdr>
                <w:top w:val="none" w:sz="0" w:space="0" w:color="auto"/>
                <w:left w:val="none" w:sz="0" w:space="0" w:color="auto"/>
                <w:bottom w:val="none" w:sz="0" w:space="0" w:color="auto"/>
                <w:right w:val="none" w:sz="0" w:space="0" w:color="auto"/>
              </w:divBdr>
              <w:divsChild>
                <w:div w:id="1979262541">
                  <w:marLeft w:val="0"/>
                  <w:marRight w:val="0"/>
                  <w:marTop w:val="0"/>
                  <w:marBottom w:val="0"/>
                  <w:divBdr>
                    <w:top w:val="none" w:sz="0" w:space="0" w:color="auto"/>
                    <w:left w:val="none" w:sz="0" w:space="0" w:color="auto"/>
                    <w:bottom w:val="none" w:sz="0" w:space="0" w:color="auto"/>
                    <w:right w:val="none" w:sz="0" w:space="0" w:color="auto"/>
                  </w:divBdr>
                </w:div>
              </w:divsChild>
            </w:div>
            <w:div w:id="2090273836">
              <w:marLeft w:val="0"/>
              <w:marRight w:val="0"/>
              <w:marTop w:val="0"/>
              <w:marBottom w:val="0"/>
              <w:divBdr>
                <w:top w:val="none" w:sz="0" w:space="0" w:color="auto"/>
                <w:left w:val="none" w:sz="0" w:space="0" w:color="auto"/>
                <w:bottom w:val="none" w:sz="0" w:space="0" w:color="auto"/>
                <w:right w:val="none" w:sz="0" w:space="0" w:color="auto"/>
              </w:divBdr>
              <w:divsChild>
                <w:div w:id="1313100669">
                  <w:marLeft w:val="0"/>
                  <w:marRight w:val="0"/>
                  <w:marTop w:val="0"/>
                  <w:marBottom w:val="0"/>
                  <w:divBdr>
                    <w:top w:val="none" w:sz="0" w:space="0" w:color="auto"/>
                    <w:left w:val="none" w:sz="0" w:space="0" w:color="auto"/>
                    <w:bottom w:val="none" w:sz="0" w:space="0" w:color="auto"/>
                    <w:right w:val="none" w:sz="0" w:space="0" w:color="auto"/>
                  </w:divBdr>
                </w:div>
              </w:divsChild>
            </w:div>
            <w:div w:id="2090617746">
              <w:marLeft w:val="0"/>
              <w:marRight w:val="0"/>
              <w:marTop w:val="0"/>
              <w:marBottom w:val="0"/>
              <w:divBdr>
                <w:top w:val="none" w:sz="0" w:space="0" w:color="auto"/>
                <w:left w:val="none" w:sz="0" w:space="0" w:color="auto"/>
                <w:bottom w:val="none" w:sz="0" w:space="0" w:color="auto"/>
                <w:right w:val="none" w:sz="0" w:space="0" w:color="auto"/>
              </w:divBdr>
              <w:divsChild>
                <w:div w:id="125045524">
                  <w:marLeft w:val="0"/>
                  <w:marRight w:val="0"/>
                  <w:marTop w:val="0"/>
                  <w:marBottom w:val="0"/>
                  <w:divBdr>
                    <w:top w:val="none" w:sz="0" w:space="0" w:color="auto"/>
                    <w:left w:val="none" w:sz="0" w:space="0" w:color="auto"/>
                    <w:bottom w:val="none" w:sz="0" w:space="0" w:color="auto"/>
                    <w:right w:val="none" w:sz="0" w:space="0" w:color="auto"/>
                  </w:divBdr>
                </w:div>
              </w:divsChild>
            </w:div>
            <w:div w:id="2092700951">
              <w:marLeft w:val="0"/>
              <w:marRight w:val="0"/>
              <w:marTop w:val="0"/>
              <w:marBottom w:val="0"/>
              <w:divBdr>
                <w:top w:val="none" w:sz="0" w:space="0" w:color="auto"/>
                <w:left w:val="none" w:sz="0" w:space="0" w:color="auto"/>
                <w:bottom w:val="none" w:sz="0" w:space="0" w:color="auto"/>
                <w:right w:val="none" w:sz="0" w:space="0" w:color="auto"/>
              </w:divBdr>
              <w:divsChild>
                <w:div w:id="832455788">
                  <w:marLeft w:val="0"/>
                  <w:marRight w:val="0"/>
                  <w:marTop w:val="0"/>
                  <w:marBottom w:val="0"/>
                  <w:divBdr>
                    <w:top w:val="none" w:sz="0" w:space="0" w:color="auto"/>
                    <w:left w:val="none" w:sz="0" w:space="0" w:color="auto"/>
                    <w:bottom w:val="none" w:sz="0" w:space="0" w:color="auto"/>
                    <w:right w:val="none" w:sz="0" w:space="0" w:color="auto"/>
                  </w:divBdr>
                </w:div>
              </w:divsChild>
            </w:div>
            <w:div w:id="2094817322">
              <w:marLeft w:val="0"/>
              <w:marRight w:val="0"/>
              <w:marTop w:val="0"/>
              <w:marBottom w:val="0"/>
              <w:divBdr>
                <w:top w:val="none" w:sz="0" w:space="0" w:color="auto"/>
                <w:left w:val="none" w:sz="0" w:space="0" w:color="auto"/>
                <w:bottom w:val="none" w:sz="0" w:space="0" w:color="auto"/>
                <w:right w:val="none" w:sz="0" w:space="0" w:color="auto"/>
              </w:divBdr>
              <w:divsChild>
                <w:div w:id="1310093857">
                  <w:marLeft w:val="0"/>
                  <w:marRight w:val="0"/>
                  <w:marTop w:val="0"/>
                  <w:marBottom w:val="0"/>
                  <w:divBdr>
                    <w:top w:val="none" w:sz="0" w:space="0" w:color="auto"/>
                    <w:left w:val="none" w:sz="0" w:space="0" w:color="auto"/>
                    <w:bottom w:val="none" w:sz="0" w:space="0" w:color="auto"/>
                    <w:right w:val="none" w:sz="0" w:space="0" w:color="auto"/>
                  </w:divBdr>
                </w:div>
              </w:divsChild>
            </w:div>
            <w:div w:id="2094886052">
              <w:marLeft w:val="0"/>
              <w:marRight w:val="0"/>
              <w:marTop w:val="0"/>
              <w:marBottom w:val="0"/>
              <w:divBdr>
                <w:top w:val="none" w:sz="0" w:space="0" w:color="auto"/>
                <w:left w:val="none" w:sz="0" w:space="0" w:color="auto"/>
                <w:bottom w:val="none" w:sz="0" w:space="0" w:color="auto"/>
                <w:right w:val="none" w:sz="0" w:space="0" w:color="auto"/>
              </w:divBdr>
              <w:divsChild>
                <w:div w:id="1588079148">
                  <w:marLeft w:val="0"/>
                  <w:marRight w:val="0"/>
                  <w:marTop w:val="0"/>
                  <w:marBottom w:val="0"/>
                  <w:divBdr>
                    <w:top w:val="none" w:sz="0" w:space="0" w:color="auto"/>
                    <w:left w:val="none" w:sz="0" w:space="0" w:color="auto"/>
                    <w:bottom w:val="none" w:sz="0" w:space="0" w:color="auto"/>
                    <w:right w:val="none" w:sz="0" w:space="0" w:color="auto"/>
                  </w:divBdr>
                </w:div>
              </w:divsChild>
            </w:div>
            <w:div w:id="2096049532">
              <w:marLeft w:val="0"/>
              <w:marRight w:val="0"/>
              <w:marTop w:val="0"/>
              <w:marBottom w:val="0"/>
              <w:divBdr>
                <w:top w:val="none" w:sz="0" w:space="0" w:color="auto"/>
                <w:left w:val="none" w:sz="0" w:space="0" w:color="auto"/>
                <w:bottom w:val="none" w:sz="0" w:space="0" w:color="auto"/>
                <w:right w:val="none" w:sz="0" w:space="0" w:color="auto"/>
              </w:divBdr>
              <w:divsChild>
                <w:div w:id="2143381191">
                  <w:marLeft w:val="0"/>
                  <w:marRight w:val="0"/>
                  <w:marTop w:val="0"/>
                  <w:marBottom w:val="0"/>
                  <w:divBdr>
                    <w:top w:val="none" w:sz="0" w:space="0" w:color="auto"/>
                    <w:left w:val="none" w:sz="0" w:space="0" w:color="auto"/>
                    <w:bottom w:val="none" w:sz="0" w:space="0" w:color="auto"/>
                    <w:right w:val="none" w:sz="0" w:space="0" w:color="auto"/>
                  </w:divBdr>
                </w:div>
              </w:divsChild>
            </w:div>
            <w:div w:id="2096510620">
              <w:marLeft w:val="0"/>
              <w:marRight w:val="0"/>
              <w:marTop w:val="0"/>
              <w:marBottom w:val="0"/>
              <w:divBdr>
                <w:top w:val="none" w:sz="0" w:space="0" w:color="auto"/>
                <w:left w:val="none" w:sz="0" w:space="0" w:color="auto"/>
                <w:bottom w:val="none" w:sz="0" w:space="0" w:color="auto"/>
                <w:right w:val="none" w:sz="0" w:space="0" w:color="auto"/>
              </w:divBdr>
              <w:divsChild>
                <w:div w:id="833495459">
                  <w:marLeft w:val="0"/>
                  <w:marRight w:val="0"/>
                  <w:marTop w:val="0"/>
                  <w:marBottom w:val="0"/>
                  <w:divBdr>
                    <w:top w:val="none" w:sz="0" w:space="0" w:color="auto"/>
                    <w:left w:val="none" w:sz="0" w:space="0" w:color="auto"/>
                    <w:bottom w:val="none" w:sz="0" w:space="0" w:color="auto"/>
                    <w:right w:val="none" w:sz="0" w:space="0" w:color="auto"/>
                  </w:divBdr>
                </w:div>
              </w:divsChild>
            </w:div>
            <w:div w:id="2099399946">
              <w:marLeft w:val="0"/>
              <w:marRight w:val="0"/>
              <w:marTop w:val="0"/>
              <w:marBottom w:val="0"/>
              <w:divBdr>
                <w:top w:val="none" w:sz="0" w:space="0" w:color="auto"/>
                <w:left w:val="none" w:sz="0" w:space="0" w:color="auto"/>
                <w:bottom w:val="none" w:sz="0" w:space="0" w:color="auto"/>
                <w:right w:val="none" w:sz="0" w:space="0" w:color="auto"/>
              </w:divBdr>
              <w:divsChild>
                <w:div w:id="520359867">
                  <w:marLeft w:val="0"/>
                  <w:marRight w:val="0"/>
                  <w:marTop w:val="0"/>
                  <w:marBottom w:val="0"/>
                  <w:divBdr>
                    <w:top w:val="none" w:sz="0" w:space="0" w:color="auto"/>
                    <w:left w:val="none" w:sz="0" w:space="0" w:color="auto"/>
                    <w:bottom w:val="none" w:sz="0" w:space="0" w:color="auto"/>
                    <w:right w:val="none" w:sz="0" w:space="0" w:color="auto"/>
                  </w:divBdr>
                </w:div>
              </w:divsChild>
            </w:div>
            <w:div w:id="2100439799">
              <w:marLeft w:val="0"/>
              <w:marRight w:val="0"/>
              <w:marTop w:val="0"/>
              <w:marBottom w:val="0"/>
              <w:divBdr>
                <w:top w:val="none" w:sz="0" w:space="0" w:color="auto"/>
                <w:left w:val="none" w:sz="0" w:space="0" w:color="auto"/>
                <w:bottom w:val="none" w:sz="0" w:space="0" w:color="auto"/>
                <w:right w:val="none" w:sz="0" w:space="0" w:color="auto"/>
              </w:divBdr>
              <w:divsChild>
                <w:div w:id="1137259580">
                  <w:marLeft w:val="0"/>
                  <w:marRight w:val="0"/>
                  <w:marTop w:val="0"/>
                  <w:marBottom w:val="0"/>
                  <w:divBdr>
                    <w:top w:val="none" w:sz="0" w:space="0" w:color="auto"/>
                    <w:left w:val="none" w:sz="0" w:space="0" w:color="auto"/>
                    <w:bottom w:val="none" w:sz="0" w:space="0" w:color="auto"/>
                    <w:right w:val="none" w:sz="0" w:space="0" w:color="auto"/>
                  </w:divBdr>
                </w:div>
              </w:divsChild>
            </w:div>
            <w:div w:id="2102749223">
              <w:marLeft w:val="0"/>
              <w:marRight w:val="0"/>
              <w:marTop w:val="0"/>
              <w:marBottom w:val="0"/>
              <w:divBdr>
                <w:top w:val="none" w:sz="0" w:space="0" w:color="auto"/>
                <w:left w:val="none" w:sz="0" w:space="0" w:color="auto"/>
                <w:bottom w:val="none" w:sz="0" w:space="0" w:color="auto"/>
                <w:right w:val="none" w:sz="0" w:space="0" w:color="auto"/>
              </w:divBdr>
              <w:divsChild>
                <w:div w:id="107313324">
                  <w:marLeft w:val="0"/>
                  <w:marRight w:val="0"/>
                  <w:marTop w:val="0"/>
                  <w:marBottom w:val="0"/>
                  <w:divBdr>
                    <w:top w:val="none" w:sz="0" w:space="0" w:color="auto"/>
                    <w:left w:val="none" w:sz="0" w:space="0" w:color="auto"/>
                    <w:bottom w:val="none" w:sz="0" w:space="0" w:color="auto"/>
                    <w:right w:val="none" w:sz="0" w:space="0" w:color="auto"/>
                  </w:divBdr>
                </w:div>
              </w:divsChild>
            </w:div>
            <w:div w:id="2104301168">
              <w:marLeft w:val="0"/>
              <w:marRight w:val="0"/>
              <w:marTop w:val="0"/>
              <w:marBottom w:val="0"/>
              <w:divBdr>
                <w:top w:val="none" w:sz="0" w:space="0" w:color="auto"/>
                <w:left w:val="none" w:sz="0" w:space="0" w:color="auto"/>
                <w:bottom w:val="none" w:sz="0" w:space="0" w:color="auto"/>
                <w:right w:val="none" w:sz="0" w:space="0" w:color="auto"/>
              </w:divBdr>
              <w:divsChild>
                <w:div w:id="2120833824">
                  <w:marLeft w:val="0"/>
                  <w:marRight w:val="0"/>
                  <w:marTop w:val="0"/>
                  <w:marBottom w:val="0"/>
                  <w:divBdr>
                    <w:top w:val="none" w:sz="0" w:space="0" w:color="auto"/>
                    <w:left w:val="none" w:sz="0" w:space="0" w:color="auto"/>
                    <w:bottom w:val="none" w:sz="0" w:space="0" w:color="auto"/>
                    <w:right w:val="none" w:sz="0" w:space="0" w:color="auto"/>
                  </w:divBdr>
                </w:div>
              </w:divsChild>
            </w:div>
            <w:div w:id="2106417175">
              <w:marLeft w:val="0"/>
              <w:marRight w:val="0"/>
              <w:marTop w:val="0"/>
              <w:marBottom w:val="0"/>
              <w:divBdr>
                <w:top w:val="none" w:sz="0" w:space="0" w:color="auto"/>
                <w:left w:val="none" w:sz="0" w:space="0" w:color="auto"/>
                <w:bottom w:val="none" w:sz="0" w:space="0" w:color="auto"/>
                <w:right w:val="none" w:sz="0" w:space="0" w:color="auto"/>
              </w:divBdr>
              <w:divsChild>
                <w:div w:id="1226839942">
                  <w:marLeft w:val="0"/>
                  <w:marRight w:val="0"/>
                  <w:marTop w:val="0"/>
                  <w:marBottom w:val="0"/>
                  <w:divBdr>
                    <w:top w:val="none" w:sz="0" w:space="0" w:color="auto"/>
                    <w:left w:val="none" w:sz="0" w:space="0" w:color="auto"/>
                    <w:bottom w:val="none" w:sz="0" w:space="0" w:color="auto"/>
                    <w:right w:val="none" w:sz="0" w:space="0" w:color="auto"/>
                  </w:divBdr>
                </w:div>
              </w:divsChild>
            </w:div>
            <w:div w:id="2107533890">
              <w:marLeft w:val="0"/>
              <w:marRight w:val="0"/>
              <w:marTop w:val="0"/>
              <w:marBottom w:val="0"/>
              <w:divBdr>
                <w:top w:val="none" w:sz="0" w:space="0" w:color="auto"/>
                <w:left w:val="none" w:sz="0" w:space="0" w:color="auto"/>
                <w:bottom w:val="none" w:sz="0" w:space="0" w:color="auto"/>
                <w:right w:val="none" w:sz="0" w:space="0" w:color="auto"/>
              </w:divBdr>
              <w:divsChild>
                <w:div w:id="1559631807">
                  <w:marLeft w:val="0"/>
                  <w:marRight w:val="0"/>
                  <w:marTop w:val="0"/>
                  <w:marBottom w:val="0"/>
                  <w:divBdr>
                    <w:top w:val="none" w:sz="0" w:space="0" w:color="auto"/>
                    <w:left w:val="none" w:sz="0" w:space="0" w:color="auto"/>
                    <w:bottom w:val="none" w:sz="0" w:space="0" w:color="auto"/>
                    <w:right w:val="none" w:sz="0" w:space="0" w:color="auto"/>
                  </w:divBdr>
                </w:div>
              </w:divsChild>
            </w:div>
            <w:div w:id="2107772418">
              <w:marLeft w:val="0"/>
              <w:marRight w:val="0"/>
              <w:marTop w:val="0"/>
              <w:marBottom w:val="0"/>
              <w:divBdr>
                <w:top w:val="none" w:sz="0" w:space="0" w:color="auto"/>
                <w:left w:val="none" w:sz="0" w:space="0" w:color="auto"/>
                <w:bottom w:val="none" w:sz="0" w:space="0" w:color="auto"/>
                <w:right w:val="none" w:sz="0" w:space="0" w:color="auto"/>
              </w:divBdr>
              <w:divsChild>
                <w:div w:id="1358001480">
                  <w:marLeft w:val="0"/>
                  <w:marRight w:val="0"/>
                  <w:marTop w:val="0"/>
                  <w:marBottom w:val="0"/>
                  <w:divBdr>
                    <w:top w:val="none" w:sz="0" w:space="0" w:color="auto"/>
                    <w:left w:val="none" w:sz="0" w:space="0" w:color="auto"/>
                    <w:bottom w:val="none" w:sz="0" w:space="0" w:color="auto"/>
                    <w:right w:val="none" w:sz="0" w:space="0" w:color="auto"/>
                  </w:divBdr>
                </w:div>
              </w:divsChild>
            </w:div>
            <w:div w:id="2108964497">
              <w:marLeft w:val="0"/>
              <w:marRight w:val="0"/>
              <w:marTop w:val="0"/>
              <w:marBottom w:val="0"/>
              <w:divBdr>
                <w:top w:val="none" w:sz="0" w:space="0" w:color="auto"/>
                <w:left w:val="none" w:sz="0" w:space="0" w:color="auto"/>
                <w:bottom w:val="none" w:sz="0" w:space="0" w:color="auto"/>
                <w:right w:val="none" w:sz="0" w:space="0" w:color="auto"/>
              </w:divBdr>
              <w:divsChild>
                <w:div w:id="1117456374">
                  <w:marLeft w:val="0"/>
                  <w:marRight w:val="0"/>
                  <w:marTop w:val="0"/>
                  <w:marBottom w:val="0"/>
                  <w:divBdr>
                    <w:top w:val="none" w:sz="0" w:space="0" w:color="auto"/>
                    <w:left w:val="none" w:sz="0" w:space="0" w:color="auto"/>
                    <w:bottom w:val="none" w:sz="0" w:space="0" w:color="auto"/>
                    <w:right w:val="none" w:sz="0" w:space="0" w:color="auto"/>
                  </w:divBdr>
                </w:div>
              </w:divsChild>
            </w:div>
            <w:div w:id="2109158437">
              <w:marLeft w:val="0"/>
              <w:marRight w:val="0"/>
              <w:marTop w:val="0"/>
              <w:marBottom w:val="0"/>
              <w:divBdr>
                <w:top w:val="none" w:sz="0" w:space="0" w:color="auto"/>
                <w:left w:val="none" w:sz="0" w:space="0" w:color="auto"/>
                <w:bottom w:val="none" w:sz="0" w:space="0" w:color="auto"/>
                <w:right w:val="none" w:sz="0" w:space="0" w:color="auto"/>
              </w:divBdr>
              <w:divsChild>
                <w:div w:id="326448071">
                  <w:marLeft w:val="0"/>
                  <w:marRight w:val="0"/>
                  <w:marTop w:val="0"/>
                  <w:marBottom w:val="0"/>
                  <w:divBdr>
                    <w:top w:val="none" w:sz="0" w:space="0" w:color="auto"/>
                    <w:left w:val="none" w:sz="0" w:space="0" w:color="auto"/>
                    <w:bottom w:val="none" w:sz="0" w:space="0" w:color="auto"/>
                    <w:right w:val="none" w:sz="0" w:space="0" w:color="auto"/>
                  </w:divBdr>
                </w:div>
              </w:divsChild>
            </w:div>
            <w:div w:id="2109616545">
              <w:marLeft w:val="0"/>
              <w:marRight w:val="0"/>
              <w:marTop w:val="0"/>
              <w:marBottom w:val="0"/>
              <w:divBdr>
                <w:top w:val="none" w:sz="0" w:space="0" w:color="auto"/>
                <w:left w:val="none" w:sz="0" w:space="0" w:color="auto"/>
                <w:bottom w:val="none" w:sz="0" w:space="0" w:color="auto"/>
                <w:right w:val="none" w:sz="0" w:space="0" w:color="auto"/>
              </w:divBdr>
              <w:divsChild>
                <w:div w:id="1993899444">
                  <w:marLeft w:val="0"/>
                  <w:marRight w:val="0"/>
                  <w:marTop w:val="0"/>
                  <w:marBottom w:val="0"/>
                  <w:divBdr>
                    <w:top w:val="none" w:sz="0" w:space="0" w:color="auto"/>
                    <w:left w:val="none" w:sz="0" w:space="0" w:color="auto"/>
                    <w:bottom w:val="none" w:sz="0" w:space="0" w:color="auto"/>
                    <w:right w:val="none" w:sz="0" w:space="0" w:color="auto"/>
                  </w:divBdr>
                </w:div>
              </w:divsChild>
            </w:div>
            <w:div w:id="2110541829">
              <w:marLeft w:val="0"/>
              <w:marRight w:val="0"/>
              <w:marTop w:val="300"/>
              <w:marBottom w:val="300"/>
              <w:divBdr>
                <w:top w:val="none" w:sz="0" w:space="0" w:color="auto"/>
                <w:left w:val="none" w:sz="0" w:space="0" w:color="auto"/>
                <w:bottom w:val="none" w:sz="0" w:space="0" w:color="auto"/>
                <w:right w:val="none" w:sz="0" w:space="0" w:color="auto"/>
              </w:divBdr>
            </w:div>
            <w:div w:id="2112823433">
              <w:marLeft w:val="0"/>
              <w:marRight w:val="0"/>
              <w:marTop w:val="0"/>
              <w:marBottom w:val="0"/>
              <w:divBdr>
                <w:top w:val="none" w:sz="0" w:space="0" w:color="auto"/>
                <w:left w:val="none" w:sz="0" w:space="0" w:color="auto"/>
                <w:bottom w:val="none" w:sz="0" w:space="0" w:color="auto"/>
                <w:right w:val="none" w:sz="0" w:space="0" w:color="auto"/>
              </w:divBdr>
              <w:divsChild>
                <w:div w:id="1110050356">
                  <w:marLeft w:val="0"/>
                  <w:marRight w:val="0"/>
                  <w:marTop w:val="0"/>
                  <w:marBottom w:val="0"/>
                  <w:divBdr>
                    <w:top w:val="none" w:sz="0" w:space="0" w:color="auto"/>
                    <w:left w:val="none" w:sz="0" w:space="0" w:color="auto"/>
                    <w:bottom w:val="none" w:sz="0" w:space="0" w:color="auto"/>
                    <w:right w:val="none" w:sz="0" w:space="0" w:color="auto"/>
                  </w:divBdr>
                </w:div>
              </w:divsChild>
            </w:div>
            <w:div w:id="2113890557">
              <w:marLeft w:val="0"/>
              <w:marRight w:val="0"/>
              <w:marTop w:val="0"/>
              <w:marBottom w:val="0"/>
              <w:divBdr>
                <w:top w:val="none" w:sz="0" w:space="0" w:color="auto"/>
                <w:left w:val="none" w:sz="0" w:space="0" w:color="auto"/>
                <w:bottom w:val="none" w:sz="0" w:space="0" w:color="auto"/>
                <w:right w:val="none" w:sz="0" w:space="0" w:color="auto"/>
              </w:divBdr>
              <w:divsChild>
                <w:div w:id="4140859">
                  <w:marLeft w:val="0"/>
                  <w:marRight w:val="0"/>
                  <w:marTop w:val="0"/>
                  <w:marBottom w:val="0"/>
                  <w:divBdr>
                    <w:top w:val="none" w:sz="0" w:space="0" w:color="auto"/>
                    <w:left w:val="none" w:sz="0" w:space="0" w:color="auto"/>
                    <w:bottom w:val="none" w:sz="0" w:space="0" w:color="auto"/>
                    <w:right w:val="none" w:sz="0" w:space="0" w:color="auto"/>
                  </w:divBdr>
                </w:div>
              </w:divsChild>
            </w:div>
            <w:div w:id="2114476279">
              <w:marLeft w:val="0"/>
              <w:marRight w:val="0"/>
              <w:marTop w:val="0"/>
              <w:marBottom w:val="0"/>
              <w:divBdr>
                <w:top w:val="none" w:sz="0" w:space="0" w:color="auto"/>
                <w:left w:val="none" w:sz="0" w:space="0" w:color="auto"/>
                <w:bottom w:val="none" w:sz="0" w:space="0" w:color="auto"/>
                <w:right w:val="none" w:sz="0" w:space="0" w:color="auto"/>
              </w:divBdr>
              <w:divsChild>
                <w:div w:id="1060714546">
                  <w:marLeft w:val="0"/>
                  <w:marRight w:val="0"/>
                  <w:marTop w:val="0"/>
                  <w:marBottom w:val="0"/>
                  <w:divBdr>
                    <w:top w:val="none" w:sz="0" w:space="0" w:color="auto"/>
                    <w:left w:val="none" w:sz="0" w:space="0" w:color="auto"/>
                    <w:bottom w:val="none" w:sz="0" w:space="0" w:color="auto"/>
                    <w:right w:val="none" w:sz="0" w:space="0" w:color="auto"/>
                  </w:divBdr>
                </w:div>
              </w:divsChild>
            </w:div>
            <w:div w:id="2115511082">
              <w:marLeft w:val="0"/>
              <w:marRight w:val="0"/>
              <w:marTop w:val="0"/>
              <w:marBottom w:val="0"/>
              <w:divBdr>
                <w:top w:val="none" w:sz="0" w:space="0" w:color="auto"/>
                <w:left w:val="none" w:sz="0" w:space="0" w:color="auto"/>
                <w:bottom w:val="none" w:sz="0" w:space="0" w:color="auto"/>
                <w:right w:val="none" w:sz="0" w:space="0" w:color="auto"/>
              </w:divBdr>
              <w:divsChild>
                <w:div w:id="1461338266">
                  <w:marLeft w:val="0"/>
                  <w:marRight w:val="0"/>
                  <w:marTop w:val="0"/>
                  <w:marBottom w:val="0"/>
                  <w:divBdr>
                    <w:top w:val="none" w:sz="0" w:space="0" w:color="auto"/>
                    <w:left w:val="none" w:sz="0" w:space="0" w:color="auto"/>
                    <w:bottom w:val="none" w:sz="0" w:space="0" w:color="auto"/>
                    <w:right w:val="none" w:sz="0" w:space="0" w:color="auto"/>
                  </w:divBdr>
                </w:div>
              </w:divsChild>
            </w:div>
            <w:div w:id="2115516245">
              <w:marLeft w:val="0"/>
              <w:marRight w:val="0"/>
              <w:marTop w:val="0"/>
              <w:marBottom w:val="0"/>
              <w:divBdr>
                <w:top w:val="none" w:sz="0" w:space="0" w:color="auto"/>
                <w:left w:val="none" w:sz="0" w:space="0" w:color="auto"/>
                <w:bottom w:val="none" w:sz="0" w:space="0" w:color="auto"/>
                <w:right w:val="none" w:sz="0" w:space="0" w:color="auto"/>
              </w:divBdr>
              <w:divsChild>
                <w:div w:id="1871916252">
                  <w:marLeft w:val="0"/>
                  <w:marRight w:val="0"/>
                  <w:marTop w:val="0"/>
                  <w:marBottom w:val="0"/>
                  <w:divBdr>
                    <w:top w:val="none" w:sz="0" w:space="0" w:color="auto"/>
                    <w:left w:val="none" w:sz="0" w:space="0" w:color="auto"/>
                    <w:bottom w:val="none" w:sz="0" w:space="0" w:color="auto"/>
                    <w:right w:val="none" w:sz="0" w:space="0" w:color="auto"/>
                  </w:divBdr>
                </w:div>
              </w:divsChild>
            </w:div>
            <w:div w:id="2115590281">
              <w:marLeft w:val="0"/>
              <w:marRight w:val="0"/>
              <w:marTop w:val="0"/>
              <w:marBottom w:val="0"/>
              <w:divBdr>
                <w:top w:val="none" w:sz="0" w:space="0" w:color="auto"/>
                <w:left w:val="none" w:sz="0" w:space="0" w:color="auto"/>
                <w:bottom w:val="none" w:sz="0" w:space="0" w:color="auto"/>
                <w:right w:val="none" w:sz="0" w:space="0" w:color="auto"/>
              </w:divBdr>
              <w:divsChild>
                <w:div w:id="2052723063">
                  <w:marLeft w:val="0"/>
                  <w:marRight w:val="0"/>
                  <w:marTop w:val="0"/>
                  <w:marBottom w:val="0"/>
                  <w:divBdr>
                    <w:top w:val="none" w:sz="0" w:space="0" w:color="auto"/>
                    <w:left w:val="none" w:sz="0" w:space="0" w:color="auto"/>
                    <w:bottom w:val="none" w:sz="0" w:space="0" w:color="auto"/>
                    <w:right w:val="none" w:sz="0" w:space="0" w:color="auto"/>
                  </w:divBdr>
                </w:div>
              </w:divsChild>
            </w:div>
            <w:div w:id="2115786045">
              <w:marLeft w:val="0"/>
              <w:marRight w:val="0"/>
              <w:marTop w:val="300"/>
              <w:marBottom w:val="300"/>
              <w:divBdr>
                <w:top w:val="none" w:sz="0" w:space="0" w:color="auto"/>
                <w:left w:val="none" w:sz="0" w:space="0" w:color="auto"/>
                <w:bottom w:val="none" w:sz="0" w:space="0" w:color="auto"/>
                <w:right w:val="none" w:sz="0" w:space="0" w:color="auto"/>
              </w:divBdr>
            </w:div>
            <w:div w:id="2116517117">
              <w:marLeft w:val="0"/>
              <w:marRight w:val="0"/>
              <w:marTop w:val="0"/>
              <w:marBottom w:val="0"/>
              <w:divBdr>
                <w:top w:val="none" w:sz="0" w:space="0" w:color="auto"/>
                <w:left w:val="none" w:sz="0" w:space="0" w:color="auto"/>
                <w:bottom w:val="none" w:sz="0" w:space="0" w:color="auto"/>
                <w:right w:val="none" w:sz="0" w:space="0" w:color="auto"/>
              </w:divBdr>
              <w:divsChild>
                <w:div w:id="1284112644">
                  <w:marLeft w:val="0"/>
                  <w:marRight w:val="0"/>
                  <w:marTop w:val="0"/>
                  <w:marBottom w:val="0"/>
                  <w:divBdr>
                    <w:top w:val="none" w:sz="0" w:space="0" w:color="auto"/>
                    <w:left w:val="none" w:sz="0" w:space="0" w:color="auto"/>
                    <w:bottom w:val="none" w:sz="0" w:space="0" w:color="auto"/>
                    <w:right w:val="none" w:sz="0" w:space="0" w:color="auto"/>
                  </w:divBdr>
                </w:div>
              </w:divsChild>
            </w:div>
            <w:div w:id="2118521422">
              <w:marLeft w:val="0"/>
              <w:marRight w:val="0"/>
              <w:marTop w:val="0"/>
              <w:marBottom w:val="0"/>
              <w:divBdr>
                <w:top w:val="none" w:sz="0" w:space="0" w:color="auto"/>
                <w:left w:val="none" w:sz="0" w:space="0" w:color="auto"/>
                <w:bottom w:val="none" w:sz="0" w:space="0" w:color="auto"/>
                <w:right w:val="none" w:sz="0" w:space="0" w:color="auto"/>
              </w:divBdr>
              <w:divsChild>
                <w:div w:id="1159156151">
                  <w:marLeft w:val="0"/>
                  <w:marRight w:val="0"/>
                  <w:marTop w:val="0"/>
                  <w:marBottom w:val="0"/>
                  <w:divBdr>
                    <w:top w:val="none" w:sz="0" w:space="0" w:color="auto"/>
                    <w:left w:val="none" w:sz="0" w:space="0" w:color="auto"/>
                    <w:bottom w:val="none" w:sz="0" w:space="0" w:color="auto"/>
                    <w:right w:val="none" w:sz="0" w:space="0" w:color="auto"/>
                  </w:divBdr>
                </w:div>
              </w:divsChild>
            </w:div>
            <w:div w:id="2118594328">
              <w:marLeft w:val="0"/>
              <w:marRight w:val="0"/>
              <w:marTop w:val="0"/>
              <w:marBottom w:val="0"/>
              <w:divBdr>
                <w:top w:val="none" w:sz="0" w:space="0" w:color="auto"/>
                <w:left w:val="none" w:sz="0" w:space="0" w:color="auto"/>
                <w:bottom w:val="none" w:sz="0" w:space="0" w:color="auto"/>
                <w:right w:val="none" w:sz="0" w:space="0" w:color="auto"/>
              </w:divBdr>
              <w:divsChild>
                <w:div w:id="198321191">
                  <w:marLeft w:val="0"/>
                  <w:marRight w:val="0"/>
                  <w:marTop w:val="0"/>
                  <w:marBottom w:val="0"/>
                  <w:divBdr>
                    <w:top w:val="none" w:sz="0" w:space="0" w:color="auto"/>
                    <w:left w:val="none" w:sz="0" w:space="0" w:color="auto"/>
                    <w:bottom w:val="none" w:sz="0" w:space="0" w:color="auto"/>
                    <w:right w:val="none" w:sz="0" w:space="0" w:color="auto"/>
                  </w:divBdr>
                </w:div>
              </w:divsChild>
            </w:div>
            <w:div w:id="2118867676">
              <w:marLeft w:val="0"/>
              <w:marRight w:val="0"/>
              <w:marTop w:val="0"/>
              <w:marBottom w:val="0"/>
              <w:divBdr>
                <w:top w:val="none" w:sz="0" w:space="0" w:color="auto"/>
                <w:left w:val="none" w:sz="0" w:space="0" w:color="auto"/>
                <w:bottom w:val="none" w:sz="0" w:space="0" w:color="auto"/>
                <w:right w:val="none" w:sz="0" w:space="0" w:color="auto"/>
              </w:divBdr>
              <w:divsChild>
                <w:div w:id="1496796112">
                  <w:marLeft w:val="0"/>
                  <w:marRight w:val="0"/>
                  <w:marTop w:val="0"/>
                  <w:marBottom w:val="0"/>
                  <w:divBdr>
                    <w:top w:val="none" w:sz="0" w:space="0" w:color="auto"/>
                    <w:left w:val="none" w:sz="0" w:space="0" w:color="auto"/>
                    <w:bottom w:val="none" w:sz="0" w:space="0" w:color="auto"/>
                    <w:right w:val="none" w:sz="0" w:space="0" w:color="auto"/>
                  </w:divBdr>
                </w:div>
              </w:divsChild>
            </w:div>
            <w:div w:id="2118980456">
              <w:marLeft w:val="0"/>
              <w:marRight w:val="0"/>
              <w:marTop w:val="0"/>
              <w:marBottom w:val="0"/>
              <w:divBdr>
                <w:top w:val="none" w:sz="0" w:space="0" w:color="auto"/>
                <w:left w:val="none" w:sz="0" w:space="0" w:color="auto"/>
                <w:bottom w:val="none" w:sz="0" w:space="0" w:color="auto"/>
                <w:right w:val="none" w:sz="0" w:space="0" w:color="auto"/>
              </w:divBdr>
              <w:divsChild>
                <w:div w:id="1260143881">
                  <w:marLeft w:val="0"/>
                  <w:marRight w:val="0"/>
                  <w:marTop w:val="0"/>
                  <w:marBottom w:val="0"/>
                  <w:divBdr>
                    <w:top w:val="none" w:sz="0" w:space="0" w:color="auto"/>
                    <w:left w:val="none" w:sz="0" w:space="0" w:color="auto"/>
                    <w:bottom w:val="none" w:sz="0" w:space="0" w:color="auto"/>
                    <w:right w:val="none" w:sz="0" w:space="0" w:color="auto"/>
                  </w:divBdr>
                </w:div>
              </w:divsChild>
            </w:div>
            <w:div w:id="2119907303">
              <w:marLeft w:val="0"/>
              <w:marRight w:val="0"/>
              <w:marTop w:val="0"/>
              <w:marBottom w:val="0"/>
              <w:divBdr>
                <w:top w:val="none" w:sz="0" w:space="0" w:color="auto"/>
                <w:left w:val="none" w:sz="0" w:space="0" w:color="auto"/>
                <w:bottom w:val="none" w:sz="0" w:space="0" w:color="auto"/>
                <w:right w:val="none" w:sz="0" w:space="0" w:color="auto"/>
              </w:divBdr>
              <w:divsChild>
                <w:div w:id="1331716907">
                  <w:marLeft w:val="0"/>
                  <w:marRight w:val="0"/>
                  <w:marTop w:val="0"/>
                  <w:marBottom w:val="0"/>
                  <w:divBdr>
                    <w:top w:val="none" w:sz="0" w:space="0" w:color="auto"/>
                    <w:left w:val="none" w:sz="0" w:space="0" w:color="auto"/>
                    <w:bottom w:val="none" w:sz="0" w:space="0" w:color="auto"/>
                    <w:right w:val="none" w:sz="0" w:space="0" w:color="auto"/>
                  </w:divBdr>
                </w:div>
              </w:divsChild>
            </w:div>
            <w:div w:id="2120761784">
              <w:marLeft w:val="0"/>
              <w:marRight w:val="0"/>
              <w:marTop w:val="0"/>
              <w:marBottom w:val="0"/>
              <w:divBdr>
                <w:top w:val="none" w:sz="0" w:space="0" w:color="auto"/>
                <w:left w:val="none" w:sz="0" w:space="0" w:color="auto"/>
                <w:bottom w:val="none" w:sz="0" w:space="0" w:color="auto"/>
                <w:right w:val="none" w:sz="0" w:space="0" w:color="auto"/>
              </w:divBdr>
              <w:divsChild>
                <w:div w:id="890188043">
                  <w:marLeft w:val="0"/>
                  <w:marRight w:val="0"/>
                  <w:marTop w:val="0"/>
                  <w:marBottom w:val="0"/>
                  <w:divBdr>
                    <w:top w:val="none" w:sz="0" w:space="0" w:color="auto"/>
                    <w:left w:val="none" w:sz="0" w:space="0" w:color="auto"/>
                    <w:bottom w:val="none" w:sz="0" w:space="0" w:color="auto"/>
                    <w:right w:val="none" w:sz="0" w:space="0" w:color="auto"/>
                  </w:divBdr>
                </w:div>
              </w:divsChild>
            </w:div>
            <w:div w:id="2122799837">
              <w:marLeft w:val="0"/>
              <w:marRight w:val="0"/>
              <w:marTop w:val="0"/>
              <w:marBottom w:val="0"/>
              <w:divBdr>
                <w:top w:val="none" w:sz="0" w:space="0" w:color="auto"/>
                <w:left w:val="none" w:sz="0" w:space="0" w:color="auto"/>
                <w:bottom w:val="none" w:sz="0" w:space="0" w:color="auto"/>
                <w:right w:val="none" w:sz="0" w:space="0" w:color="auto"/>
              </w:divBdr>
              <w:divsChild>
                <w:div w:id="458762346">
                  <w:marLeft w:val="0"/>
                  <w:marRight w:val="0"/>
                  <w:marTop w:val="0"/>
                  <w:marBottom w:val="0"/>
                  <w:divBdr>
                    <w:top w:val="none" w:sz="0" w:space="0" w:color="auto"/>
                    <w:left w:val="none" w:sz="0" w:space="0" w:color="auto"/>
                    <w:bottom w:val="none" w:sz="0" w:space="0" w:color="auto"/>
                    <w:right w:val="none" w:sz="0" w:space="0" w:color="auto"/>
                  </w:divBdr>
                </w:div>
              </w:divsChild>
            </w:div>
            <w:div w:id="2123694256">
              <w:marLeft w:val="0"/>
              <w:marRight w:val="0"/>
              <w:marTop w:val="300"/>
              <w:marBottom w:val="300"/>
              <w:divBdr>
                <w:top w:val="none" w:sz="0" w:space="0" w:color="auto"/>
                <w:left w:val="none" w:sz="0" w:space="0" w:color="auto"/>
                <w:bottom w:val="none" w:sz="0" w:space="0" w:color="auto"/>
                <w:right w:val="none" w:sz="0" w:space="0" w:color="auto"/>
              </w:divBdr>
            </w:div>
            <w:div w:id="2124416366">
              <w:marLeft w:val="0"/>
              <w:marRight w:val="0"/>
              <w:marTop w:val="0"/>
              <w:marBottom w:val="0"/>
              <w:divBdr>
                <w:top w:val="none" w:sz="0" w:space="0" w:color="auto"/>
                <w:left w:val="none" w:sz="0" w:space="0" w:color="auto"/>
                <w:bottom w:val="none" w:sz="0" w:space="0" w:color="auto"/>
                <w:right w:val="none" w:sz="0" w:space="0" w:color="auto"/>
              </w:divBdr>
              <w:divsChild>
                <w:div w:id="492569670">
                  <w:marLeft w:val="0"/>
                  <w:marRight w:val="0"/>
                  <w:marTop w:val="0"/>
                  <w:marBottom w:val="0"/>
                  <w:divBdr>
                    <w:top w:val="none" w:sz="0" w:space="0" w:color="auto"/>
                    <w:left w:val="none" w:sz="0" w:space="0" w:color="auto"/>
                    <w:bottom w:val="none" w:sz="0" w:space="0" w:color="auto"/>
                    <w:right w:val="none" w:sz="0" w:space="0" w:color="auto"/>
                  </w:divBdr>
                </w:div>
              </w:divsChild>
            </w:div>
            <w:div w:id="2126339804">
              <w:marLeft w:val="0"/>
              <w:marRight w:val="0"/>
              <w:marTop w:val="0"/>
              <w:marBottom w:val="0"/>
              <w:divBdr>
                <w:top w:val="none" w:sz="0" w:space="0" w:color="auto"/>
                <w:left w:val="none" w:sz="0" w:space="0" w:color="auto"/>
                <w:bottom w:val="none" w:sz="0" w:space="0" w:color="auto"/>
                <w:right w:val="none" w:sz="0" w:space="0" w:color="auto"/>
              </w:divBdr>
              <w:divsChild>
                <w:div w:id="1677027989">
                  <w:marLeft w:val="0"/>
                  <w:marRight w:val="0"/>
                  <w:marTop w:val="0"/>
                  <w:marBottom w:val="0"/>
                  <w:divBdr>
                    <w:top w:val="none" w:sz="0" w:space="0" w:color="auto"/>
                    <w:left w:val="none" w:sz="0" w:space="0" w:color="auto"/>
                    <w:bottom w:val="none" w:sz="0" w:space="0" w:color="auto"/>
                    <w:right w:val="none" w:sz="0" w:space="0" w:color="auto"/>
                  </w:divBdr>
                </w:div>
              </w:divsChild>
            </w:div>
            <w:div w:id="2127313713">
              <w:marLeft w:val="0"/>
              <w:marRight w:val="0"/>
              <w:marTop w:val="300"/>
              <w:marBottom w:val="300"/>
              <w:divBdr>
                <w:top w:val="none" w:sz="0" w:space="0" w:color="auto"/>
                <w:left w:val="none" w:sz="0" w:space="0" w:color="auto"/>
                <w:bottom w:val="none" w:sz="0" w:space="0" w:color="auto"/>
                <w:right w:val="none" w:sz="0" w:space="0" w:color="auto"/>
              </w:divBdr>
            </w:div>
            <w:div w:id="2129035102">
              <w:marLeft w:val="0"/>
              <w:marRight w:val="0"/>
              <w:marTop w:val="0"/>
              <w:marBottom w:val="0"/>
              <w:divBdr>
                <w:top w:val="none" w:sz="0" w:space="0" w:color="auto"/>
                <w:left w:val="none" w:sz="0" w:space="0" w:color="auto"/>
                <w:bottom w:val="none" w:sz="0" w:space="0" w:color="auto"/>
                <w:right w:val="none" w:sz="0" w:space="0" w:color="auto"/>
              </w:divBdr>
              <w:divsChild>
                <w:div w:id="1194925338">
                  <w:marLeft w:val="0"/>
                  <w:marRight w:val="0"/>
                  <w:marTop w:val="0"/>
                  <w:marBottom w:val="0"/>
                  <w:divBdr>
                    <w:top w:val="none" w:sz="0" w:space="0" w:color="auto"/>
                    <w:left w:val="none" w:sz="0" w:space="0" w:color="auto"/>
                    <w:bottom w:val="none" w:sz="0" w:space="0" w:color="auto"/>
                    <w:right w:val="none" w:sz="0" w:space="0" w:color="auto"/>
                  </w:divBdr>
                </w:div>
              </w:divsChild>
            </w:div>
            <w:div w:id="2132703413">
              <w:marLeft w:val="0"/>
              <w:marRight w:val="0"/>
              <w:marTop w:val="0"/>
              <w:marBottom w:val="0"/>
              <w:divBdr>
                <w:top w:val="none" w:sz="0" w:space="0" w:color="auto"/>
                <w:left w:val="none" w:sz="0" w:space="0" w:color="auto"/>
                <w:bottom w:val="none" w:sz="0" w:space="0" w:color="auto"/>
                <w:right w:val="none" w:sz="0" w:space="0" w:color="auto"/>
              </w:divBdr>
              <w:divsChild>
                <w:div w:id="1459185454">
                  <w:marLeft w:val="0"/>
                  <w:marRight w:val="0"/>
                  <w:marTop w:val="0"/>
                  <w:marBottom w:val="0"/>
                  <w:divBdr>
                    <w:top w:val="none" w:sz="0" w:space="0" w:color="auto"/>
                    <w:left w:val="none" w:sz="0" w:space="0" w:color="auto"/>
                    <w:bottom w:val="none" w:sz="0" w:space="0" w:color="auto"/>
                    <w:right w:val="none" w:sz="0" w:space="0" w:color="auto"/>
                  </w:divBdr>
                </w:div>
              </w:divsChild>
            </w:div>
            <w:div w:id="2133211743">
              <w:marLeft w:val="0"/>
              <w:marRight w:val="0"/>
              <w:marTop w:val="0"/>
              <w:marBottom w:val="0"/>
              <w:divBdr>
                <w:top w:val="none" w:sz="0" w:space="0" w:color="auto"/>
                <w:left w:val="none" w:sz="0" w:space="0" w:color="auto"/>
                <w:bottom w:val="none" w:sz="0" w:space="0" w:color="auto"/>
                <w:right w:val="none" w:sz="0" w:space="0" w:color="auto"/>
              </w:divBdr>
              <w:divsChild>
                <w:div w:id="561020089">
                  <w:marLeft w:val="0"/>
                  <w:marRight w:val="0"/>
                  <w:marTop w:val="0"/>
                  <w:marBottom w:val="0"/>
                  <w:divBdr>
                    <w:top w:val="none" w:sz="0" w:space="0" w:color="auto"/>
                    <w:left w:val="none" w:sz="0" w:space="0" w:color="auto"/>
                    <w:bottom w:val="none" w:sz="0" w:space="0" w:color="auto"/>
                    <w:right w:val="none" w:sz="0" w:space="0" w:color="auto"/>
                  </w:divBdr>
                  <w:divsChild>
                    <w:div w:id="1625430989">
                      <w:marLeft w:val="0"/>
                      <w:marRight w:val="0"/>
                      <w:marTop w:val="0"/>
                      <w:marBottom w:val="0"/>
                      <w:divBdr>
                        <w:top w:val="none" w:sz="0" w:space="0" w:color="auto"/>
                        <w:left w:val="none" w:sz="0" w:space="0" w:color="auto"/>
                        <w:bottom w:val="none" w:sz="0" w:space="0" w:color="auto"/>
                        <w:right w:val="none" w:sz="0" w:space="0" w:color="auto"/>
                      </w:divBdr>
                      <w:divsChild>
                        <w:div w:id="1070036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3556036">
              <w:marLeft w:val="0"/>
              <w:marRight w:val="0"/>
              <w:marTop w:val="0"/>
              <w:marBottom w:val="0"/>
              <w:divBdr>
                <w:top w:val="none" w:sz="0" w:space="0" w:color="auto"/>
                <w:left w:val="none" w:sz="0" w:space="0" w:color="auto"/>
                <w:bottom w:val="none" w:sz="0" w:space="0" w:color="auto"/>
                <w:right w:val="none" w:sz="0" w:space="0" w:color="auto"/>
              </w:divBdr>
              <w:divsChild>
                <w:div w:id="93326587">
                  <w:marLeft w:val="0"/>
                  <w:marRight w:val="0"/>
                  <w:marTop w:val="0"/>
                  <w:marBottom w:val="0"/>
                  <w:divBdr>
                    <w:top w:val="none" w:sz="0" w:space="0" w:color="auto"/>
                    <w:left w:val="none" w:sz="0" w:space="0" w:color="auto"/>
                    <w:bottom w:val="none" w:sz="0" w:space="0" w:color="auto"/>
                    <w:right w:val="none" w:sz="0" w:space="0" w:color="auto"/>
                  </w:divBdr>
                </w:div>
              </w:divsChild>
            </w:div>
            <w:div w:id="2133859598">
              <w:marLeft w:val="0"/>
              <w:marRight w:val="0"/>
              <w:marTop w:val="0"/>
              <w:marBottom w:val="0"/>
              <w:divBdr>
                <w:top w:val="none" w:sz="0" w:space="0" w:color="auto"/>
                <w:left w:val="none" w:sz="0" w:space="0" w:color="auto"/>
                <w:bottom w:val="none" w:sz="0" w:space="0" w:color="auto"/>
                <w:right w:val="none" w:sz="0" w:space="0" w:color="auto"/>
              </w:divBdr>
              <w:divsChild>
                <w:div w:id="550731404">
                  <w:marLeft w:val="0"/>
                  <w:marRight w:val="0"/>
                  <w:marTop w:val="0"/>
                  <w:marBottom w:val="0"/>
                  <w:divBdr>
                    <w:top w:val="none" w:sz="0" w:space="0" w:color="auto"/>
                    <w:left w:val="none" w:sz="0" w:space="0" w:color="auto"/>
                    <w:bottom w:val="none" w:sz="0" w:space="0" w:color="auto"/>
                    <w:right w:val="none" w:sz="0" w:space="0" w:color="auto"/>
                  </w:divBdr>
                </w:div>
              </w:divsChild>
            </w:div>
            <w:div w:id="2135981279">
              <w:marLeft w:val="0"/>
              <w:marRight w:val="0"/>
              <w:marTop w:val="0"/>
              <w:marBottom w:val="0"/>
              <w:divBdr>
                <w:top w:val="none" w:sz="0" w:space="0" w:color="auto"/>
                <w:left w:val="none" w:sz="0" w:space="0" w:color="auto"/>
                <w:bottom w:val="none" w:sz="0" w:space="0" w:color="auto"/>
                <w:right w:val="none" w:sz="0" w:space="0" w:color="auto"/>
              </w:divBdr>
              <w:divsChild>
                <w:div w:id="527721933">
                  <w:marLeft w:val="0"/>
                  <w:marRight w:val="0"/>
                  <w:marTop w:val="0"/>
                  <w:marBottom w:val="0"/>
                  <w:divBdr>
                    <w:top w:val="none" w:sz="0" w:space="0" w:color="auto"/>
                    <w:left w:val="none" w:sz="0" w:space="0" w:color="auto"/>
                    <w:bottom w:val="none" w:sz="0" w:space="0" w:color="auto"/>
                    <w:right w:val="none" w:sz="0" w:space="0" w:color="auto"/>
                  </w:divBdr>
                </w:div>
              </w:divsChild>
            </w:div>
            <w:div w:id="2136480888">
              <w:marLeft w:val="0"/>
              <w:marRight w:val="0"/>
              <w:marTop w:val="0"/>
              <w:marBottom w:val="0"/>
              <w:divBdr>
                <w:top w:val="none" w:sz="0" w:space="0" w:color="auto"/>
                <w:left w:val="none" w:sz="0" w:space="0" w:color="auto"/>
                <w:bottom w:val="none" w:sz="0" w:space="0" w:color="auto"/>
                <w:right w:val="none" w:sz="0" w:space="0" w:color="auto"/>
              </w:divBdr>
              <w:divsChild>
                <w:div w:id="2022976081">
                  <w:marLeft w:val="0"/>
                  <w:marRight w:val="0"/>
                  <w:marTop w:val="0"/>
                  <w:marBottom w:val="0"/>
                  <w:divBdr>
                    <w:top w:val="none" w:sz="0" w:space="0" w:color="auto"/>
                    <w:left w:val="none" w:sz="0" w:space="0" w:color="auto"/>
                    <w:bottom w:val="none" w:sz="0" w:space="0" w:color="auto"/>
                    <w:right w:val="none" w:sz="0" w:space="0" w:color="auto"/>
                  </w:divBdr>
                </w:div>
              </w:divsChild>
            </w:div>
            <w:div w:id="2137404322">
              <w:marLeft w:val="0"/>
              <w:marRight w:val="0"/>
              <w:marTop w:val="0"/>
              <w:marBottom w:val="0"/>
              <w:divBdr>
                <w:top w:val="none" w:sz="0" w:space="0" w:color="auto"/>
                <w:left w:val="none" w:sz="0" w:space="0" w:color="auto"/>
                <w:bottom w:val="none" w:sz="0" w:space="0" w:color="auto"/>
                <w:right w:val="none" w:sz="0" w:space="0" w:color="auto"/>
              </w:divBdr>
              <w:divsChild>
                <w:div w:id="2043742172">
                  <w:marLeft w:val="0"/>
                  <w:marRight w:val="0"/>
                  <w:marTop w:val="0"/>
                  <w:marBottom w:val="0"/>
                  <w:divBdr>
                    <w:top w:val="none" w:sz="0" w:space="0" w:color="auto"/>
                    <w:left w:val="none" w:sz="0" w:space="0" w:color="auto"/>
                    <w:bottom w:val="none" w:sz="0" w:space="0" w:color="auto"/>
                    <w:right w:val="none" w:sz="0" w:space="0" w:color="auto"/>
                  </w:divBdr>
                </w:div>
              </w:divsChild>
            </w:div>
            <w:div w:id="2142380171">
              <w:marLeft w:val="0"/>
              <w:marRight w:val="0"/>
              <w:marTop w:val="300"/>
              <w:marBottom w:val="300"/>
              <w:divBdr>
                <w:top w:val="none" w:sz="0" w:space="0" w:color="auto"/>
                <w:left w:val="none" w:sz="0" w:space="0" w:color="auto"/>
                <w:bottom w:val="none" w:sz="0" w:space="0" w:color="auto"/>
                <w:right w:val="none" w:sz="0" w:space="0" w:color="auto"/>
              </w:divBdr>
            </w:div>
            <w:div w:id="2145003707">
              <w:marLeft w:val="0"/>
              <w:marRight w:val="0"/>
              <w:marTop w:val="0"/>
              <w:marBottom w:val="0"/>
              <w:divBdr>
                <w:top w:val="none" w:sz="0" w:space="0" w:color="auto"/>
                <w:left w:val="none" w:sz="0" w:space="0" w:color="auto"/>
                <w:bottom w:val="none" w:sz="0" w:space="0" w:color="auto"/>
                <w:right w:val="none" w:sz="0" w:space="0" w:color="auto"/>
              </w:divBdr>
              <w:divsChild>
                <w:div w:id="308635939">
                  <w:marLeft w:val="0"/>
                  <w:marRight w:val="0"/>
                  <w:marTop w:val="0"/>
                  <w:marBottom w:val="0"/>
                  <w:divBdr>
                    <w:top w:val="none" w:sz="0" w:space="0" w:color="auto"/>
                    <w:left w:val="none" w:sz="0" w:space="0" w:color="auto"/>
                    <w:bottom w:val="none" w:sz="0" w:space="0" w:color="auto"/>
                    <w:right w:val="none" w:sz="0" w:space="0" w:color="auto"/>
                  </w:divBdr>
                </w:div>
              </w:divsChild>
            </w:div>
            <w:div w:id="2145737466">
              <w:marLeft w:val="0"/>
              <w:marRight w:val="0"/>
              <w:marTop w:val="0"/>
              <w:marBottom w:val="0"/>
              <w:divBdr>
                <w:top w:val="none" w:sz="0" w:space="0" w:color="auto"/>
                <w:left w:val="none" w:sz="0" w:space="0" w:color="auto"/>
                <w:bottom w:val="none" w:sz="0" w:space="0" w:color="auto"/>
                <w:right w:val="none" w:sz="0" w:space="0" w:color="auto"/>
              </w:divBdr>
              <w:divsChild>
                <w:div w:id="1178695581">
                  <w:marLeft w:val="0"/>
                  <w:marRight w:val="0"/>
                  <w:marTop w:val="0"/>
                  <w:marBottom w:val="0"/>
                  <w:divBdr>
                    <w:top w:val="none" w:sz="0" w:space="0" w:color="auto"/>
                    <w:left w:val="none" w:sz="0" w:space="0" w:color="auto"/>
                    <w:bottom w:val="none" w:sz="0" w:space="0" w:color="auto"/>
                    <w:right w:val="none" w:sz="0" w:space="0" w:color="auto"/>
                  </w:divBdr>
                </w:div>
              </w:divsChild>
            </w:div>
            <w:div w:id="2146198344">
              <w:marLeft w:val="0"/>
              <w:marRight w:val="0"/>
              <w:marTop w:val="0"/>
              <w:marBottom w:val="0"/>
              <w:divBdr>
                <w:top w:val="none" w:sz="0" w:space="0" w:color="auto"/>
                <w:left w:val="none" w:sz="0" w:space="0" w:color="auto"/>
                <w:bottom w:val="none" w:sz="0" w:space="0" w:color="auto"/>
                <w:right w:val="none" w:sz="0" w:space="0" w:color="auto"/>
              </w:divBdr>
              <w:divsChild>
                <w:div w:id="150028716">
                  <w:marLeft w:val="0"/>
                  <w:marRight w:val="0"/>
                  <w:marTop w:val="0"/>
                  <w:marBottom w:val="0"/>
                  <w:divBdr>
                    <w:top w:val="none" w:sz="0" w:space="0" w:color="auto"/>
                    <w:left w:val="none" w:sz="0" w:space="0" w:color="auto"/>
                    <w:bottom w:val="none" w:sz="0" w:space="0" w:color="auto"/>
                    <w:right w:val="none" w:sz="0" w:space="0" w:color="auto"/>
                  </w:divBdr>
                </w:div>
              </w:divsChild>
            </w:div>
            <w:div w:id="2146727373">
              <w:marLeft w:val="0"/>
              <w:marRight w:val="0"/>
              <w:marTop w:val="300"/>
              <w:marBottom w:val="300"/>
              <w:divBdr>
                <w:top w:val="none" w:sz="0" w:space="0" w:color="auto"/>
                <w:left w:val="none" w:sz="0" w:space="0" w:color="auto"/>
                <w:bottom w:val="none" w:sz="0" w:space="0" w:color="auto"/>
                <w:right w:val="none" w:sz="0" w:space="0" w:color="auto"/>
              </w:divBdr>
            </w:div>
          </w:divsChild>
        </w:div>
        <w:div w:id="736437840">
          <w:marLeft w:val="0"/>
          <w:marRight w:val="0"/>
          <w:marTop w:val="0"/>
          <w:marBottom w:val="0"/>
          <w:divBdr>
            <w:top w:val="none" w:sz="0" w:space="0" w:color="auto"/>
            <w:left w:val="none" w:sz="0" w:space="0" w:color="auto"/>
            <w:bottom w:val="none" w:sz="0" w:space="0" w:color="auto"/>
            <w:right w:val="none" w:sz="0" w:space="0" w:color="auto"/>
          </w:divBdr>
        </w:div>
        <w:div w:id="839084146">
          <w:marLeft w:val="0"/>
          <w:marRight w:val="0"/>
          <w:marTop w:val="0"/>
          <w:marBottom w:val="0"/>
          <w:divBdr>
            <w:top w:val="none" w:sz="0" w:space="0" w:color="auto"/>
            <w:left w:val="none" w:sz="0" w:space="0" w:color="auto"/>
            <w:bottom w:val="none" w:sz="0" w:space="0" w:color="auto"/>
            <w:right w:val="none" w:sz="0" w:space="0" w:color="auto"/>
          </w:divBdr>
        </w:div>
        <w:div w:id="1564683336">
          <w:marLeft w:val="0"/>
          <w:marRight w:val="0"/>
          <w:marTop w:val="0"/>
          <w:marBottom w:val="150"/>
          <w:divBdr>
            <w:top w:val="none" w:sz="0" w:space="0" w:color="auto"/>
            <w:left w:val="none" w:sz="0" w:space="0" w:color="auto"/>
            <w:bottom w:val="none" w:sz="0" w:space="0" w:color="auto"/>
            <w:right w:val="none" w:sz="0" w:space="0" w:color="auto"/>
          </w:divBdr>
        </w:div>
        <w:div w:id="1829512021">
          <w:marLeft w:val="0"/>
          <w:marRight w:val="0"/>
          <w:marTop w:val="0"/>
          <w:marBottom w:val="150"/>
          <w:divBdr>
            <w:top w:val="none" w:sz="0" w:space="0" w:color="auto"/>
            <w:left w:val="none" w:sz="0" w:space="0" w:color="auto"/>
            <w:bottom w:val="none" w:sz="0" w:space="0" w:color="auto"/>
            <w:right w:val="none" w:sz="0" w:space="0" w:color="auto"/>
          </w:divBdr>
        </w:div>
      </w:divsChild>
    </w:div>
    <w:div w:id="1565335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g"/><Relationship Id="rId18" Type="http://schemas.openxmlformats.org/officeDocument/2006/relationships/hyperlink" Target="http://relatoria.colombiacompra.gov.co/ficha/C-065%20%20de%202020" TargetMode="External"/><Relationship Id="rId26" Type="http://schemas.openxmlformats.org/officeDocument/2006/relationships/image" Target="media/image17.jpg"/><Relationship Id="rId39" Type="http://schemas.openxmlformats.org/officeDocument/2006/relationships/hyperlink" Target="http://relatoria.colombiacompra.gov.co/ficha/C-190%20de%202020" TargetMode="External"/><Relationship Id="rId21" Type="http://schemas.openxmlformats.org/officeDocument/2006/relationships/image" Target="media/image12.jpg"/><Relationship Id="rId34" Type="http://schemas.openxmlformats.org/officeDocument/2006/relationships/hyperlink" Target="http://relatoria.colombiacompra.gov.co/ficha/C-190%20de%202020" TargetMode="External"/><Relationship Id="rId42" Type="http://schemas.openxmlformats.org/officeDocument/2006/relationships/image" Target="media/image26.jpg"/><Relationship Id="rId47" Type="http://schemas.openxmlformats.org/officeDocument/2006/relationships/image" Target="media/image31.jpg"/><Relationship Id="rId50"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image" Target="media/image9.jpg"/><Relationship Id="rId29" Type="http://schemas.openxmlformats.org/officeDocument/2006/relationships/image" Target="media/image20.jpg"/><Relationship Id="rId11" Type="http://schemas.openxmlformats.org/officeDocument/2006/relationships/image" Target="media/image4.jpg"/><Relationship Id="rId24" Type="http://schemas.openxmlformats.org/officeDocument/2006/relationships/image" Target="media/image15.jpg"/><Relationship Id="rId32" Type="http://schemas.openxmlformats.org/officeDocument/2006/relationships/image" Target="media/image23.jpg"/><Relationship Id="rId37" Type="http://schemas.openxmlformats.org/officeDocument/2006/relationships/hyperlink" Target="http://relatoria.colombiacompra.gov.co/ficha/C-190%20de%202020" TargetMode="External"/><Relationship Id="rId40" Type="http://schemas.openxmlformats.org/officeDocument/2006/relationships/hyperlink" Target="http://relatoria.colombiacompra.gov.co/ficha/C-190%20de%202020" TargetMode="External"/><Relationship Id="rId45" Type="http://schemas.openxmlformats.org/officeDocument/2006/relationships/image" Target="media/image29.jpg"/><Relationship Id="rId5" Type="http://schemas.openxmlformats.org/officeDocument/2006/relationships/styles" Target="styles.xml"/><Relationship Id="rId15" Type="http://schemas.openxmlformats.org/officeDocument/2006/relationships/image" Target="media/image8.jpg"/><Relationship Id="rId23" Type="http://schemas.openxmlformats.org/officeDocument/2006/relationships/image" Target="media/image14.jpg"/><Relationship Id="rId28" Type="http://schemas.openxmlformats.org/officeDocument/2006/relationships/image" Target="media/image19.jpg"/><Relationship Id="rId36" Type="http://schemas.openxmlformats.org/officeDocument/2006/relationships/hyperlink" Target="http://relatoria.colombiacompra.gov.co/ficha/C-190%20de%202020" TargetMode="External"/><Relationship Id="rId49" Type="http://schemas.openxmlformats.org/officeDocument/2006/relationships/fontTable" Target="fontTable.xml"/><Relationship Id="rId10" Type="http://schemas.openxmlformats.org/officeDocument/2006/relationships/image" Target="media/image3.jpg"/><Relationship Id="rId19" Type="http://schemas.openxmlformats.org/officeDocument/2006/relationships/image" Target="media/image10.jpg"/><Relationship Id="rId31" Type="http://schemas.openxmlformats.org/officeDocument/2006/relationships/image" Target="media/image22.jpg"/><Relationship Id="rId44" Type="http://schemas.openxmlformats.org/officeDocument/2006/relationships/image" Target="media/image28.jpg"/><Relationship Id="rId4" Type="http://schemas.openxmlformats.org/officeDocument/2006/relationships/numbering" Target="numbering.xml"/><Relationship Id="rId9" Type="http://schemas.openxmlformats.org/officeDocument/2006/relationships/image" Target="media/image2.jpg"/><Relationship Id="rId14" Type="http://schemas.openxmlformats.org/officeDocument/2006/relationships/image" Target="media/image7.png"/><Relationship Id="rId22" Type="http://schemas.openxmlformats.org/officeDocument/2006/relationships/image" Target="media/image13.jpg"/><Relationship Id="rId27" Type="http://schemas.openxmlformats.org/officeDocument/2006/relationships/image" Target="media/image18.jpg"/><Relationship Id="rId30" Type="http://schemas.openxmlformats.org/officeDocument/2006/relationships/image" Target="media/image21.jpg"/><Relationship Id="rId35" Type="http://schemas.openxmlformats.org/officeDocument/2006/relationships/hyperlink" Target="http://relatoria.colombiacompra.gov.co/ficha/C-190%20de%202020" TargetMode="External"/><Relationship Id="rId43" Type="http://schemas.openxmlformats.org/officeDocument/2006/relationships/image" Target="media/image27.jpg"/><Relationship Id="rId48" Type="http://schemas.openxmlformats.org/officeDocument/2006/relationships/image" Target="media/image32.jpg"/><Relationship Id="rId8" Type="http://schemas.openxmlformats.org/officeDocument/2006/relationships/image" Target="media/image1.jpg"/><Relationship Id="rId3" Type="http://schemas.openxmlformats.org/officeDocument/2006/relationships/customXml" Target="../customXml/item3.xml"/><Relationship Id="rId12" Type="http://schemas.openxmlformats.org/officeDocument/2006/relationships/image" Target="media/image5.jpg"/><Relationship Id="rId17" Type="http://schemas.openxmlformats.org/officeDocument/2006/relationships/hyperlink" Target="http://relatoria.colombiacompra.gov.co/ficha/4201912000007614" TargetMode="External"/><Relationship Id="rId25" Type="http://schemas.openxmlformats.org/officeDocument/2006/relationships/image" Target="media/image16.jpg"/><Relationship Id="rId33" Type="http://schemas.openxmlformats.org/officeDocument/2006/relationships/image" Target="media/image24.jpg"/><Relationship Id="rId38" Type="http://schemas.openxmlformats.org/officeDocument/2006/relationships/hyperlink" Target="http://relatoria.colombiacompra.gov.co/ficha/C-190%20de%202020" TargetMode="External"/><Relationship Id="rId46" Type="http://schemas.openxmlformats.org/officeDocument/2006/relationships/image" Target="media/image30.jpg"/><Relationship Id="rId20" Type="http://schemas.openxmlformats.org/officeDocument/2006/relationships/image" Target="media/image11.jpg"/><Relationship Id="rId41" Type="http://schemas.openxmlformats.org/officeDocument/2006/relationships/image" Target="media/image25.jpg"/><Relationship Id="rId1" Type="http://schemas.openxmlformats.org/officeDocument/2006/relationships/customXml" Target="../customXml/item1.xml"/><Relationship Id="rId6"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2" ma:contentTypeDescription="Crear nuevo documento." ma:contentTypeScope="" ma:versionID="3a7f0bd5457e0e829189a21dfdfced29">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21d9daf134e2e620daf5b93ee7cdd50"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documentManagement>
</p:properties>
</file>

<file path=customXml/itemProps1.xml><?xml version="1.0" encoding="utf-8"?>
<ds:datastoreItem xmlns:ds="http://schemas.openxmlformats.org/officeDocument/2006/customXml" ds:itemID="{C7F15321-8A54-4442-A46D-425463358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5CAAE42-B79A-47CA-96BB-339511936D0E}">
  <ds:schemaRefs>
    <ds:schemaRef ds:uri="http://schemas.microsoft.com/sharepoint/v3/contenttype/forms"/>
  </ds:schemaRefs>
</ds:datastoreItem>
</file>

<file path=customXml/itemProps3.xml><?xml version="1.0" encoding="utf-8"?>
<ds:datastoreItem xmlns:ds="http://schemas.openxmlformats.org/officeDocument/2006/customXml" ds:itemID="{468F95FC-D7F7-4661-85DC-3303C0A86686}">
  <ds:schemaRefs>
    <ds:schemaRef ds:uri="http://schemas.microsoft.com/office/2006/metadata/properties"/>
    <ds:schemaRef ds:uri="http://schemas.microsoft.com/office/infopath/2007/PartnerControls"/>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296</TotalTime>
  <Pages>1</Pages>
  <Words>323401</Words>
  <Characters>1843387</Characters>
  <Application>Microsoft Office Word</Application>
  <DocSecurity>4</DocSecurity>
  <Lines>15361</Lines>
  <Paragraphs>4324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2162464</CharactersWithSpaces>
  <SharedDoc>false</SharedDoc>
  <HLinks>
    <vt:vector size="54" baseType="variant">
      <vt:variant>
        <vt:i4>6750330</vt:i4>
      </vt:variant>
      <vt:variant>
        <vt:i4>24</vt:i4>
      </vt:variant>
      <vt:variant>
        <vt:i4>0</vt:i4>
      </vt:variant>
      <vt:variant>
        <vt:i4>5</vt:i4>
      </vt:variant>
      <vt:variant>
        <vt:lpwstr>http://relatoria.colombiacompra.gov.co/ficha/C-190 de 2020</vt:lpwstr>
      </vt:variant>
      <vt:variant>
        <vt:lpwstr/>
      </vt:variant>
      <vt:variant>
        <vt:i4>6750330</vt:i4>
      </vt:variant>
      <vt:variant>
        <vt:i4>21</vt:i4>
      </vt:variant>
      <vt:variant>
        <vt:i4>0</vt:i4>
      </vt:variant>
      <vt:variant>
        <vt:i4>5</vt:i4>
      </vt:variant>
      <vt:variant>
        <vt:lpwstr>http://relatoria.colombiacompra.gov.co/ficha/C-190 de 2020</vt:lpwstr>
      </vt:variant>
      <vt:variant>
        <vt:lpwstr/>
      </vt:variant>
      <vt:variant>
        <vt:i4>6750330</vt:i4>
      </vt:variant>
      <vt:variant>
        <vt:i4>18</vt:i4>
      </vt:variant>
      <vt:variant>
        <vt:i4>0</vt:i4>
      </vt:variant>
      <vt:variant>
        <vt:i4>5</vt:i4>
      </vt:variant>
      <vt:variant>
        <vt:lpwstr>http://relatoria.colombiacompra.gov.co/ficha/C-190 de 2020</vt:lpwstr>
      </vt:variant>
      <vt:variant>
        <vt:lpwstr/>
      </vt:variant>
      <vt:variant>
        <vt:i4>6750330</vt:i4>
      </vt:variant>
      <vt:variant>
        <vt:i4>15</vt:i4>
      </vt:variant>
      <vt:variant>
        <vt:i4>0</vt:i4>
      </vt:variant>
      <vt:variant>
        <vt:i4>5</vt:i4>
      </vt:variant>
      <vt:variant>
        <vt:lpwstr>http://relatoria.colombiacompra.gov.co/ficha/C-190 de 2020</vt:lpwstr>
      </vt:variant>
      <vt:variant>
        <vt:lpwstr/>
      </vt:variant>
      <vt:variant>
        <vt:i4>6750330</vt:i4>
      </vt:variant>
      <vt:variant>
        <vt:i4>12</vt:i4>
      </vt:variant>
      <vt:variant>
        <vt:i4>0</vt:i4>
      </vt:variant>
      <vt:variant>
        <vt:i4>5</vt:i4>
      </vt:variant>
      <vt:variant>
        <vt:lpwstr>http://relatoria.colombiacompra.gov.co/ficha/C-190 de 2020</vt:lpwstr>
      </vt:variant>
      <vt:variant>
        <vt:lpwstr/>
      </vt:variant>
      <vt:variant>
        <vt:i4>6750330</vt:i4>
      </vt:variant>
      <vt:variant>
        <vt:i4>9</vt:i4>
      </vt:variant>
      <vt:variant>
        <vt:i4>0</vt:i4>
      </vt:variant>
      <vt:variant>
        <vt:i4>5</vt:i4>
      </vt:variant>
      <vt:variant>
        <vt:lpwstr>http://relatoria.colombiacompra.gov.co/ficha/C-190 de 2020</vt:lpwstr>
      </vt:variant>
      <vt:variant>
        <vt:lpwstr/>
      </vt:variant>
      <vt:variant>
        <vt:i4>6750330</vt:i4>
      </vt:variant>
      <vt:variant>
        <vt:i4>6</vt:i4>
      </vt:variant>
      <vt:variant>
        <vt:i4>0</vt:i4>
      </vt:variant>
      <vt:variant>
        <vt:i4>5</vt:i4>
      </vt:variant>
      <vt:variant>
        <vt:lpwstr>http://relatoria.colombiacompra.gov.co/ficha/C-190 de 2020</vt:lpwstr>
      </vt:variant>
      <vt:variant>
        <vt:lpwstr/>
      </vt:variant>
      <vt:variant>
        <vt:i4>6422628</vt:i4>
      </vt:variant>
      <vt:variant>
        <vt:i4>3</vt:i4>
      </vt:variant>
      <vt:variant>
        <vt:i4>0</vt:i4>
      </vt:variant>
      <vt:variant>
        <vt:i4>5</vt:i4>
      </vt:variant>
      <vt:variant>
        <vt:lpwstr>http://relatoria.colombiacompra.gov.co/ficha/C-065  de 2020</vt:lpwstr>
      </vt:variant>
      <vt:variant>
        <vt:lpwstr/>
      </vt:variant>
      <vt:variant>
        <vt:i4>4718623</vt:i4>
      </vt:variant>
      <vt:variant>
        <vt:i4>0</vt:i4>
      </vt:variant>
      <vt:variant>
        <vt:i4>0</vt:i4>
      </vt:variant>
      <vt:variant>
        <vt:i4>5</vt:i4>
      </vt:variant>
      <vt:variant>
        <vt:lpwstr>http://relatoria.colombiacompra.gov.co/ficha/4201912000007614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Mario Castrillón Endo</dc:creator>
  <cp:keywords/>
  <dc:description/>
  <cp:lastModifiedBy>FLOR ANGELA Aldana</cp:lastModifiedBy>
  <cp:revision>122</cp:revision>
  <dcterms:created xsi:type="dcterms:W3CDTF">2020-08-09T22:47:00Z</dcterms:created>
  <dcterms:modified xsi:type="dcterms:W3CDTF">2020-08-26T21:39:00Z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