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B7EB0E" w14:textId="12B3B7D0" w:rsidR="00E86744" w:rsidRPr="001B19A5" w:rsidRDefault="00E34C31" w:rsidP="001B19A5">
      <w:pPr>
        <w:spacing w:after="0" w:line="240" w:lineRule="auto"/>
        <w:ind w:left="1701" w:right="1581"/>
        <w:jc w:val="both"/>
        <w:rPr>
          <w:rFonts w:eastAsia="Arial"/>
          <w:color w:val="FF0000"/>
        </w:rPr>
      </w:pPr>
      <w:bookmarkStart w:id="0" w:name="_Hlk48982220"/>
      <w:bookmarkStart w:id="1" w:name="_Hlk46840473"/>
      <w:r w:rsidRPr="007F2BFA">
        <w:rPr>
          <w:rFonts w:ascii="Arial" w:eastAsia="Arial" w:hAnsi="Arial" w:cs="Arial"/>
          <w:color w:val="FF0000"/>
          <w:sz w:val="20"/>
          <w:szCs w:val="20"/>
        </w:rPr>
        <w:t>Nota:</w:t>
      </w:r>
      <w:r w:rsidRPr="000B24CB">
        <w:rPr>
          <w:rFonts w:ascii="Arial" w:eastAsia="Arial" w:hAnsi="Arial" w:cs="Arial"/>
          <w:color w:val="FF0000"/>
          <w:sz w:val="20"/>
          <w:szCs w:val="20"/>
        </w:rPr>
        <w:t xml:space="preserve"> </w:t>
      </w:r>
      <w:r>
        <w:rPr>
          <w:rFonts w:ascii="Arial" w:eastAsia="Arial" w:hAnsi="Arial" w:cs="Arial"/>
          <w:color w:val="FF0000"/>
          <w:sz w:val="20"/>
          <w:szCs w:val="20"/>
        </w:rPr>
        <w:t xml:space="preserve">la siguiente norma se trascribe completa, pero de ella </w:t>
      </w:r>
      <w:r w:rsidRPr="00CD3860">
        <w:rPr>
          <w:rFonts w:ascii="Arial" w:eastAsia="Arial" w:hAnsi="Arial" w:cs="Arial"/>
          <w:color w:val="FF0000"/>
          <w:sz w:val="20"/>
          <w:szCs w:val="20"/>
        </w:rPr>
        <w:t>la Agencia Nacional</w:t>
      </w:r>
      <w:r>
        <w:rPr>
          <w:rFonts w:ascii="Arial" w:eastAsia="Arial" w:hAnsi="Arial" w:cs="Arial"/>
          <w:color w:val="FF0000"/>
          <w:sz w:val="20"/>
          <w:szCs w:val="20"/>
        </w:rPr>
        <w:t xml:space="preserve"> </w:t>
      </w:r>
      <w:r w:rsidRPr="00CD3860">
        <w:rPr>
          <w:rFonts w:ascii="Arial" w:eastAsia="Arial" w:hAnsi="Arial" w:cs="Arial"/>
          <w:color w:val="FF0000"/>
          <w:sz w:val="20"/>
          <w:szCs w:val="20"/>
        </w:rPr>
        <w:t>de Contratación Pública </w:t>
      </w:r>
      <w:r>
        <w:rPr>
          <w:rFonts w:ascii="Arial" w:eastAsia="Arial" w:hAnsi="Arial" w:cs="Arial"/>
          <w:color w:val="FF0000"/>
          <w:sz w:val="20"/>
          <w:szCs w:val="20"/>
        </w:rPr>
        <w:t>–</w:t>
      </w:r>
      <w:r w:rsidRPr="00CD3860">
        <w:rPr>
          <w:rFonts w:ascii="Arial" w:eastAsia="Arial" w:hAnsi="Arial" w:cs="Arial"/>
          <w:color w:val="FF0000"/>
          <w:sz w:val="20"/>
          <w:szCs w:val="20"/>
        </w:rPr>
        <w:t>Colombia Compra Eficiente</w:t>
      </w:r>
      <w:r>
        <w:rPr>
          <w:rFonts w:ascii="Arial" w:eastAsia="Arial" w:hAnsi="Arial" w:cs="Arial"/>
          <w:color w:val="FF0000"/>
          <w:sz w:val="20"/>
          <w:szCs w:val="20"/>
        </w:rPr>
        <w:t xml:space="preserve">– solo </w:t>
      </w:r>
      <w:r w:rsidRPr="00CD3860">
        <w:rPr>
          <w:rFonts w:ascii="Arial" w:eastAsia="Arial" w:hAnsi="Arial" w:cs="Arial"/>
          <w:color w:val="FF0000"/>
          <w:sz w:val="20"/>
          <w:szCs w:val="20"/>
        </w:rPr>
        <w:t>ha emitido conceptos</w:t>
      </w:r>
      <w:r>
        <w:rPr>
          <w:rFonts w:ascii="Arial" w:eastAsia="Arial" w:hAnsi="Arial" w:cs="Arial"/>
          <w:color w:val="FF0000"/>
          <w:sz w:val="20"/>
          <w:szCs w:val="20"/>
        </w:rPr>
        <w:t xml:space="preserve"> que interpretan</w:t>
      </w:r>
      <w:r w:rsidRPr="00CD3860">
        <w:rPr>
          <w:rFonts w:ascii="Arial" w:eastAsia="Arial" w:hAnsi="Arial" w:cs="Arial"/>
          <w:color w:val="FF0000"/>
          <w:sz w:val="20"/>
          <w:szCs w:val="20"/>
        </w:rPr>
        <w:t> </w:t>
      </w:r>
      <w:r>
        <w:rPr>
          <w:rFonts w:ascii="Arial" w:eastAsia="Arial" w:hAnsi="Arial" w:cs="Arial"/>
          <w:color w:val="FF0000"/>
          <w:sz w:val="20"/>
          <w:szCs w:val="20"/>
        </w:rPr>
        <w:t xml:space="preserve">las siguientes disposiciones relacionadas con la contratación estatal: </w:t>
      </w:r>
      <w:bookmarkEnd w:id="0"/>
      <w:r w:rsidR="00E86744" w:rsidRPr="001B19A5">
        <w:rPr>
          <w:rFonts w:ascii="Arial" w:eastAsia="Arial" w:hAnsi="Arial" w:cs="Arial"/>
          <w:color w:val="FF0000"/>
          <w:sz w:val="20"/>
          <w:szCs w:val="20"/>
        </w:rPr>
        <w:t>artículo 1, artículo 2.</w:t>
      </w:r>
      <w:r w:rsidR="00E86744" w:rsidRPr="001B19A5">
        <w:rPr>
          <w:rFonts w:eastAsia="Arial"/>
          <w:color w:val="FF0000"/>
        </w:rPr>
        <w:t xml:space="preserve"> </w:t>
      </w:r>
    </w:p>
    <w:p w14:paraId="139F6727" w14:textId="00DA1071" w:rsidR="00BA5C4B" w:rsidRPr="001B19A5" w:rsidRDefault="00BA5C4B" w:rsidP="001B19A5">
      <w:pPr>
        <w:spacing w:after="0" w:line="240" w:lineRule="auto"/>
        <w:ind w:left="1701" w:right="1581"/>
        <w:jc w:val="both"/>
        <w:rPr>
          <w:rFonts w:eastAsia="Arial"/>
          <w:color w:val="FF0000"/>
        </w:rPr>
      </w:pPr>
    </w:p>
    <w:p w14:paraId="48B564E4" w14:textId="65EDB78B" w:rsidR="00BA5C4B" w:rsidRPr="001B19A5" w:rsidRDefault="00BA5C4B" w:rsidP="001B19A5">
      <w:pPr>
        <w:spacing w:after="0" w:line="240" w:lineRule="auto"/>
        <w:ind w:left="1701" w:right="1581"/>
        <w:jc w:val="both"/>
        <w:rPr>
          <w:rFonts w:eastAsia="Arial"/>
          <w:color w:val="FF0000"/>
        </w:rPr>
      </w:pPr>
      <w:bookmarkStart w:id="2" w:name="_Hlk48982691"/>
      <w:r>
        <w:rPr>
          <w:rFonts w:ascii="Arial" w:eastAsia="Arial" w:hAnsi="Arial" w:cs="Arial"/>
          <w:color w:val="FF0000"/>
          <w:sz w:val="20"/>
          <w:szCs w:val="20"/>
        </w:rPr>
        <w:t>Los conceptos se relacionan al pie de cada disposición, y abren dando “clic” en el hipervínculo</w:t>
      </w:r>
      <w:bookmarkEnd w:id="2"/>
    </w:p>
    <w:bookmarkEnd w:id="1"/>
    <w:p w14:paraId="620A1167" w14:textId="77777777" w:rsidR="00E86744" w:rsidRDefault="00E86744" w:rsidP="00D25CAC">
      <w:pPr>
        <w:spacing w:after="0" w:line="390" w:lineRule="atLeast"/>
        <w:jc w:val="center"/>
        <w:rPr>
          <w:rFonts w:ascii="Arial" w:eastAsia="Times New Roman" w:hAnsi="Arial" w:cs="Arial"/>
          <w:b/>
          <w:bCs/>
          <w:color w:val="000000"/>
          <w:lang w:eastAsia="es-CO"/>
        </w:rPr>
      </w:pPr>
    </w:p>
    <w:p w14:paraId="4C4E89F1" w14:textId="374A9846" w:rsidR="003F2BF0" w:rsidRPr="00D25CAC" w:rsidRDefault="003F2BF0" w:rsidP="00D25CAC">
      <w:pPr>
        <w:spacing w:after="0" w:line="390" w:lineRule="atLeast"/>
        <w:jc w:val="center"/>
        <w:rPr>
          <w:rFonts w:ascii="Arial" w:eastAsia="Times New Roman" w:hAnsi="Arial" w:cs="Arial"/>
          <w:b/>
          <w:bCs/>
          <w:color w:val="000000"/>
          <w:lang w:eastAsia="es-CO"/>
        </w:rPr>
      </w:pPr>
      <w:r w:rsidRPr="00D25CAC">
        <w:rPr>
          <w:rFonts w:ascii="Arial" w:eastAsia="Times New Roman" w:hAnsi="Arial" w:cs="Arial"/>
          <w:b/>
          <w:bCs/>
          <w:color w:val="000000"/>
          <w:lang w:eastAsia="es-CO"/>
        </w:rPr>
        <w:t>DECRETO 2096 DE 2019</w:t>
      </w:r>
    </w:p>
    <w:p w14:paraId="43DE96E8" w14:textId="77777777" w:rsidR="00A91063" w:rsidRDefault="00A91063" w:rsidP="00D25CAC">
      <w:pPr>
        <w:spacing w:after="150" w:line="254" w:lineRule="atLeast"/>
        <w:jc w:val="center"/>
        <w:rPr>
          <w:rFonts w:ascii="Arial" w:eastAsia="Times New Roman" w:hAnsi="Arial" w:cs="Arial"/>
          <w:b/>
          <w:bCs/>
          <w:color w:val="000000"/>
          <w:lang w:eastAsia="es-CO"/>
        </w:rPr>
      </w:pPr>
    </w:p>
    <w:p w14:paraId="5E0D4699" w14:textId="35381732" w:rsidR="003F2BF0" w:rsidRPr="00D25CAC" w:rsidRDefault="003F2BF0" w:rsidP="00D25CAC">
      <w:pPr>
        <w:spacing w:after="150" w:line="254" w:lineRule="atLeast"/>
        <w:jc w:val="center"/>
        <w:rPr>
          <w:rFonts w:ascii="Arial" w:eastAsia="Times New Roman" w:hAnsi="Arial" w:cs="Arial"/>
          <w:color w:val="000000"/>
          <w:lang w:eastAsia="es-CO"/>
        </w:rPr>
      </w:pPr>
      <w:r w:rsidRPr="00D25CAC">
        <w:rPr>
          <w:rFonts w:ascii="Arial" w:eastAsia="Times New Roman" w:hAnsi="Arial" w:cs="Arial"/>
          <w:b/>
          <w:bCs/>
          <w:color w:val="000000"/>
          <w:lang w:eastAsia="es-CO"/>
        </w:rPr>
        <w:t>por el cual se adiciona la Subsección 2, de la Sección 6, del Capítulo 2, del Título 1, de la Parte 2, del Libro 2 del Decreto 1082 de 2015 Decreto Único Reglamentario del Sector Administrativo de Planeación Nacional.</w:t>
      </w:r>
    </w:p>
    <w:p w14:paraId="56E689B0" w14:textId="31D6FB6D" w:rsidR="003F2BF0" w:rsidRPr="00D25CAC" w:rsidRDefault="003F2BF0" w:rsidP="00D25CAC">
      <w:pPr>
        <w:spacing w:after="0" w:line="254" w:lineRule="atLeast"/>
        <w:jc w:val="center"/>
        <w:rPr>
          <w:rFonts w:ascii="Arial" w:eastAsia="Times New Roman" w:hAnsi="Arial" w:cs="Arial"/>
          <w:color w:val="000000"/>
          <w:lang w:eastAsia="es-CO"/>
        </w:rPr>
      </w:pPr>
      <w:bookmarkStart w:id="3" w:name="ver_30206322"/>
      <w:bookmarkEnd w:id="3"/>
      <w:r w:rsidRPr="00D25CAC">
        <w:rPr>
          <w:rFonts w:ascii="Arial" w:eastAsia="Times New Roman" w:hAnsi="Arial" w:cs="Arial"/>
          <w:color w:val="000000"/>
          <w:lang w:eastAsia="es-CO"/>
        </w:rPr>
        <w:t>El Presidente de la República de Colombia, en ejercicio de sus atribuciones constitucionales y legales, en particular las conferidas por el numeral 11 del artículo 189 de la Constitución Política y por el parágrafo 7° del artículo 2° de la Ley 1150 de 2007 adicionado por el artículo 4° de la Ley 1882 de 2018, y</w:t>
      </w:r>
    </w:p>
    <w:p w14:paraId="653D018C"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7071452D" w14:textId="77777777" w:rsidR="003F2BF0" w:rsidRPr="00D25CAC" w:rsidRDefault="003F2BF0" w:rsidP="003F2BF0">
      <w:pPr>
        <w:spacing w:after="0" w:line="254" w:lineRule="atLeast"/>
        <w:jc w:val="center"/>
        <w:rPr>
          <w:rFonts w:ascii="Arial" w:eastAsia="Times New Roman" w:hAnsi="Arial" w:cs="Arial"/>
          <w:color w:val="000000"/>
          <w:lang w:eastAsia="es-CO"/>
        </w:rPr>
      </w:pPr>
      <w:bookmarkStart w:id="4" w:name="ver_30206323"/>
      <w:bookmarkEnd w:id="4"/>
      <w:r w:rsidRPr="00D25CAC">
        <w:rPr>
          <w:rFonts w:ascii="Arial" w:eastAsia="Times New Roman" w:hAnsi="Arial" w:cs="Arial"/>
          <w:b/>
          <w:bCs/>
          <w:color w:val="000000"/>
          <w:lang w:eastAsia="es-CO"/>
        </w:rPr>
        <w:t>CONSIDERANDO:</w:t>
      </w:r>
      <w:r w:rsidRPr="00D25CAC">
        <w:rPr>
          <w:rFonts w:ascii="Arial" w:eastAsia="Times New Roman" w:hAnsi="Arial" w:cs="Arial"/>
          <w:color w:val="000000"/>
          <w:lang w:eastAsia="es-CO"/>
        </w:rPr>
        <w:t> </w:t>
      </w:r>
    </w:p>
    <w:p w14:paraId="4477D013"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w:t>
      </w:r>
    </w:p>
    <w:p w14:paraId="43764524"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Que el artículo 4° de la Ley 1882 de 2018, por el cual se adicionó el parágrafo 7° al artículo 2° de la Ley 1150 de 2007, otorgó al Gobierno nacional la facultad de adoptar Documentos Tipo para los pliegos de condiciones de los procesos de selección de obras públicas, interventoría para las obras públicas, interventoría para consultoría de estudios y diseños para obras públicas y consultoría en ingeniería para obras, los cuales deberán ser utilizados por todas las entidades sometidas al Estatuto General de Contratación de la Administración Pública en los procesos de selección que adelanten; </w:t>
      </w:r>
    </w:p>
    <w:p w14:paraId="2B47408F"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w:t>
      </w:r>
    </w:p>
    <w:p w14:paraId="6784768D"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Que se hace prioritario estructurar e implementar Documentos Tipo para obra pública de infraestructura de transporte, con el fin de desarrollar medidas de fortalecimiento, eficiencia y transparencia que permitan aprovechar las grandes inversiones en materia de infraestructura que se realizarán en el país; </w:t>
      </w:r>
    </w:p>
    <w:p w14:paraId="5FC4FFCC"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w:t>
      </w:r>
    </w:p>
    <w:p w14:paraId="239629A0"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Que en desarrollo de las facultades conferidas por el artículo 4° de la Ley 1882 de 2018, el Gobierno nacional expidió el Decreto 342 del 5 de marzo de 2019, a través del cual adicionó la Sección 6 y la Subsección 1 al Capítulo 2 del Título 1 de la Parte 2 del Libro 2 del Decreto 1082 de 2015 con el fin de adoptar los Documentos Tipo para los pliegos de condiciones de los procesos de selección de licitación de obra pública de infraestructura de transporte; </w:t>
      </w:r>
    </w:p>
    <w:p w14:paraId="52C7A3E9"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w:t>
      </w:r>
    </w:p>
    <w:p w14:paraId="4FE7F1BE"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Que por lo anterior, y con el propósito de otorgar a las entidades los mecanismos necesarios para garantizar los principios de la contratación estatal, es necesario reglamentar parcialmente el parágrafo 7° del artículo 2° de la Ley 1150 de 2007, para la adopción de Documentos Tipo para los pliegos de condiciones de los procesos de selección abreviada de menor cuantía de obras públicas de infraestructura de transporte que adelanten las Entidades Estatales sometidas al Estatuto General de Contratación de la Administración Pública; </w:t>
      </w:r>
    </w:p>
    <w:p w14:paraId="1031E689"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w:t>
      </w:r>
    </w:p>
    <w:p w14:paraId="6565C772"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lastRenderedPageBreak/>
        <w:t>Que el Departamento Nacional de Planeación como máxima autoridad nacional de planeación e integrante del Gobierno nacional tiene como misión liderar, coordinar y articular la planeación de mediano y largo plazo para el desarrollo sostenible e incluyente del país; </w:t>
      </w:r>
    </w:p>
    <w:p w14:paraId="0CA14AAA"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w:t>
      </w:r>
    </w:p>
    <w:p w14:paraId="22BA24F7"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Que el Ministerio de Transporte tiene como objetivo primordial la formulación y adopción de las políticas, planes, programas, proyectos y la regulación económica y técnica en materia de transporte, tránsito e infraestructura de los modos de transporte carretero, marítimo, fluvial, férreo y aéreo de acuerdo con lo establecido en el Decreto 087 de 2011; </w:t>
      </w:r>
    </w:p>
    <w:p w14:paraId="5A28DCF7"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w:t>
      </w:r>
    </w:p>
    <w:p w14:paraId="6CB1C346"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Que el Decreto ley 4170 de 2011 creó la Agencia Nacional de Contratación Pública -Colombia Compra Eficiente-, entidad adscrita al Departamento Nacional de Planeación, como un organismo técnico especializado que en su calidad de ente rector de la contratación pública tiene por objetivo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estatales; </w:t>
      </w:r>
    </w:p>
    <w:p w14:paraId="7A9D4292"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w:t>
      </w:r>
    </w:p>
    <w:p w14:paraId="7E0FDBD6"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Que el numeral 12 del artículo 11 del Decreto ley 4170 de 2011 establece que Colombia Compra Eficiente tiene entre otras funciones la de </w:t>
      </w:r>
      <w:r w:rsidRPr="00D25CAC">
        <w:rPr>
          <w:rFonts w:ascii="Arial" w:eastAsia="Times New Roman" w:hAnsi="Arial" w:cs="Arial"/>
          <w:i/>
          <w:iCs/>
          <w:color w:val="000000"/>
          <w:lang w:eastAsia="es-CO"/>
        </w:rPr>
        <w:t>“desarrollar e implementar estándares y documentos tipo para las diferentes etapas de la gestión contractual pública” </w:t>
      </w:r>
      <w:r w:rsidRPr="00D25CAC">
        <w:rPr>
          <w:rFonts w:ascii="Arial" w:eastAsia="Times New Roman" w:hAnsi="Arial" w:cs="Arial"/>
          <w:color w:val="000000"/>
          <w:lang w:eastAsia="es-CO"/>
        </w:rPr>
        <w:t>y las demás funciones que se le asignen; </w:t>
      </w:r>
    </w:p>
    <w:p w14:paraId="4171AA3C"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w:t>
      </w:r>
    </w:p>
    <w:p w14:paraId="409CA5A0"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Que la jurisprudencia de la Corte Constitucional ha establecido que corresponde al Presidente de la República expedir criterios para la debida observancia de la voluntad legislativa y que los organismos y autoridades subordinadas cuentan con competencia de carácter residual, complementario, accesorio o auxiliar para emitir la regulación necesaria con el fin de pormenorizar el proceso de implantación de esa voluntad y determinar los detalles prácticos más concretos; </w:t>
      </w:r>
    </w:p>
    <w:p w14:paraId="548ABF32"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w:t>
      </w:r>
    </w:p>
    <w:p w14:paraId="69D5B35C"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xml:space="preserve">Que la competencia de </w:t>
      </w:r>
      <w:proofErr w:type="spellStart"/>
      <w:r w:rsidRPr="00D25CAC">
        <w:rPr>
          <w:rFonts w:ascii="Arial" w:eastAsia="Times New Roman" w:hAnsi="Arial" w:cs="Arial"/>
          <w:color w:val="000000"/>
          <w:lang w:eastAsia="es-CO"/>
        </w:rPr>
        <w:t>microrregulación</w:t>
      </w:r>
      <w:proofErr w:type="spellEnd"/>
      <w:r w:rsidRPr="00D25CAC">
        <w:rPr>
          <w:rFonts w:ascii="Arial" w:eastAsia="Times New Roman" w:hAnsi="Arial" w:cs="Arial"/>
          <w:color w:val="000000"/>
          <w:lang w:eastAsia="es-CO"/>
        </w:rPr>
        <w:t xml:space="preserve"> en cabeza de la Agencia Nacional de Contratación Pública con la que cuentan los organismos administrativos según las propias voces de la Sentencia C-1005 de 2008 emitida por la Corte Constitucional, se justifica por cuanto son los entes depositarios de la información relacionada de manera directa e inmediata con el funcionamiento práctico de las herramientas de creación legislativa y se encuentra sometida a las directrices establecidas por la reglamentación que expida el Gobierno nacional; </w:t>
      </w:r>
    </w:p>
    <w:p w14:paraId="464EB43A"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w:t>
      </w:r>
    </w:p>
    <w:p w14:paraId="5464ECCF"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xml:space="preserve">Que la Agencia Nacional de Contratación Pública -Colombia Compra Eficiente- como organismo técnico especializado en su calidad de ente rector de la contratación, se encuentra dentro de la estructura del Estado como la competente para efectuar la </w:t>
      </w:r>
      <w:proofErr w:type="spellStart"/>
      <w:r w:rsidRPr="00D25CAC">
        <w:rPr>
          <w:rFonts w:ascii="Arial" w:eastAsia="Times New Roman" w:hAnsi="Arial" w:cs="Arial"/>
          <w:color w:val="000000"/>
          <w:lang w:eastAsia="es-CO"/>
        </w:rPr>
        <w:t>microrregulación</w:t>
      </w:r>
      <w:proofErr w:type="spellEnd"/>
      <w:r w:rsidRPr="00D25CAC">
        <w:rPr>
          <w:rFonts w:ascii="Arial" w:eastAsia="Times New Roman" w:hAnsi="Arial" w:cs="Arial"/>
          <w:color w:val="000000"/>
          <w:lang w:eastAsia="es-CO"/>
        </w:rPr>
        <w:t xml:space="preserve"> necesaria tendiente a desarrollar e implementar el contenido de los Documentos Tipo de los que trata el artículo 4° de la Ley 1882 de 2018; </w:t>
      </w:r>
    </w:p>
    <w:p w14:paraId="3EDDB5F0"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w:t>
      </w:r>
    </w:p>
    <w:p w14:paraId="5A9991E0"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Que en cumplimiento de lo dispuesto en el artículo 7° de la Ley 1340 de 2009 y el artículo 2.1.2.1.9 del Decreto 1081 de 2015, la Superintendencia de Industria y Comercio mediante oficio con Radicado número 19-2000632-2-0 del 13 de septiembre de 2019 indicó que </w:t>
      </w:r>
      <w:r w:rsidRPr="00D25CAC">
        <w:rPr>
          <w:rFonts w:ascii="Arial" w:eastAsia="Times New Roman" w:hAnsi="Arial" w:cs="Arial"/>
          <w:i/>
          <w:iCs/>
          <w:color w:val="000000"/>
          <w:lang w:eastAsia="es-CO"/>
        </w:rPr>
        <w:t>“a la luz de la libre competencia económica, la adopción de pliegos tipo en la contratación de obras públicas de infraestructura de transporte a través de la modalidad de selección abreviada podría tener efectos benéficos para la libre competencia” </w:t>
      </w:r>
      <w:r w:rsidRPr="00D25CAC">
        <w:rPr>
          <w:rFonts w:ascii="Arial" w:eastAsia="Times New Roman" w:hAnsi="Arial" w:cs="Arial"/>
          <w:color w:val="000000"/>
          <w:lang w:eastAsia="es-CO"/>
        </w:rPr>
        <w:t>y decidió no pronunciarse sobre el proyecto de regulación en cuestión; </w:t>
      </w:r>
    </w:p>
    <w:p w14:paraId="507E2879"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w:t>
      </w:r>
    </w:p>
    <w:p w14:paraId="12E38B97"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lastRenderedPageBreak/>
        <w:t>Que la presente norma se expide con fundamento en la potestad reglamentaria del Presidente de la República y debe quedar compilada en el Decreto 1082 de 2015, en tanto reglamenta aspectos propios del Sector Administrativo de Planeación Nacional en los términos que a continuación se establecen; </w:t>
      </w:r>
    </w:p>
    <w:p w14:paraId="3E6EED55"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w:t>
      </w:r>
    </w:p>
    <w:p w14:paraId="4093A8AD"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En mérito de lo expuesto, </w:t>
      </w:r>
    </w:p>
    <w:p w14:paraId="7BBAC3AB" w14:textId="77777777" w:rsidR="003F2BF0" w:rsidRPr="00D25CAC" w:rsidRDefault="003F2BF0" w:rsidP="003F2BF0">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w:t>
      </w:r>
    </w:p>
    <w:p w14:paraId="46F17A9F" w14:textId="77777777" w:rsidR="003F2BF0" w:rsidRPr="00D25CAC" w:rsidRDefault="003F2BF0" w:rsidP="003F2BF0">
      <w:pPr>
        <w:spacing w:after="0" w:line="254" w:lineRule="atLeast"/>
        <w:jc w:val="center"/>
        <w:rPr>
          <w:rFonts w:ascii="Arial" w:eastAsia="Times New Roman" w:hAnsi="Arial" w:cs="Arial"/>
          <w:color w:val="000000"/>
          <w:lang w:eastAsia="es-CO"/>
        </w:rPr>
      </w:pPr>
      <w:r w:rsidRPr="00D25CAC">
        <w:rPr>
          <w:rFonts w:ascii="Arial" w:eastAsia="Times New Roman" w:hAnsi="Arial" w:cs="Arial"/>
          <w:b/>
          <w:bCs/>
          <w:color w:val="000000"/>
          <w:lang w:eastAsia="es-CO"/>
        </w:rPr>
        <w:t>DECRETA:</w:t>
      </w:r>
      <w:r w:rsidRPr="00D25CAC">
        <w:rPr>
          <w:rFonts w:ascii="Arial" w:eastAsia="Times New Roman" w:hAnsi="Arial" w:cs="Arial"/>
          <w:color w:val="000000"/>
          <w:lang w:eastAsia="es-CO"/>
        </w:rPr>
        <w:t> </w:t>
      </w:r>
    </w:p>
    <w:p w14:paraId="38F9F736" w14:textId="77777777" w:rsidR="003F2BF0" w:rsidRPr="00D25CAC" w:rsidRDefault="003F2BF0" w:rsidP="003F2BF0">
      <w:pPr>
        <w:spacing w:after="15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w:t>
      </w:r>
    </w:p>
    <w:p w14:paraId="688D9719" w14:textId="77777777" w:rsidR="003F2BF0" w:rsidRPr="00D25CAC" w:rsidRDefault="003F2BF0" w:rsidP="003F2BF0">
      <w:pPr>
        <w:spacing w:after="0" w:line="240" w:lineRule="auto"/>
        <w:rPr>
          <w:rFonts w:ascii="Arial" w:eastAsia="Times New Roman" w:hAnsi="Arial" w:cs="Arial"/>
          <w:color w:val="000000"/>
          <w:lang w:eastAsia="es-CO"/>
        </w:rPr>
      </w:pPr>
      <w:bookmarkStart w:id="5" w:name="ver_30206325"/>
      <w:bookmarkEnd w:id="5"/>
    </w:p>
    <w:p w14:paraId="1AEA9B09"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Artículo 1°. Adiciónese la Subsección 2 a la Sección 6, del Capítulo 2, del Título 1, de la parte 2, del Libro 2 del Decreto 1082 de 2015, Decreto Único Reglamentario del Sector Administrativo de Planeación Nacional, la cual quedará así: </w:t>
      </w:r>
    </w:p>
    <w:p w14:paraId="354A72E6"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0426B81A" w14:textId="77777777" w:rsidR="003F2BF0" w:rsidRPr="00D25CAC" w:rsidRDefault="003F2BF0" w:rsidP="003F2BF0">
      <w:pPr>
        <w:spacing w:after="0" w:line="254" w:lineRule="atLeast"/>
        <w:jc w:val="center"/>
        <w:rPr>
          <w:rFonts w:ascii="Arial" w:eastAsia="Times New Roman" w:hAnsi="Arial" w:cs="Arial"/>
          <w:b/>
          <w:bCs/>
          <w:color w:val="000000"/>
          <w:lang w:eastAsia="es-CO"/>
        </w:rPr>
      </w:pPr>
      <w:r w:rsidRPr="00D25CAC">
        <w:rPr>
          <w:rFonts w:ascii="Arial" w:eastAsia="Times New Roman" w:hAnsi="Arial" w:cs="Arial"/>
          <w:b/>
          <w:bCs/>
          <w:color w:val="000000"/>
          <w:lang w:eastAsia="es-CO"/>
        </w:rPr>
        <w:t>Sección 6 </w:t>
      </w:r>
    </w:p>
    <w:p w14:paraId="05D80CFD" w14:textId="2113A790" w:rsidR="003F2BF0" w:rsidRPr="00D25CAC" w:rsidRDefault="003F2BF0" w:rsidP="003F2BF0">
      <w:pPr>
        <w:spacing w:after="0" w:line="254" w:lineRule="atLeast"/>
        <w:jc w:val="center"/>
        <w:rPr>
          <w:rFonts w:ascii="Arial" w:eastAsia="Times New Roman" w:hAnsi="Arial" w:cs="Arial"/>
          <w:b/>
          <w:bCs/>
          <w:color w:val="000000"/>
          <w:lang w:eastAsia="es-CO"/>
        </w:rPr>
      </w:pPr>
      <w:r w:rsidRPr="00D25CAC">
        <w:rPr>
          <w:rFonts w:ascii="Arial" w:eastAsia="Times New Roman" w:hAnsi="Arial" w:cs="Arial"/>
          <w:b/>
          <w:bCs/>
          <w:color w:val="000000"/>
          <w:lang w:eastAsia="es-CO"/>
        </w:rPr>
        <w:t>  Subsección 2 </w:t>
      </w:r>
    </w:p>
    <w:p w14:paraId="4C7703A7"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0CD3EAEC" w14:textId="77777777" w:rsidR="003F2BF0" w:rsidRPr="00D25CAC" w:rsidRDefault="003F2BF0" w:rsidP="003F2BF0">
      <w:pPr>
        <w:spacing w:after="0" w:line="254" w:lineRule="atLeast"/>
        <w:jc w:val="center"/>
        <w:rPr>
          <w:rFonts w:ascii="Arial" w:eastAsia="Times New Roman" w:hAnsi="Arial" w:cs="Arial"/>
          <w:i/>
          <w:iCs/>
          <w:color w:val="000000"/>
          <w:lang w:eastAsia="es-CO"/>
        </w:rPr>
      </w:pPr>
      <w:r w:rsidRPr="00D25CAC">
        <w:rPr>
          <w:rFonts w:ascii="Arial" w:eastAsia="Times New Roman" w:hAnsi="Arial" w:cs="Arial"/>
          <w:i/>
          <w:iCs/>
          <w:color w:val="000000"/>
          <w:lang w:eastAsia="es-CO"/>
        </w:rPr>
        <w:t>Documentos Tipo para selección abreviada de menor cuantía de obra pública de infraestructura de transporte </w:t>
      </w:r>
    </w:p>
    <w:p w14:paraId="38E81DA0" w14:textId="77777777" w:rsidR="003F2BF0" w:rsidRPr="00D25CAC" w:rsidRDefault="003F2BF0" w:rsidP="003F2BF0">
      <w:pPr>
        <w:spacing w:after="0" w:line="254" w:lineRule="atLeast"/>
        <w:rPr>
          <w:rFonts w:ascii="Arial" w:eastAsia="Times New Roman" w:hAnsi="Arial" w:cs="Arial"/>
          <w:i/>
          <w:iCs/>
          <w:color w:val="000000"/>
          <w:lang w:eastAsia="es-CO"/>
        </w:rPr>
      </w:pPr>
      <w:r w:rsidRPr="00D25CAC">
        <w:rPr>
          <w:rFonts w:ascii="Arial" w:eastAsia="Times New Roman" w:hAnsi="Arial" w:cs="Arial"/>
          <w:i/>
          <w:iCs/>
          <w:color w:val="000000"/>
          <w:lang w:eastAsia="es-CO"/>
        </w:rPr>
        <w:t>  </w:t>
      </w:r>
    </w:p>
    <w:p w14:paraId="3BC55E50"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2.2.1.2.6.2.1. </w:t>
      </w:r>
      <w:r w:rsidRPr="00D25CAC">
        <w:rPr>
          <w:rFonts w:ascii="Arial" w:eastAsia="Times New Roman" w:hAnsi="Arial" w:cs="Arial"/>
          <w:i/>
          <w:iCs/>
          <w:color w:val="000000"/>
          <w:lang w:eastAsia="es-CO"/>
        </w:rPr>
        <w:t>Objeto. </w:t>
      </w:r>
      <w:r w:rsidRPr="00D25CAC">
        <w:rPr>
          <w:rFonts w:ascii="Arial" w:eastAsia="Times New Roman" w:hAnsi="Arial" w:cs="Arial"/>
          <w:color w:val="000000"/>
          <w:lang w:eastAsia="es-CO"/>
        </w:rPr>
        <w:t>La presente subsección tiene por objeto adoptar los Documentos Tipo para los pliegos de condiciones de los procesos de obra pública de infraestructura de transporte que se adelanten por la modalidad de selección abreviada de menor cuantía.</w:t>
      </w:r>
    </w:p>
    <w:p w14:paraId="1DBFFF14" w14:textId="77777777" w:rsidR="003F2BF0" w:rsidRPr="00D25CAC" w:rsidRDefault="003F2BF0" w:rsidP="003F2BF0">
      <w:pPr>
        <w:spacing w:after="0" w:line="254" w:lineRule="atLeast"/>
        <w:rPr>
          <w:rFonts w:ascii="Arial" w:eastAsia="Times New Roman" w:hAnsi="Arial" w:cs="Arial"/>
          <w:color w:val="000000"/>
          <w:lang w:eastAsia="es-CO"/>
        </w:rPr>
      </w:pPr>
    </w:p>
    <w:p w14:paraId="69A957D6" w14:textId="07B5E22C" w:rsidR="003F2BF0" w:rsidRPr="00D25CAC" w:rsidRDefault="003F2BF0" w:rsidP="003F2BF0">
      <w:pPr>
        <w:spacing w:after="0" w:line="254" w:lineRule="atLeast"/>
        <w:rPr>
          <w:rFonts w:ascii="Arial" w:eastAsia="Times New Roman" w:hAnsi="Arial" w:cs="Arial"/>
          <w:color w:val="000000"/>
          <w:sz w:val="20"/>
          <w:szCs w:val="20"/>
          <w:lang w:eastAsia="es-CO"/>
        </w:rPr>
      </w:pPr>
      <w:r w:rsidRPr="00D25CAC">
        <w:rPr>
          <w:rFonts w:ascii="Arial" w:eastAsia="Times New Roman" w:hAnsi="Arial" w:cs="Arial"/>
          <w:color w:val="000000"/>
          <w:sz w:val="20"/>
          <w:szCs w:val="20"/>
          <w:lang w:eastAsia="es-CO"/>
        </w:rPr>
        <w:t xml:space="preserve">(Ver conceptos: </w:t>
      </w:r>
      <w:hyperlink r:id="rId7" w:history="1">
        <w:r w:rsidRPr="00365B98">
          <w:rPr>
            <w:rStyle w:val="Hipervnculo"/>
            <w:rFonts w:ascii="Arial" w:eastAsia="Times New Roman" w:hAnsi="Arial" w:cs="Arial"/>
            <w:sz w:val="20"/>
            <w:szCs w:val="20"/>
            <w:lang w:eastAsia="es-CO"/>
          </w:rPr>
          <w:t>C–240 del 16/04/2020</w:t>
        </w:r>
      </w:hyperlink>
      <w:r w:rsidR="00D25CAC" w:rsidRPr="00D25CAC">
        <w:rPr>
          <w:rFonts w:ascii="Arial" w:eastAsia="Times New Roman" w:hAnsi="Arial" w:cs="Arial"/>
          <w:color w:val="000000"/>
          <w:sz w:val="20"/>
          <w:szCs w:val="20"/>
          <w:lang w:eastAsia="es-CO"/>
        </w:rPr>
        <w:t>)</w:t>
      </w:r>
    </w:p>
    <w:p w14:paraId="209BA814"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0E8BB9FF"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2.2.1.2.6.2.2. </w:t>
      </w:r>
      <w:r w:rsidRPr="00D25CAC">
        <w:rPr>
          <w:rFonts w:ascii="Arial" w:eastAsia="Times New Roman" w:hAnsi="Arial" w:cs="Arial"/>
          <w:i/>
          <w:iCs/>
          <w:color w:val="000000"/>
          <w:lang w:eastAsia="es-CO"/>
        </w:rPr>
        <w:t>Alcance. </w:t>
      </w:r>
      <w:r w:rsidRPr="00D25CAC">
        <w:rPr>
          <w:rFonts w:ascii="Arial" w:eastAsia="Times New Roman" w:hAnsi="Arial" w:cs="Arial"/>
          <w:color w:val="000000"/>
          <w:lang w:eastAsia="es-CO"/>
        </w:rPr>
        <w:t>Los Documentos Tipo contienen parámetros obligatorios para las Entidades sometidas al Estatuto General de Contratación de la Administración Pública que adelanten procesos de selección abreviada de menor cuantía de obra pública de infraestructura de transporte. Estos documentos son: </w:t>
      </w:r>
    </w:p>
    <w:p w14:paraId="216B1DFE"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256A4F26"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DOCUMENTO BASE DEL PLIEGO TIPO  </w:t>
      </w:r>
    </w:p>
    <w:p w14:paraId="7A6B2F48"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7D01CC1F"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ANEXOS  </w:t>
      </w:r>
    </w:p>
    <w:p w14:paraId="4900C1EA"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3D1C0334"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1. Anexo 1 - Anexo Técnico </w:t>
      </w:r>
    </w:p>
    <w:p w14:paraId="76B3A985"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657B4608"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2. Anexo 2 - Cronograma </w:t>
      </w:r>
    </w:p>
    <w:p w14:paraId="453A7E58"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700DBCD9"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3. Anexo 3 - Glosario </w:t>
      </w:r>
    </w:p>
    <w:p w14:paraId="5A12CA97"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1DF2E324"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4. Anexo 4 - Pacto de Transparencia </w:t>
      </w:r>
    </w:p>
    <w:p w14:paraId="0A009F38"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54E8D13A"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5. Anexo 5 - Minuta del Contrato. </w:t>
      </w:r>
    </w:p>
    <w:p w14:paraId="02AF8C85"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23AE73C1"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FORMATOS  </w:t>
      </w:r>
    </w:p>
    <w:p w14:paraId="769B77BF"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454DD9EA"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1. Formato 1 - Carta de presentación de la oferta </w:t>
      </w:r>
    </w:p>
    <w:p w14:paraId="56ADC5D7"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638BAF28"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2. Formato 2 - Conformación de proponente plural </w:t>
      </w:r>
    </w:p>
    <w:p w14:paraId="00CB7A83"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lastRenderedPageBreak/>
        <w:t>  </w:t>
      </w:r>
    </w:p>
    <w:p w14:paraId="19279310"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3. Formato 3 - Experiencia </w:t>
      </w:r>
    </w:p>
    <w:p w14:paraId="1E418B62"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538CE0EA"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4. Formato 4 - Capacidad financiera y organizacional para extranjeros </w:t>
      </w:r>
    </w:p>
    <w:p w14:paraId="5E9D5CF1"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5603694F"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5. Formato 5 - Capacidad residual </w:t>
      </w:r>
    </w:p>
    <w:p w14:paraId="5BEBDAC8"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023517C2"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6. Formato 6 - Pagos de seguridad social y aportes legales </w:t>
      </w:r>
    </w:p>
    <w:p w14:paraId="49DD0C92"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4038257E"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7. Formato 7 - Factor de calidad </w:t>
      </w:r>
    </w:p>
    <w:p w14:paraId="45032532"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24B6C183"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8. Formato 8 - Vinculación de personas con discapacidad </w:t>
      </w:r>
    </w:p>
    <w:p w14:paraId="122A89F9"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04FBBE99"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9. Formato 9 - Puntaje de industria nacional </w:t>
      </w:r>
    </w:p>
    <w:p w14:paraId="48CB9C58"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4639AE9D"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10. Formato 10 - Carta de Manifestación de Interés. </w:t>
      </w:r>
    </w:p>
    <w:p w14:paraId="2DECA44A"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6A6769E5"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D. MATRICES  </w:t>
      </w:r>
    </w:p>
    <w:p w14:paraId="1C566D2E"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3AA74245"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1. Matriz 1 - Experiencia </w:t>
      </w:r>
    </w:p>
    <w:p w14:paraId="3DA632A0"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2BF0EAA2"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2. Matriz 2 - Indicadores financieros y organizacionales </w:t>
      </w:r>
    </w:p>
    <w:p w14:paraId="54661FC4"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6CDD9704"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3. Matriz 3 – Riesgos. </w:t>
      </w:r>
    </w:p>
    <w:p w14:paraId="0BF7551D"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2A88F94D"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E. FORMULARIOS  </w:t>
      </w:r>
    </w:p>
    <w:p w14:paraId="63D0C88D"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5BAAB14C"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1. Formulario 1- Formulario de Presupuesto Oficial. </w:t>
      </w:r>
    </w:p>
    <w:p w14:paraId="3E6095EA"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1A63FBAA"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Parágrafo. Cuando la Entidad Estatal utilice SECOP II, o el sistema que haga sus veces, debe adaptar el contenido de los Documentos Tipo a esta plataforma. </w:t>
      </w:r>
    </w:p>
    <w:p w14:paraId="08BA7171" w14:textId="77777777" w:rsidR="003F2BF0" w:rsidRPr="00D25CAC" w:rsidRDefault="003F2BF0" w:rsidP="003F2BF0">
      <w:pPr>
        <w:spacing w:after="0" w:line="254" w:lineRule="atLeast"/>
        <w:rPr>
          <w:rFonts w:ascii="Arial" w:eastAsia="Times New Roman" w:hAnsi="Arial" w:cs="Arial"/>
          <w:color w:val="000000"/>
          <w:lang w:eastAsia="es-CO"/>
        </w:rPr>
      </w:pPr>
    </w:p>
    <w:p w14:paraId="739EB6DE" w14:textId="0FAA897C" w:rsidR="003F2BF0" w:rsidRPr="00D25CAC" w:rsidRDefault="003F2BF0" w:rsidP="003F2BF0">
      <w:pPr>
        <w:spacing w:after="0" w:line="254" w:lineRule="atLeast"/>
        <w:rPr>
          <w:rFonts w:ascii="Arial" w:eastAsia="Times New Roman" w:hAnsi="Arial" w:cs="Arial"/>
          <w:color w:val="000000"/>
          <w:sz w:val="20"/>
          <w:szCs w:val="20"/>
          <w:lang w:eastAsia="es-CO"/>
        </w:rPr>
      </w:pPr>
      <w:r w:rsidRPr="00D25CAC">
        <w:rPr>
          <w:rFonts w:ascii="Arial" w:eastAsia="Times New Roman" w:hAnsi="Arial" w:cs="Arial"/>
          <w:color w:val="000000"/>
          <w:sz w:val="20"/>
          <w:szCs w:val="20"/>
          <w:lang w:eastAsia="es-CO"/>
        </w:rPr>
        <w:t xml:space="preserve">(Ver conceptos: </w:t>
      </w:r>
      <w:hyperlink r:id="rId8" w:history="1">
        <w:r w:rsidR="00D25CAC" w:rsidRPr="00872FDF">
          <w:rPr>
            <w:rStyle w:val="Hipervnculo"/>
            <w:rFonts w:ascii="Arial" w:eastAsia="Times New Roman" w:hAnsi="Arial" w:cs="Arial"/>
            <w:sz w:val="20"/>
            <w:szCs w:val="20"/>
            <w:lang w:eastAsia="es-CO"/>
          </w:rPr>
          <w:t>C–102 del 18/03/2020</w:t>
        </w:r>
      </w:hyperlink>
      <w:r w:rsidR="00D25CAC">
        <w:rPr>
          <w:rFonts w:ascii="Arial" w:eastAsia="Times New Roman" w:hAnsi="Arial" w:cs="Arial"/>
          <w:color w:val="000000"/>
          <w:sz w:val="20"/>
          <w:szCs w:val="20"/>
          <w:lang w:eastAsia="es-CO"/>
        </w:rPr>
        <w:t xml:space="preserve">, </w:t>
      </w:r>
      <w:hyperlink r:id="rId9" w:history="1">
        <w:r w:rsidRPr="00872FDF">
          <w:rPr>
            <w:rStyle w:val="Hipervnculo"/>
            <w:rFonts w:ascii="Arial" w:eastAsia="Times New Roman" w:hAnsi="Arial" w:cs="Arial"/>
            <w:sz w:val="20"/>
            <w:szCs w:val="20"/>
            <w:lang w:eastAsia="es-CO"/>
          </w:rPr>
          <w:t>C–240 del 16/04/2020</w:t>
        </w:r>
      </w:hyperlink>
      <w:r w:rsidR="00D25CAC" w:rsidRPr="00D25CAC">
        <w:rPr>
          <w:rFonts w:ascii="Arial" w:eastAsia="Times New Roman" w:hAnsi="Arial" w:cs="Arial"/>
          <w:color w:val="000000"/>
          <w:sz w:val="20"/>
          <w:szCs w:val="20"/>
          <w:lang w:eastAsia="es-CO"/>
        </w:rPr>
        <w:t>)</w:t>
      </w:r>
    </w:p>
    <w:p w14:paraId="2ADA530B"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65E08718" w14:textId="77777777" w:rsidR="00D0109C" w:rsidRDefault="003F2BF0" w:rsidP="00D0109C">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2.2.1.2.6.2.3. </w:t>
      </w:r>
      <w:r w:rsidRPr="00D25CAC">
        <w:rPr>
          <w:rFonts w:ascii="Arial" w:eastAsia="Times New Roman" w:hAnsi="Arial" w:cs="Arial"/>
          <w:i/>
          <w:iCs/>
          <w:color w:val="000000"/>
          <w:lang w:eastAsia="es-CO"/>
        </w:rPr>
        <w:t>Criterios para selección abreviada de menor cuantía. </w:t>
      </w:r>
      <w:r w:rsidRPr="00D25CAC">
        <w:rPr>
          <w:rFonts w:ascii="Arial" w:eastAsia="Times New Roman" w:hAnsi="Arial" w:cs="Arial"/>
          <w:color w:val="000000"/>
          <w:lang w:eastAsia="es-CO"/>
        </w:rPr>
        <w:t>La Agencia Nacional de Contratación Pública -Colombia Compra Eficiente- en coordinación con el Departamento Nacional de Planeación (DNP) y el Ministerio de Transporte, deberán tener en cuenta los parámetros definidos en el artículo 2.2.1.2.6.1.3. del presente decreto para el desarrollo e implementación de Documentos Tipo en la modalidad de selección abreviada de menor cuantía de obra pública de infraestructura de transporte, salvo lo referente al puntaje adicional para proponentes con trabajadores con discapacidad de que tratan los artículos 2.2.1.2.4.2.6, 2.2.1.2.4.2.7, y 2.2.1.2.4.2.8 del presente decreto. </w:t>
      </w:r>
    </w:p>
    <w:p w14:paraId="5C8956C6" w14:textId="77777777" w:rsidR="00D0109C" w:rsidRDefault="00D0109C" w:rsidP="00D0109C">
      <w:pPr>
        <w:spacing w:after="0" w:line="254" w:lineRule="atLeast"/>
        <w:jc w:val="both"/>
        <w:rPr>
          <w:rFonts w:ascii="Arial" w:eastAsia="Times New Roman" w:hAnsi="Arial" w:cs="Arial"/>
          <w:color w:val="000000"/>
          <w:lang w:eastAsia="es-CO"/>
        </w:rPr>
      </w:pPr>
    </w:p>
    <w:p w14:paraId="43735F13" w14:textId="71AB87E5" w:rsidR="003F2BF0" w:rsidRPr="00D25CAC" w:rsidRDefault="003F2BF0" w:rsidP="00D0109C">
      <w:pPr>
        <w:spacing w:after="0" w:line="254" w:lineRule="atLeast"/>
        <w:jc w:val="both"/>
        <w:rPr>
          <w:rFonts w:ascii="Arial" w:eastAsia="Times New Roman" w:hAnsi="Arial" w:cs="Arial"/>
          <w:color w:val="000000"/>
          <w:lang w:eastAsia="es-CO"/>
        </w:rPr>
      </w:pPr>
      <w:r w:rsidRPr="00D25CAC">
        <w:rPr>
          <w:rFonts w:ascii="Arial" w:eastAsia="Times New Roman" w:hAnsi="Arial" w:cs="Arial"/>
          <w:color w:val="000000"/>
          <w:lang w:eastAsia="es-CO"/>
        </w:rPr>
        <w:t xml:space="preserve">Los artículos 2.2.1.2.6.1.4. y 2.2.1.2.6.1.5. del presente decreto aplican para la modalidad de </w:t>
      </w:r>
      <w:r w:rsidR="00D0109C">
        <w:rPr>
          <w:rFonts w:ascii="Arial" w:eastAsia="Times New Roman" w:hAnsi="Arial" w:cs="Arial"/>
          <w:color w:val="000000"/>
          <w:lang w:eastAsia="es-CO"/>
        </w:rPr>
        <w:t>s</w:t>
      </w:r>
      <w:r w:rsidRPr="00D25CAC">
        <w:rPr>
          <w:rFonts w:ascii="Arial" w:eastAsia="Times New Roman" w:hAnsi="Arial" w:cs="Arial"/>
          <w:color w:val="000000"/>
          <w:lang w:eastAsia="es-CO"/>
        </w:rPr>
        <w:t>elección abreviada de menor cuantía para la contratación obra pública de infraestructura de transporte. </w:t>
      </w:r>
    </w:p>
    <w:p w14:paraId="57AAF57B" w14:textId="5498640C" w:rsidR="00DD4422" w:rsidRPr="00D25CAC" w:rsidRDefault="00DD4422" w:rsidP="003F2BF0">
      <w:pPr>
        <w:spacing w:after="0" w:line="254" w:lineRule="atLeast"/>
        <w:rPr>
          <w:rFonts w:ascii="Arial" w:eastAsia="Times New Roman" w:hAnsi="Arial" w:cs="Arial"/>
          <w:color w:val="000000"/>
          <w:lang w:eastAsia="es-CO"/>
        </w:rPr>
      </w:pPr>
    </w:p>
    <w:p w14:paraId="7542FD91" w14:textId="7D579717" w:rsidR="00DD4422" w:rsidRPr="00D0109C" w:rsidRDefault="00DD4422" w:rsidP="003F2BF0">
      <w:pPr>
        <w:spacing w:after="0" w:line="254" w:lineRule="atLeast"/>
        <w:rPr>
          <w:rFonts w:ascii="Arial" w:eastAsia="Times New Roman" w:hAnsi="Arial" w:cs="Arial"/>
          <w:color w:val="000000"/>
          <w:sz w:val="20"/>
          <w:szCs w:val="20"/>
          <w:lang w:eastAsia="es-CO"/>
        </w:rPr>
      </w:pPr>
      <w:r w:rsidRPr="00D25CAC">
        <w:rPr>
          <w:rFonts w:ascii="Arial" w:eastAsia="Times New Roman" w:hAnsi="Arial" w:cs="Arial"/>
          <w:color w:val="000000"/>
          <w:lang w:eastAsia="es-CO"/>
        </w:rPr>
        <w:t>(</w:t>
      </w:r>
      <w:r w:rsidRPr="00D0109C">
        <w:rPr>
          <w:rFonts w:ascii="Arial" w:eastAsia="Times New Roman" w:hAnsi="Arial" w:cs="Arial"/>
          <w:color w:val="000000"/>
          <w:sz w:val="20"/>
          <w:szCs w:val="20"/>
          <w:lang w:eastAsia="es-CO"/>
        </w:rPr>
        <w:t xml:space="preserve">Ver conceptos: </w:t>
      </w:r>
      <w:hyperlink r:id="rId10" w:history="1">
        <w:r w:rsidRPr="00872FDF">
          <w:rPr>
            <w:rStyle w:val="Hipervnculo"/>
            <w:rFonts w:ascii="Arial" w:eastAsia="Times New Roman" w:hAnsi="Arial" w:cs="Arial"/>
            <w:sz w:val="20"/>
            <w:szCs w:val="20"/>
            <w:lang w:eastAsia="es-CO"/>
          </w:rPr>
          <w:t>C</w:t>
        </w:r>
        <w:r w:rsidR="00D0109C" w:rsidRPr="00872FDF">
          <w:rPr>
            <w:rStyle w:val="Hipervnculo"/>
            <w:rFonts w:ascii="Arial" w:eastAsia="Times New Roman" w:hAnsi="Arial" w:cs="Arial"/>
            <w:sz w:val="20"/>
            <w:szCs w:val="20"/>
            <w:lang w:eastAsia="es-CO"/>
          </w:rPr>
          <w:t>–</w:t>
        </w:r>
        <w:r w:rsidRPr="00872FDF">
          <w:rPr>
            <w:rStyle w:val="Hipervnculo"/>
            <w:rFonts w:ascii="Arial" w:eastAsia="Times New Roman" w:hAnsi="Arial" w:cs="Arial"/>
            <w:sz w:val="20"/>
            <w:szCs w:val="20"/>
            <w:lang w:eastAsia="es-CO"/>
          </w:rPr>
          <w:t>102 del 18/03/2020</w:t>
        </w:r>
      </w:hyperlink>
      <w:r w:rsidR="00D0109C" w:rsidRPr="00D0109C">
        <w:rPr>
          <w:rFonts w:ascii="Arial" w:eastAsia="Times New Roman" w:hAnsi="Arial" w:cs="Arial"/>
          <w:color w:val="000000"/>
          <w:sz w:val="20"/>
          <w:szCs w:val="20"/>
          <w:lang w:eastAsia="es-CO"/>
        </w:rPr>
        <w:t>)</w:t>
      </w:r>
    </w:p>
    <w:p w14:paraId="54037842" w14:textId="39C3D680" w:rsidR="003F2BF0" w:rsidRPr="00D25CAC" w:rsidRDefault="003F2BF0" w:rsidP="00D0109C">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bookmarkStart w:id="6" w:name="ver_30206328"/>
      <w:bookmarkEnd w:id="6"/>
    </w:p>
    <w:p w14:paraId="242960AF"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themeColor="text1"/>
          <w:lang w:eastAsia="es-CO"/>
        </w:rPr>
        <w:lastRenderedPageBreak/>
        <w:t>Artículo 2°.</w:t>
      </w:r>
      <w:r w:rsidRPr="00D25CAC">
        <w:rPr>
          <w:rFonts w:ascii="Arial" w:eastAsia="Times New Roman" w:hAnsi="Arial" w:cs="Arial"/>
          <w:i/>
          <w:iCs/>
          <w:color w:val="000000" w:themeColor="text1"/>
          <w:lang w:eastAsia="es-CO"/>
        </w:rPr>
        <w:t>Vigencia</w:t>
      </w:r>
      <w:r w:rsidRPr="00D25CAC">
        <w:rPr>
          <w:rFonts w:ascii="Arial" w:eastAsia="Times New Roman" w:hAnsi="Arial" w:cs="Arial"/>
          <w:color w:val="000000" w:themeColor="text1"/>
          <w:lang w:eastAsia="es-CO"/>
        </w:rPr>
        <w:t>. El presente decreto regirá a partir de su publicación en </w:t>
      </w:r>
      <w:r w:rsidRPr="00D25CAC">
        <w:rPr>
          <w:rFonts w:ascii="Arial" w:eastAsia="Times New Roman" w:hAnsi="Arial" w:cs="Arial"/>
          <w:i/>
          <w:iCs/>
          <w:color w:val="000000" w:themeColor="text1"/>
          <w:lang w:eastAsia="es-CO"/>
        </w:rPr>
        <w:t>Diario Oficial </w:t>
      </w:r>
      <w:r w:rsidRPr="00D25CAC">
        <w:rPr>
          <w:rFonts w:ascii="Arial" w:eastAsia="Times New Roman" w:hAnsi="Arial" w:cs="Arial"/>
          <w:color w:val="000000" w:themeColor="text1"/>
          <w:lang w:eastAsia="es-CO"/>
        </w:rPr>
        <w:t>y se aplicará a los procesos de contratación de selección abreviada de menor cuantía cuyo aviso de convocatoria sea publicado a partir del 17 de febrero de 2020. </w:t>
      </w:r>
    </w:p>
    <w:p w14:paraId="79A51BC7" w14:textId="70BF2B45" w:rsidR="6CBABD16" w:rsidRPr="00D25CAC" w:rsidRDefault="6CBABD16" w:rsidP="6CBABD16">
      <w:pPr>
        <w:spacing w:after="0" w:line="254" w:lineRule="atLeast"/>
        <w:rPr>
          <w:rFonts w:ascii="Arial" w:eastAsia="Times New Roman" w:hAnsi="Arial" w:cs="Arial"/>
          <w:color w:val="000000" w:themeColor="text1"/>
          <w:lang w:eastAsia="es-CO"/>
        </w:rPr>
      </w:pPr>
    </w:p>
    <w:p w14:paraId="5300B31C" w14:textId="3EE32976" w:rsidR="78458D9A" w:rsidRPr="00D0109C" w:rsidRDefault="78458D9A" w:rsidP="6CBABD16">
      <w:pPr>
        <w:spacing w:after="0" w:line="254" w:lineRule="atLeast"/>
        <w:rPr>
          <w:rFonts w:ascii="Arial" w:eastAsia="Times New Roman" w:hAnsi="Arial" w:cs="Arial"/>
          <w:color w:val="000000" w:themeColor="text1"/>
          <w:sz w:val="20"/>
          <w:szCs w:val="20"/>
          <w:lang w:eastAsia="es-CO"/>
        </w:rPr>
      </w:pPr>
      <w:r w:rsidRPr="00D0109C">
        <w:rPr>
          <w:rFonts w:ascii="Arial" w:eastAsia="Times New Roman" w:hAnsi="Arial" w:cs="Arial"/>
          <w:color w:val="000000" w:themeColor="text1"/>
          <w:sz w:val="20"/>
          <w:szCs w:val="20"/>
          <w:lang w:eastAsia="es-CO"/>
        </w:rPr>
        <w:t xml:space="preserve">(Ver conceptos: </w:t>
      </w:r>
      <w:hyperlink r:id="rId11" w:history="1">
        <w:r w:rsidRPr="00CC3CBD">
          <w:rPr>
            <w:rStyle w:val="Hipervnculo"/>
            <w:rFonts w:ascii="Arial" w:eastAsia="Times New Roman" w:hAnsi="Arial" w:cs="Arial"/>
            <w:sz w:val="20"/>
            <w:szCs w:val="20"/>
            <w:lang w:eastAsia="es-CO"/>
          </w:rPr>
          <w:t>C</w:t>
        </w:r>
        <w:r w:rsidR="00D0109C" w:rsidRPr="00CC3CBD">
          <w:rPr>
            <w:rStyle w:val="Hipervnculo"/>
            <w:rFonts w:ascii="Arial" w:eastAsia="Times New Roman" w:hAnsi="Arial" w:cs="Arial"/>
            <w:sz w:val="20"/>
            <w:szCs w:val="20"/>
            <w:lang w:eastAsia="es-CO"/>
          </w:rPr>
          <w:t>–</w:t>
        </w:r>
        <w:r w:rsidRPr="00CC3CBD">
          <w:rPr>
            <w:rStyle w:val="Hipervnculo"/>
            <w:rFonts w:ascii="Arial" w:eastAsia="Times New Roman" w:hAnsi="Arial" w:cs="Arial"/>
            <w:sz w:val="20"/>
            <w:szCs w:val="20"/>
            <w:lang w:eastAsia="es-CO"/>
          </w:rPr>
          <w:t>305 del 28/05/2020</w:t>
        </w:r>
      </w:hyperlink>
      <w:r w:rsidR="00347315">
        <w:rPr>
          <w:rFonts w:ascii="Arial" w:eastAsia="Times New Roman" w:hAnsi="Arial" w:cs="Arial"/>
          <w:color w:val="000000" w:themeColor="text1"/>
          <w:sz w:val="20"/>
          <w:szCs w:val="20"/>
          <w:lang w:eastAsia="es-CO"/>
        </w:rPr>
        <w:t xml:space="preserve">, </w:t>
      </w:r>
      <w:hyperlink r:id="rId12" w:history="1">
        <w:r w:rsidR="00347315" w:rsidRPr="00CC3CBD">
          <w:rPr>
            <w:rStyle w:val="Hipervnculo"/>
            <w:rFonts w:ascii="Arial" w:hAnsi="Arial" w:cs="Arial"/>
          </w:rPr>
          <w:t>C-502 del 29/07/2020</w:t>
        </w:r>
      </w:hyperlink>
      <w:r w:rsidR="00D0109C" w:rsidRPr="00D0109C">
        <w:rPr>
          <w:rFonts w:ascii="Arial" w:eastAsia="Times New Roman" w:hAnsi="Arial" w:cs="Arial"/>
          <w:color w:val="000000" w:themeColor="text1"/>
          <w:sz w:val="20"/>
          <w:szCs w:val="20"/>
          <w:lang w:eastAsia="es-CO"/>
        </w:rPr>
        <w:t>)</w:t>
      </w:r>
      <w:r w:rsidRPr="00D0109C">
        <w:rPr>
          <w:rFonts w:ascii="Arial" w:eastAsia="Times New Roman" w:hAnsi="Arial" w:cs="Arial"/>
          <w:color w:val="000000" w:themeColor="text1"/>
          <w:sz w:val="20"/>
          <w:szCs w:val="20"/>
          <w:lang w:eastAsia="es-CO"/>
        </w:rPr>
        <w:t xml:space="preserve"> </w:t>
      </w:r>
    </w:p>
    <w:p w14:paraId="626ED1D8" w14:textId="77777777" w:rsidR="003F2BF0" w:rsidRPr="00D0109C" w:rsidRDefault="003F2BF0" w:rsidP="003F2BF0">
      <w:pPr>
        <w:spacing w:after="0" w:line="254" w:lineRule="atLeast"/>
        <w:rPr>
          <w:rFonts w:ascii="Arial" w:eastAsia="Times New Roman" w:hAnsi="Arial" w:cs="Arial"/>
          <w:color w:val="000000"/>
          <w:sz w:val="20"/>
          <w:szCs w:val="20"/>
          <w:lang w:eastAsia="es-CO"/>
        </w:rPr>
      </w:pPr>
      <w:r w:rsidRPr="00D0109C">
        <w:rPr>
          <w:rFonts w:ascii="Arial" w:eastAsia="Times New Roman" w:hAnsi="Arial" w:cs="Arial"/>
          <w:color w:val="000000"/>
          <w:sz w:val="20"/>
          <w:szCs w:val="20"/>
          <w:lang w:eastAsia="es-CO"/>
        </w:rPr>
        <w:t>  </w:t>
      </w:r>
    </w:p>
    <w:p w14:paraId="5075351E" w14:textId="77777777" w:rsidR="003F2BF0" w:rsidRPr="00D25CAC" w:rsidRDefault="003F2BF0" w:rsidP="003F2BF0">
      <w:pPr>
        <w:spacing w:after="0" w:line="254" w:lineRule="atLeast"/>
        <w:rPr>
          <w:rFonts w:ascii="Arial" w:eastAsia="Times New Roman" w:hAnsi="Arial" w:cs="Arial"/>
          <w:color w:val="000000"/>
          <w:lang w:eastAsia="es-CO"/>
        </w:rPr>
      </w:pPr>
      <w:bookmarkStart w:id="7" w:name="ver_30206330"/>
      <w:bookmarkEnd w:id="7"/>
      <w:r w:rsidRPr="00D25CAC">
        <w:rPr>
          <w:rFonts w:ascii="Arial" w:eastAsia="Times New Roman" w:hAnsi="Arial" w:cs="Arial"/>
          <w:color w:val="000000"/>
          <w:lang w:eastAsia="es-CO"/>
        </w:rPr>
        <w:t>Publíquese y cúmplase. </w:t>
      </w:r>
    </w:p>
    <w:p w14:paraId="3B839E15"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435471D5"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Dado en Bogotá, D. C., a 21 de noviembre de 2019. </w:t>
      </w:r>
    </w:p>
    <w:p w14:paraId="199FC8EE" w14:textId="77777777" w:rsidR="003F2BF0" w:rsidRPr="00D25CAC" w:rsidRDefault="003F2BF0" w:rsidP="003F2BF0">
      <w:pPr>
        <w:spacing w:after="0" w:line="254" w:lineRule="atLeast"/>
        <w:rPr>
          <w:rFonts w:ascii="Arial" w:eastAsia="Times New Roman" w:hAnsi="Arial" w:cs="Arial"/>
          <w:color w:val="000000"/>
          <w:lang w:eastAsia="es-CO"/>
        </w:rPr>
      </w:pPr>
      <w:r w:rsidRPr="00D25CAC">
        <w:rPr>
          <w:rFonts w:ascii="Arial" w:eastAsia="Times New Roman" w:hAnsi="Arial" w:cs="Arial"/>
          <w:color w:val="000000"/>
          <w:lang w:eastAsia="es-CO"/>
        </w:rPr>
        <w:t>  </w:t>
      </w:r>
    </w:p>
    <w:p w14:paraId="21EC100E" w14:textId="35A21058" w:rsidR="003F2BF0" w:rsidRPr="00D0109C" w:rsidRDefault="003F2BF0" w:rsidP="00D0109C">
      <w:pPr>
        <w:spacing w:after="0" w:line="254" w:lineRule="atLeast"/>
        <w:jc w:val="center"/>
        <w:rPr>
          <w:rFonts w:ascii="Arial" w:eastAsia="Times New Roman" w:hAnsi="Arial" w:cs="Arial"/>
          <w:b/>
          <w:bCs/>
          <w:color w:val="000000"/>
          <w:lang w:eastAsia="es-CO"/>
        </w:rPr>
      </w:pPr>
      <w:r w:rsidRPr="00D0109C">
        <w:rPr>
          <w:rFonts w:ascii="Arial" w:eastAsia="Times New Roman" w:hAnsi="Arial" w:cs="Arial"/>
          <w:b/>
          <w:bCs/>
          <w:color w:val="000000"/>
          <w:lang w:eastAsia="es-CO"/>
        </w:rPr>
        <w:t>IVÁN DUQUE MÁRQUEZ</w:t>
      </w:r>
    </w:p>
    <w:p w14:paraId="7DB93D8C" w14:textId="01875D13" w:rsidR="003F2BF0" w:rsidRPr="00D0109C" w:rsidRDefault="003F2BF0" w:rsidP="00D0109C">
      <w:pPr>
        <w:spacing w:after="0" w:line="254" w:lineRule="atLeast"/>
        <w:jc w:val="center"/>
        <w:rPr>
          <w:rFonts w:ascii="Arial" w:eastAsia="Times New Roman" w:hAnsi="Arial" w:cs="Arial"/>
          <w:b/>
          <w:bCs/>
          <w:color w:val="000000"/>
          <w:lang w:eastAsia="es-CO"/>
        </w:rPr>
      </w:pPr>
      <w:r w:rsidRPr="00D0109C">
        <w:rPr>
          <w:rFonts w:ascii="Arial" w:eastAsia="Times New Roman" w:hAnsi="Arial" w:cs="Arial"/>
          <w:b/>
          <w:bCs/>
          <w:color w:val="000000"/>
          <w:lang w:eastAsia="es-CO"/>
        </w:rPr>
        <w:t>La Ministra de Transporte,</w:t>
      </w:r>
    </w:p>
    <w:p w14:paraId="467B24A9" w14:textId="410A5FF1" w:rsidR="003F2BF0" w:rsidRPr="00D0109C" w:rsidRDefault="003F2BF0" w:rsidP="00D0109C">
      <w:pPr>
        <w:spacing w:after="0" w:line="254" w:lineRule="atLeast"/>
        <w:jc w:val="center"/>
        <w:rPr>
          <w:rFonts w:ascii="Arial" w:eastAsia="Times New Roman" w:hAnsi="Arial" w:cs="Arial"/>
          <w:b/>
          <w:bCs/>
          <w:color w:val="000000"/>
          <w:lang w:eastAsia="es-CO"/>
        </w:rPr>
      </w:pPr>
      <w:r w:rsidRPr="00D0109C">
        <w:rPr>
          <w:rFonts w:ascii="Arial" w:eastAsia="Times New Roman" w:hAnsi="Arial" w:cs="Arial"/>
          <w:b/>
          <w:bCs/>
          <w:color w:val="000000"/>
          <w:lang w:eastAsia="es-CO"/>
        </w:rPr>
        <w:t>Ángela María Orozco Gómez.</w:t>
      </w:r>
    </w:p>
    <w:p w14:paraId="4049DC6F" w14:textId="5D219114" w:rsidR="003F2BF0" w:rsidRPr="00D0109C" w:rsidRDefault="003F2BF0" w:rsidP="00D0109C">
      <w:pPr>
        <w:spacing w:after="0" w:line="254" w:lineRule="atLeast"/>
        <w:jc w:val="center"/>
        <w:rPr>
          <w:rFonts w:ascii="Arial" w:eastAsia="Times New Roman" w:hAnsi="Arial" w:cs="Arial"/>
          <w:b/>
          <w:bCs/>
          <w:color w:val="000000"/>
          <w:lang w:eastAsia="es-CO"/>
        </w:rPr>
      </w:pPr>
      <w:r w:rsidRPr="00D0109C">
        <w:rPr>
          <w:rFonts w:ascii="Arial" w:eastAsia="Times New Roman" w:hAnsi="Arial" w:cs="Arial"/>
          <w:b/>
          <w:bCs/>
          <w:color w:val="000000"/>
          <w:lang w:eastAsia="es-CO"/>
        </w:rPr>
        <w:t>El Director General del Departamento Nacional de Planeación,</w:t>
      </w:r>
    </w:p>
    <w:p w14:paraId="6C9A5B93" w14:textId="6BC7A74C" w:rsidR="003F2BF0" w:rsidRPr="00D0109C" w:rsidRDefault="003F2BF0" w:rsidP="00D0109C">
      <w:pPr>
        <w:spacing w:after="0" w:line="254" w:lineRule="atLeast"/>
        <w:jc w:val="center"/>
        <w:rPr>
          <w:rFonts w:ascii="Arial" w:eastAsia="Times New Roman" w:hAnsi="Arial" w:cs="Arial"/>
          <w:b/>
          <w:bCs/>
          <w:color w:val="000000"/>
          <w:lang w:eastAsia="es-CO"/>
        </w:rPr>
      </w:pPr>
      <w:r w:rsidRPr="00D0109C">
        <w:rPr>
          <w:rFonts w:ascii="Arial" w:eastAsia="Times New Roman" w:hAnsi="Arial" w:cs="Arial"/>
          <w:b/>
          <w:bCs/>
          <w:color w:val="000000"/>
          <w:lang w:eastAsia="es-CO"/>
        </w:rPr>
        <w:t>Luis Alberto Rodríguez Ospino.</w:t>
      </w:r>
    </w:p>
    <w:p w14:paraId="78B7FAA7" w14:textId="77777777" w:rsidR="00A76441" w:rsidRPr="00D25CAC" w:rsidRDefault="00A76441">
      <w:pPr>
        <w:rPr>
          <w:rFonts w:ascii="Arial" w:hAnsi="Arial" w:cs="Arial"/>
        </w:rPr>
      </w:pPr>
    </w:p>
    <w:sectPr w:rsidR="00A76441" w:rsidRPr="00D25CAC" w:rsidSect="00364A78">
      <w:pgSz w:w="12240" w:h="15840"/>
      <w:pgMar w:top="1559" w:right="1321" w:bottom="1417" w:left="1400"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BF0"/>
    <w:rsid w:val="001B19A5"/>
    <w:rsid w:val="002E61C6"/>
    <w:rsid w:val="00347315"/>
    <w:rsid w:val="00364A78"/>
    <w:rsid w:val="00365B98"/>
    <w:rsid w:val="003F2BF0"/>
    <w:rsid w:val="003F5DD8"/>
    <w:rsid w:val="008077BA"/>
    <w:rsid w:val="00872FDF"/>
    <w:rsid w:val="009B5265"/>
    <w:rsid w:val="00A76441"/>
    <w:rsid w:val="00A91063"/>
    <w:rsid w:val="00BA5C4B"/>
    <w:rsid w:val="00CC3CBD"/>
    <w:rsid w:val="00D0109C"/>
    <w:rsid w:val="00D25CAC"/>
    <w:rsid w:val="00DD4422"/>
    <w:rsid w:val="00DF1A90"/>
    <w:rsid w:val="00E34C31"/>
    <w:rsid w:val="00E86744"/>
    <w:rsid w:val="00FE798F"/>
    <w:rsid w:val="28308C3D"/>
    <w:rsid w:val="6CBABD16"/>
    <w:rsid w:val="78458D9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DF98D"/>
  <w15:chartTrackingRefBased/>
  <w15:docId w15:val="{BFC85F33-482D-423A-91C4-7396F23EF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F2BF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octoggle">
    <w:name w:val="toctoggle"/>
    <w:basedOn w:val="Fuentedeprrafopredeter"/>
    <w:rsid w:val="003F2BF0"/>
  </w:style>
  <w:style w:type="character" w:styleId="Hipervnculo">
    <w:name w:val="Hyperlink"/>
    <w:basedOn w:val="Fuentedeprrafopredeter"/>
    <w:uiPriority w:val="99"/>
    <w:unhideWhenUsed/>
    <w:rsid w:val="003F2BF0"/>
    <w:rPr>
      <w:color w:val="0000FF"/>
      <w:u w:val="single"/>
    </w:rPr>
  </w:style>
  <w:style w:type="character" w:styleId="Textoennegrita">
    <w:name w:val="Strong"/>
    <w:basedOn w:val="Fuentedeprrafopredeter"/>
    <w:uiPriority w:val="22"/>
    <w:qFormat/>
    <w:rsid w:val="003F2BF0"/>
    <w:rPr>
      <w:b/>
      <w:bCs/>
    </w:rPr>
  </w:style>
  <w:style w:type="character" w:styleId="nfasis">
    <w:name w:val="Emphasis"/>
    <w:basedOn w:val="Fuentedeprrafopredeter"/>
    <w:uiPriority w:val="20"/>
    <w:qFormat/>
    <w:rsid w:val="003F2BF0"/>
    <w:rPr>
      <w:i/>
      <w:iCs/>
    </w:rPr>
  </w:style>
  <w:style w:type="paragraph" w:customStyle="1" w:styleId="xmsonormal">
    <w:name w:val="x_msonormal"/>
    <w:basedOn w:val="Normal"/>
    <w:rsid w:val="00E86744"/>
    <w:pPr>
      <w:spacing w:after="0" w:line="240" w:lineRule="auto"/>
    </w:pPr>
    <w:rPr>
      <w:rFonts w:ascii="Calibri" w:hAnsi="Calibri" w:cs="Times New Roman"/>
      <w:lang w:eastAsia="es-CO"/>
    </w:rPr>
  </w:style>
  <w:style w:type="character" w:customStyle="1" w:styleId="normaltextrun">
    <w:name w:val="normaltextrun"/>
    <w:basedOn w:val="Fuentedeprrafopredeter"/>
    <w:rsid w:val="00E86744"/>
  </w:style>
  <w:style w:type="character" w:customStyle="1" w:styleId="eop">
    <w:name w:val="eop"/>
    <w:basedOn w:val="Fuentedeprrafopredeter"/>
    <w:rsid w:val="00E86744"/>
  </w:style>
  <w:style w:type="character" w:styleId="Mencinsinresolver">
    <w:name w:val="Unresolved Mention"/>
    <w:basedOn w:val="Fuentedeprrafopredeter"/>
    <w:uiPriority w:val="99"/>
    <w:semiHidden/>
    <w:unhideWhenUsed/>
    <w:rsid w:val="00365B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257503">
      <w:bodyDiv w:val="1"/>
      <w:marLeft w:val="0"/>
      <w:marRight w:val="0"/>
      <w:marTop w:val="0"/>
      <w:marBottom w:val="0"/>
      <w:divBdr>
        <w:top w:val="none" w:sz="0" w:space="0" w:color="auto"/>
        <w:left w:val="none" w:sz="0" w:space="0" w:color="auto"/>
        <w:bottom w:val="none" w:sz="0" w:space="0" w:color="auto"/>
        <w:right w:val="none" w:sz="0" w:space="0" w:color="auto"/>
      </w:divBdr>
      <w:divsChild>
        <w:div w:id="851574889">
          <w:marLeft w:val="0"/>
          <w:marRight w:val="0"/>
          <w:marTop w:val="0"/>
          <w:marBottom w:val="0"/>
          <w:divBdr>
            <w:top w:val="none" w:sz="0" w:space="0" w:color="auto"/>
            <w:left w:val="none" w:sz="0" w:space="0" w:color="auto"/>
            <w:bottom w:val="none" w:sz="0" w:space="0" w:color="auto"/>
            <w:right w:val="none" w:sz="0" w:space="0" w:color="auto"/>
          </w:divBdr>
        </w:div>
        <w:div w:id="857692492">
          <w:marLeft w:val="0"/>
          <w:marRight w:val="0"/>
          <w:marTop w:val="0"/>
          <w:marBottom w:val="150"/>
          <w:divBdr>
            <w:top w:val="none" w:sz="0" w:space="0" w:color="auto"/>
            <w:left w:val="none" w:sz="0" w:space="0" w:color="auto"/>
            <w:bottom w:val="none" w:sz="0" w:space="0" w:color="auto"/>
            <w:right w:val="none" w:sz="0" w:space="0" w:color="auto"/>
          </w:divBdr>
        </w:div>
        <w:div w:id="1722366239">
          <w:marLeft w:val="0"/>
          <w:marRight w:val="0"/>
          <w:marTop w:val="0"/>
          <w:marBottom w:val="150"/>
          <w:divBdr>
            <w:top w:val="none" w:sz="0" w:space="0" w:color="auto"/>
            <w:left w:val="none" w:sz="0" w:space="0" w:color="auto"/>
            <w:bottom w:val="none" w:sz="0" w:space="0" w:color="auto"/>
            <w:right w:val="none" w:sz="0" w:space="0" w:color="auto"/>
          </w:divBdr>
        </w:div>
        <w:div w:id="327250779">
          <w:marLeft w:val="0"/>
          <w:marRight w:val="0"/>
          <w:marTop w:val="0"/>
          <w:marBottom w:val="0"/>
          <w:divBdr>
            <w:top w:val="none" w:sz="0" w:space="0" w:color="auto"/>
            <w:left w:val="none" w:sz="0" w:space="0" w:color="auto"/>
            <w:bottom w:val="none" w:sz="0" w:space="0" w:color="auto"/>
            <w:right w:val="none" w:sz="0" w:space="0" w:color="auto"/>
          </w:divBdr>
          <w:divsChild>
            <w:div w:id="484518304">
              <w:marLeft w:val="0"/>
              <w:marRight w:val="0"/>
              <w:marTop w:val="0"/>
              <w:marBottom w:val="0"/>
              <w:divBdr>
                <w:top w:val="none" w:sz="0" w:space="0" w:color="auto"/>
                <w:left w:val="none" w:sz="0" w:space="0" w:color="auto"/>
                <w:bottom w:val="none" w:sz="0" w:space="0" w:color="auto"/>
                <w:right w:val="none" w:sz="0" w:space="0" w:color="auto"/>
              </w:divBdr>
            </w:div>
            <w:div w:id="2064792869">
              <w:marLeft w:val="0"/>
              <w:marRight w:val="0"/>
              <w:marTop w:val="0"/>
              <w:marBottom w:val="150"/>
              <w:divBdr>
                <w:top w:val="none" w:sz="0" w:space="0" w:color="auto"/>
                <w:left w:val="none" w:sz="0" w:space="0" w:color="auto"/>
                <w:bottom w:val="none" w:sz="0" w:space="0" w:color="auto"/>
                <w:right w:val="none" w:sz="0" w:space="0" w:color="auto"/>
              </w:divBdr>
            </w:div>
            <w:div w:id="1573081973">
              <w:marLeft w:val="0"/>
              <w:marRight w:val="0"/>
              <w:marTop w:val="0"/>
              <w:marBottom w:val="0"/>
              <w:divBdr>
                <w:top w:val="none" w:sz="0" w:space="0" w:color="auto"/>
                <w:left w:val="none" w:sz="0" w:space="0" w:color="auto"/>
                <w:bottom w:val="none" w:sz="0" w:space="0" w:color="auto"/>
                <w:right w:val="none" w:sz="0" w:space="0" w:color="auto"/>
              </w:divBdr>
              <w:divsChild>
                <w:div w:id="1305041425">
                  <w:marLeft w:val="0"/>
                  <w:marRight w:val="0"/>
                  <w:marTop w:val="0"/>
                  <w:marBottom w:val="0"/>
                  <w:divBdr>
                    <w:top w:val="none" w:sz="0" w:space="0" w:color="auto"/>
                    <w:left w:val="none" w:sz="0" w:space="0" w:color="auto"/>
                    <w:bottom w:val="none" w:sz="0" w:space="0" w:color="auto"/>
                    <w:right w:val="none" w:sz="0" w:space="0" w:color="auto"/>
                  </w:divBdr>
                </w:div>
              </w:divsChild>
            </w:div>
            <w:div w:id="621302941">
              <w:marLeft w:val="0"/>
              <w:marRight w:val="0"/>
              <w:marTop w:val="0"/>
              <w:marBottom w:val="0"/>
              <w:divBdr>
                <w:top w:val="none" w:sz="0" w:space="0" w:color="auto"/>
                <w:left w:val="none" w:sz="0" w:space="0" w:color="auto"/>
                <w:bottom w:val="none" w:sz="0" w:space="0" w:color="auto"/>
                <w:right w:val="none" w:sz="0" w:space="0" w:color="auto"/>
              </w:divBdr>
              <w:divsChild>
                <w:div w:id="1268318629">
                  <w:marLeft w:val="0"/>
                  <w:marRight w:val="0"/>
                  <w:marTop w:val="0"/>
                  <w:marBottom w:val="0"/>
                  <w:divBdr>
                    <w:top w:val="none" w:sz="0" w:space="0" w:color="auto"/>
                    <w:left w:val="none" w:sz="0" w:space="0" w:color="auto"/>
                    <w:bottom w:val="none" w:sz="0" w:space="0" w:color="auto"/>
                    <w:right w:val="none" w:sz="0" w:space="0" w:color="auto"/>
                  </w:divBdr>
                </w:div>
              </w:divsChild>
            </w:div>
            <w:div w:id="47226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035449">
      <w:bodyDiv w:val="1"/>
      <w:marLeft w:val="0"/>
      <w:marRight w:val="0"/>
      <w:marTop w:val="0"/>
      <w:marBottom w:val="0"/>
      <w:divBdr>
        <w:top w:val="none" w:sz="0" w:space="0" w:color="auto"/>
        <w:left w:val="none" w:sz="0" w:space="0" w:color="auto"/>
        <w:bottom w:val="none" w:sz="0" w:space="0" w:color="auto"/>
        <w:right w:val="none" w:sz="0" w:space="0" w:color="auto"/>
      </w:divBdr>
      <w:divsChild>
        <w:div w:id="659772857">
          <w:marLeft w:val="0"/>
          <w:marRight w:val="0"/>
          <w:marTop w:val="0"/>
          <w:marBottom w:val="0"/>
          <w:divBdr>
            <w:top w:val="none" w:sz="0" w:space="0" w:color="auto"/>
            <w:left w:val="none" w:sz="0" w:space="0" w:color="auto"/>
            <w:bottom w:val="none" w:sz="0" w:space="0" w:color="auto"/>
            <w:right w:val="none" w:sz="0" w:space="0" w:color="auto"/>
          </w:divBdr>
        </w:div>
        <w:div w:id="770390595">
          <w:marLeft w:val="0"/>
          <w:marRight w:val="0"/>
          <w:marTop w:val="0"/>
          <w:marBottom w:val="150"/>
          <w:divBdr>
            <w:top w:val="none" w:sz="0" w:space="0" w:color="auto"/>
            <w:left w:val="none" w:sz="0" w:space="0" w:color="auto"/>
            <w:bottom w:val="none" w:sz="0" w:space="0" w:color="auto"/>
            <w:right w:val="none" w:sz="0" w:space="0" w:color="auto"/>
          </w:divBdr>
        </w:div>
        <w:div w:id="1067849064">
          <w:marLeft w:val="0"/>
          <w:marRight w:val="0"/>
          <w:marTop w:val="0"/>
          <w:marBottom w:val="150"/>
          <w:divBdr>
            <w:top w:val="none" w:sz="0" w:space="0" w:color="auto"/>
            <w:left w:val="none" w:sz="0" w:space="0" w:color="auto"/>
            <w:bottom w:val="none" w:sz="0" w:space="0" w:color="auto"/>
            <w:right w:val="none" w:sz="0" w:space="0" w:color="auto"/>
          </w:divBdr>
        </w:div>
        <w:div w:id="1521318023">
          <w:marLeft w:val="0"/>
          <w:marRight w:val="0"/>
          <w:marTop w:val="0"/>
          <w:marBottom w:val="0"/>
          <w:divBdr>
            <w:top w:val="none" w:sz="0" w:space="0" w:color="auto"/>
            <w:left w:val="none" w:sz="0" w:space="0" w:color="auto"/>
            <w:bottom w:val="none" w:sz="0" w:space="0" w:color="auto"/>
            <w:right w:val="none" w:sz="0" w:space="0" w:color="auto"/>
          </w:divBdr>
          <w:divsChild>
            <w:div w:id="703402240">
              <w:marLeft w:val="0"/>
              <w:marRight w:val="0"/>
              <w:marTop w:val="0"/>
              <w:marBottom w:val="0"/>
              <w:divBdr>
                <w:top w:val="none" w:sz="0" w:space="0" w:color="auto"/>
                <w:left w:val="none" w:sz="0" w:space="0" w:color="auto"/>
                <w:bottom w:val="none" w:sz="0" w:space="0" w:color="auto"/>
                <w:right w:val="none" w:sz="0" w:space="0" w:color="auto"/>
              </w:divBdr>
            </w:div>
            <w:div w:id="1195272728">
              <w:marLeft w:val="0"/>
              <w:marRight w:val="0"/>
              <w:marTop w:val="0"/>
              <w:marBottom w:val="150"/>
              <w:divBdr>
                <w:top w:val="none" w:sz="0" w:space="0" w:color="auto"/>
                <w:left w:val="none" w:sz="0" w:space="0" w:color="auto"/>
                <w:bottom w:val="none" w:sz="0" w:space="0" w:color="auto"/>
                <w:right w:val="none" w:sz="0" w:space="0" w:color="auto"/>
              </w:divBdr>
            </w:div>
            <w:div w:id="749617855">
              <w:marLeft w:val="0"/>
              <w:marRight w:val="0"/>
              <w:marTop w:val="0"/>
              <w:marBottom w:val="0"/>
              <w:divBdr>
                <w:top w:val="none" w:sz="0" w:space="0" w:color="auto"/>
                <w:left w:val="none" w:sz="0" w:space="0" w:color="auto"/>
                <w:bottom w:val="none" w:sz="0" w:space="0" w:color="auto"/>
                <w:right w:val="none" w:sz="0" w:space="0" w:color="auto"/>
              </w:divBdr>
              <w:divsChild>
                <w:div w:id="1420755332">
                  <w:marLeft w:val="0"/>
                  <w:marRight w:val="0"/>
                  <w:marTop w:val="0"/>
                  <w:marBottom w:val="0"/>
                  <w:divBdr>
                    <w:top w:val="none" w:sz="0" w:space="0" w:color="auto"/>
                    <w:left w:val="none" w:sz="0" w:space="0" w:color="auto"/>
                    <w:bottom w:val="none" w:sz="0" w:space="0" w:color="auto"/>
                    <w:right w:val="none" w:sz="0" w:space="0" w:color="auto"/>
                  </w:divBdr>
                </w:div>
              </w:divsChild>
            </w:div>
            <w:div w:id="315886153">
              <w:marLeft w:val="0"/>
              <w:marRight w:val="0"/>
              <w:marTop w:val="0"/>
              <w:marBottom w:val="0"/>
              <w:divBdr>
                <w:top w:val="none" w:sz="0" w:space="0" w:color="auto"/>
                <w:left w:val="none" w:sz="0" w:space="0" w:color="auto"/>
                <w:bottom w:val="none" w:sz="0" w:space="0" w:color="auto"/>
                <w:right w:val="none" w:sz="0" w:space="0" w:color="auto"/>
              </w:divBdr>
              <w:divsChild>
                <w:div w:id="886258069">
                  <w:marLeft w:val="0"/>
                  <w:marRight w:val="0"/>
                  <w:marTop w:val="0"/>
                  <w:marBottom w:val="0"/>
                  <w:divBdr>
                    <w:top w:val="none" w:sz="0" w:space="0" w:color="auto"/>
                    <w:left w:val="none" w:sz="0" w:space="0" w:color="auto"/>
                    <w:bottom w:val="none" w:sz="0" w:space="0" w:color="auto"/>
                    <w:right w:val="none" w:sz="0" w:space="0" w:color="auto"/>
                  </w:divBdr>
                </w:div>
              </w:divsChild>
            </w:div>
            <w:div w:id="786704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C-102%20de%202020"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relatoria.colombiacompra.gov.co/ficha/C-240%20de%202020" TargetMode="External"/><Relationship Id="rId12" Type="http://schemas.openxmlformats.org/officeDocument/2006/relationships/hyperlink" Target="http://relatoria.colombiacompra.gov.co/ficha/C-502%20de%20202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elatoria.colombiacompra.gov.co/ficha/C-305%20de%202020" TargetMode="External"/><Relationship Id="rId5" Type="http://schemas.openxmlformats.org/officeDocument/2006/relationships/settings" Target="settings.xml"/><Relationship Id="rId10" Type="http://schemas.openxmlformats.org/officeDocument/2006/relationships/hyperlink" Target="http://relatoria.colombiacompra.gov.co/ficha/C-102%20de%202020" TargetMode="External"/><Relationship Id="rId4" Type="http://schemas.openxmlformats.org/officeDocument/2006/relationships/styles" Target="styles.xml"/><Relationship Id="rId9" Type="http://schemas.openxmlformats.org/officeDocument/2006/relationships/hyperlink" Target="http://relatoria.colombiacompra.gov.co/ficha/C-240%20de%202020"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281688-1C28-4161-BF76-C63B922A88DC}">
  <ds:schemaRefs>
    <ds:schemaRef ds:uri="http://schemas.microsoft.com/sharepoint/v3/contenttype/forms"/>
  </ds:schemaRefs>
</ds:datastoreItem>
</file>

<file path=customXml/itemProps2.xml><?xml version="1.0" encoding="utf-8"?>
<ds:datastoreItem xmlns:ds="http://schemas.openxmlformats.org/officeDocument/2006/customXml" ds:itemID="{7FB0548C-E55E-466F-BD7C-B8D0237B81D1}">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580F0265-BB92-4F11-93AC-6D48EC5EB420}"/>
</file>

<file path=docProps/app.xml><?xml version="1.0" encoding="utf-8"?>
<Properties xmlns="http://schemas.openxmlformats.org/officeDocument/2006/extended-properties" xmlns:vt="http://schemas.openxmlformats.org/officeDocument/2006/docPropsVTypes">
  <Template>Normal</Template>
  <TotalTime>0</TotalTime>
  <Pages>5</Pages>
  <Words>1687</Words>
  <Characters>9280</Characters>
  <Application>Microsoft Office Word</Application>
  <DocSecurity>0</DocSecurity>
  <Lines>77</Lines>
  <Paragraphs>21</Paragraphs>
  <ScaleCrop>false</ScaleCrop>
  <Company/>
  <LinksUpToDate>false</LinksUpToDate>
  <CharactersWithSpaces>10946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Ximena Ríos López</cp:lastModifiedBy>
  <cp:revision>14</cp:revision>
  <dcterms:created xsi:type="dcterms:W3CDTF">2020-04-16T20:21:00Z</dcterms:created>
  <dcterms:modified xsi:type="dcterms:W3CDTF">2020-08-26T21:41:00Z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