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3A3EA" w14:textId="2A427571" w:rsidR="00E71FF5" w:rsidRPr="007B59C3" w:rsidRDefault="002F55E2" w:rsidP="00EA75CF">
      <w:pPr>
        <w:spacing w:after="0" w:line="240" w:lineRule="auto"/>
        <w:ind w:left="1701" w:right="1581"/>
        <w:jc w:val="both"/>
        <w:rPr>
          <w:rFonts w:ascii="Arial" w:eastAsia="Arial" w:hAnsi="Arial" w:cs="Arial"/>
          <w:color w:val="FF0000"/>
          <w:sz w:val="20"/>
          <w:szCs w:val="20"/>
        </w:rPr>
      </w:pPr>
      <w:bookmarkStart w:id="0" w:name="_Hlk48982220"/>
      <w:bookmarkStart w:id="1" w:name="_Hlk46840473"/>
      <w:r w:rsidRPr="007B59C3">
        <w:rPr>
          <w:rFonts w:ascii="Arial" w:eastAsia="Arial" w:hAnsi="Arial" w:cs="Arial"/>
          <w:color w:val="FF0000"/>
          <w:sz w:val="20"/>
          <w:szCs w:val="20"/>
        </w:rPr>
        <w:t>Nota: la siguiente norma se trascribe completa, pero de ella la Agencia Nacional de Contratación Pública –Colombia Compra Eficiente– solo ha emitido conceptos que interpretan las siguientes disposiciones relacionadas con la contratación estatal:</w:t>
      </w:r>
      <w:bookmarkEnd w:id="0"/>
      <w:r w:rsidR="00EA75CF" w:rsidRPr="007B59C3">
        <w:rPr>
          <w:rFonts w:ascii="Arial" w:eastAsia="Arial" w:hAnsi="Arial" w:cs="Arial"/>
          <w:color w:val="FF0000"/>
          <w:sz w:val="20"/>
          <w:szCs w:val="20"/>
        </w:rPr>
        <w:t xml:space="preserve"> </w:t>
      </w:r>
      <w:r w:rsidR="00E71FF5" w:rsidRPr="007B59C3">
        <w:rPr>
          <w:rFonts w:ascii="Arial" w:eastAsia="Arial" w:hAnsi="Arial" w:cs="Arial"/>
          <w:color w:val="FF0000"/>
          <w:sz w:val="20"/>
          <w:szCs w:val="20"/>
        </w:rPr>
        <w:t>37</w:t>
      </w:r>
      <w:r w:rsidR="007B59C3" w:rsidRPr="007B59C3">
        <w:rPr>
          <w:rFonts w:ascii="Arial" w:eastAsia="Arial" w:hAnsi="Arial" w:cs="Arial"/>
          <w:color w:val="FF0000"/>
          <w:sz w:val="20"/>
          <w:szCs w:val="20"/>
        </w:rPr>
        <w:t xml:space="preserve"> y </w:t>
      </w:r>
      <w:r w:rsidR="00E71FF5" w:rsidRPr="007B59C3">
        <w:rPr>
          <w:rFonts w:ascii="Arial" w:eastAsia="Arial" w:hAnsi="Arial" w:cs="Arial"/>
          <w:color w:val="FF0000"/>
          <w:sz w:val="20"/>
          <w:szCs w:val="20"/>
        </w:rPr>
        <w:t>38.</w:t>
      </w:r>
    </w:p>
    <w:p w14:paraId="36099F20" w14:textId="3CB5625E" w:rsidR="008E5684" w:rsidRPr="007B59C3" w:rsidRDefault="008E5684" w:rsidP="00EA75CF">
      <w:pPr>
        <w:spacing w:after="0" w:line="240" w:lineRule="auto"/>
        <w:ind w:left="1701" w:right="1581"/>
        <w:jc w:val="both"/>
        <w:rPr>
          <w:rFonts w:ascii="Arial" w:eastAsia="Arial" w:hAnsi="Arial" w:cs="Arial"/>
          <w:color w:val="FF0000"/>
          <w:sz w:val="20"/>
          <w:szCs w:val="20"/>
        </w:rPr>
      </w:pPr>
    </w:p>
    <w:p w14:paraId="7CF647C0" w14:textId="77777777" w:rsidR="008E5684" w:rsidRPr="007B59C3" w:rsidRDefault="008E5684" w:rsidP="008E5684">
      <w:pPr>
        <w:spacing w:after="0" w:line="240" w:lineRule="auto"/>
        <w:ind w:left="1701" w:right="1581"/>
        <w:jc w:val="both"/>
        <w:rPr>
          <w:rFonts w:ascii="Arial" w:eastAsia="Arial" w:hAnsi="Arial" w:cs="Arial"/>
          <w:color w:val="FF0000"/>
          <w:sz w:val="20"/>
          <w:szCs w:val="20"/>
        </w:rPr>
      </w:pPr>
      <w:bookmarkStart w:id="2" w:name="_Hlk48982691"/>
      <w:bookmarkStart w:id="3" w:name="_Hlk48982233"/>
      <w:r w:rsidRPr="007B59C3">
        <w:rPr>
          <w:rFonts w:ascii="Arial" w:eastAsia="Arial" w:hAnsi="Arial" w:cs="Arial"/>
          <w:color w:val="FF0000"/>
          <w:sz w:val="20"/>
          <w:szCs w:val="20"/>
        </w:rPr>
        <w:t>Los conceptos se relacionan al pie de cada disposición, y abren dando “clic” en el hipervínculo</w:t>
      </w:r>
      <w:bookmarkEnd w:id="2"/>
      <w:r w:rsidRPr="007B59C3">
        <w:rPr>
          <w:rFonts w:ascii="Arial" w:eastAsia="Arial" w:hAnsi="Arial" w:cs="Arial"/>
          <w:color w:val="FF0000"/>
          <w:sz w:val="20"/>
          <w:szCs w:val="20"/>
        </w:rPr>
        <w:t>.</w:t>
      </w:r>
    </w:p>
    <w:bookmarkEnd w:id="3"/>
    <w:p w14:paraId="158B84E5" w14:textId="77777777" w:rsidR="008E5684" w:rsidRPr="007B59C3" w:rsidRDefault="008E5684" w:rsidP="00EA75CF">
      <w:pPr>
        <w:spacing w:after="0" w:line="240" w:lineRule="auto"/>
        <w:ind w:left="1701" w:right="1581"/>
        <w:jc w:val="both"/>
        <w:rPr>
          <w:rStyle w:val="eop"/>
          <w:rFonts w:ascii="Arial" w:hAnsi="Arial" w:cs="Arial"/>
          <w:color w:val="000000"/>
          <w:sz w:val="20"/>
          <w:szCs w:val="20"/>
          <w:shd w:val="clear" w:color="auto" w:fill="FFFFFF"/>
        </w:rPr>
      </w:pPr>
    </w:p>
    <w:bookmarkEnd w:id="1"/>
    <w:p w14:paraId="09A9356F" w14:textId="77777777" w:rsidR="00E71FF5" w:rsidRPr="007B59C3" w:rsidRDefault="00E71FF5" w:rsidP="00F47264">
      <w:pPr>
        <w:spacing w:after="0" w:line="240" w:lineRule="auto"/>
        <w:jc w:val="center"/>
        <w:rPr>
          <w:rFonts w:ascii="Arial" w:eastAsia="Times New Roman" w:hAnsi="Arial" w:cs="Arial"/>
          <w:b/>
          <w:bCs/>
          <w:lang w:eastAsia="es-CO"/>
        </w:rPr>
      </w:pPr>
    </w:p>
    <w:p w14:paraId="134427CA" w14:textId="4DF34BA1" w:rsidR="00287387" w:rsidRPr="007B59C3" w:rsidRDefault="00287387" w:rsidP="00F47264">
      <w:pPr>
        <w:spacing w:after="0" w:line="240" w:lineRule="auto"/>
        <w:jc w:val="center"/>
        <w:rPr>
          <w:rFonts w:ascii="Arial" w:eastAsia="Times New Roman" w:hAnsi="Arial" w:cs="Arial"/>
          <w:b/>
          <w:bCs/>
          <w:lang w:eastAsia="es-CO"/>
        </w:rPr>
      </w:pPr>
      <w:r w:rsidRPr="007B59C3">
        <w:rPr>
          <w:rFonts w:ascii="Arial" w:eastAsia="Times New Roman" w:hAnsi="Arial" w:cs="Arial"/>
          <w:b/>
          <w:bCs/>
          <w:lang w:eastAsia="es-CO"/>
        </w:rPr>
        <w:t>DECRETO 2236 DE 2017</w:t>
      </w:r>
    </w:p>
    <w:p w14:paraId="14ACBAAB" w14:textId="77777777" w:rsidR="008E5684" w:rsidRPr="007B59C3" w:rsidRDefault="008E5684" w:rsidP="00F47264">
      <w:pPr>
        <w:spacing w:after="0" w:line="240" w:lineRule="auto"/>
        <w:jc w:val="center"/>
        <w:rPr>
          <w:rFonts w:ascii="Arial" w:eastAsia="Times New Roman" w:hAnsi="Arial" w:cs="Arial"/>
          <w:b/>
          <w:bCs/>
          <w:lang w:eastAsia="es-CO"/>
        </w:rPr>
      </w:pPr>
    </w:p>
    <w:p w14:paraId="664910AF" w14:textId="77777777" w:rsidR="00287387" w:rsidRPr="007B59C3" w:rsidRDefault="00287387" w:rsidP="00F47264">
      <w:pPr>
        <w:spacing w:after="0" w:line="240" w:lineRule="auto"/>
        <w:jc w:val="center"/>
        <w:rPr>
          <w:rFonts w:ascii="Arial" w:eastAsia="Times New Roman" w:hAnsi="Arial" w:cs="Arial"/>
          <w:b/>
          <w:bCs/>
          <w:lang w:eastAsia="es-CO"/>
        </w:rPr>
      </w:pPr>
      <w:r w:rsidRPr="007B59C3">
        <w:rPr>
          <w:rFonts w:ascii="Arial" w:eastAsia="Times New Roman" w:hAnsi="Arial" w:cs="Arial"/>
          <w:b/>
          <w:bCs/>
          <w:lang w:eastAsia="es-CO"/>
        </w:rPr>
        <w:t>Por el cual se liquida el Presupuesto General de la Nación para la vigencia fiscal de 2018, se detallan las apropiaciones y se clasifican y definen los gastos.</w:t>
      </w:r>
    </w:p>
    <w:p w14:paraId="04C6BFB1" w14:textId="77777777" w:rsidR="00F47264" w:rsidRPr="007B59C3" w:rsidRDefault="00F47264" w:rsidP="00F47264">
      <w:pPr>
        <w:spacing w:after="0" w:line="240" w:lineRule="auto"/>
        <w:jc w:val="both"/>
        <w:rPr>
          <w:rFonts w:ascii="Arial" w:eastAsia="Times New Roman" w:hAnsi="Arial" w:cs="Arial"/>
          <w:lang w:eastAsia="es-CO"/>
        </w:rPr>
      </w:pPr>
      <w:bookmarkStart w:id="4" w:name="ver_30138872"/>
      <w:bookmarkEnd w:id="4"/>
    </w:p>
    <w:p w14:paraId="61E7DD51" w14:textId="49509E85" w:rsidR="00287387" w:rsidRPr="007B59C3" w:rsidRDefault="00287387" w:rsidP="007B59C3">
      <w:pPr>
        <w:spacing w:after="0" w:line="240" w:lineRule="auto"/>
        <w:jc w:val="center"/>
        <w:rPr>
          <w:rFonts w:ascii="Arial" w:eastAsia="Times New Roman" w:hAnsi="Arial" w:cs="Arial"/>
          <w:b/>
          <w:bCs/>
          <w:lang w:eastAsia="es-CO"/>
        </w:rPr>
      </w:pPr>
      <w:r w:rsidRPr="007B59C3">
        <w:rPr>
          <w:rFonts w:ascii="Arial" w:eastAsia="Times New Roman" w:hAnsi="Arial" w:cs="Arial"/>
          <w:b/>
          <w:bCs/>
          <w:lang w:eastAsia="es-CO"/>
        </w:rPr>
        <w:t xml:space="preserve">El </w:t>
      </w:r>
      <w:proofErr w:type="gramStart"/>
      <w:r w:rsidRPr="007B59C3">
        <w:rPr>
          <w:rFonts w:ascii="Arial" w:eastAsia="Times New Roman" w:hAnsi="Arial" w:cs="Arial"/>
          <w:b/>
          <w:bCs/>
          <w:lang w:eastAsia="es-CO"/>
        </w:rPr>
        <w:t>Presidente</w:t>
      </w:r>
      <w:proofErr w:type="gramEnd"/>
      <w:r w:rsidRPr="007B59C3">
        <w:rPr>
          <w:rFonts w:ascii="Arial" w:eastAsia="Times New Roman" w:hAnsi="Arial" w:cs="Arial"/>
          <w:b/>
          <w:bCs/>
          <w:lang w:eastAsia="es-CO"/>
        </w:rPr>
        <w:t xml:space="preserve"> de la República de Colombia, en ejercicio de las facultades constitucionales y legales</w:t>
      </w:r>
      <w:r w:rsidR="007B59C3" w:rsidRPr="007B59C3">
        <w:rPr>
          <w:rFonts w:ascii="Arial" w:eastAsia="Times New Roman" w:hAnsi="Arial" w:cs="Arial"/>
          <w:b/>
          <w:bCs/>
          <w:lang w:eastAsia="es-CO"/>
        </w:rPr>
        <w:t>,</w:t>
      </w:r>
    </w:p>
    <w:p w14:paraId="17225B79" w14:textId="77777777" w:rsidR="00287387" w:rsidRPr="007B59C3" w:rsidRDefault="00287387" w:rsidP="00F47264">
      <w:pPr>
        <w:spacing w:after="0" w:line="240" w:lineRule="auto"/>
        <w:jc w:val="center"/>
        <w:rPr>
          <w:rFonts w:ascii="Arial" w:eastAsia="Times New Roman" w:hAnsi="Arial" w:cs="Arial"/>
          <w:lang w:eastAsia="es-CO"/>
        </w:rPr>
      </w:pPr>
      <w:bookmarkStart w:id="5" w:name="ver_30138873"/>
      <w:bookmarkEnd w:id="5"/>
      <w:r w:rsidRPr="007B59C3">
        <w:rPr>
          <w:rFonts w:ascii="Arial" w:eastAsia="Times New Roman" w:hAnsi="Arial" w:cs="Arial"/>
          <w:lang w:eastAsia="es-CO"/>
        </w:rPr>
        <w:t>  </w:t>
      </w:r>
    </w:p>
    <w:p w14:paraId="1C1BEBC7" w14:textId="77777777" w:rsidR="00287387" w:rsidRPr="007B59C3" w:rsidRDefault="00287387" w:rsidP="00F47264">
      <w:pPr>
        <w:spacing w:after="0" w:line="240" w:lineRule="auto"/>
        <w:jc w:val="center"/>
        <w:rPr>
          <w:rFonts w:ascii="Arial" w:eastAsia="Times New Roman" w:hAnsi="Arial" w:cs="Arial"/>
          <w:b/>
          <w:bCs/>
          <w:lang w:eastAsia="es-CO"/>
        </w:rPr>
      </w:pPr>
      <w:r w:rsidRPr="007B59C3">
        <w:rPr>
          <w:rFonts w:ascii="Arial" w:eastAsia="Times New Roman" w:hAnsi="Arial" w:cs="Arial"/>
          <w:b/>
          <w:bCs/>
          <w:lang w:eastAsia="es-CO"/>
        </w:rPr>
        <w:t>CONSIDERANDO: </w:t>
      </w:r>
    </w:p>
    <w:p w14:paraId="7630FB5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026644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Que el artículo 67 del Estatuto Orgánico del Presupuesto General de la Nación faculta al Gobierno nacional para dictar el Decreto de Liquidación del Presupuesto General de la Nación; </w:t>
      </w:r>
    </w:p>
    <w:p w14:paraId="6BE31DB6"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02F7C85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Que el citado artículo establece que el decreto se acompañará con un anexo que tendrá el detalle del gasto para el año fiscal respectivo; </w:t>
      </w:r>
    </w:p>
    <w:p w14:paraId="76CDFAA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715262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Que el artículo 22 de la Ley 1873 de 2017 “por la cual se decreta el Presupuesto de Rentas y Recursos de Capital y Ley de Apropiaciones para la vigencia fiscal del 1° de enero al 31 de diciembre de 2018” faculta al Gobierno nacional para que en el decreto de liquidación clasifique los ingresos y gastos y defina estos últimos; </w:t>
      </w:r>
    </w:p>
    <w:p w14:paraId="6166203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5EE49E7"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Que el artículo 209 de la Constitución Política señala que la función administrativa está al servicio de los intereses generales y se desarrolla con fundamento en los principios de eficacia, economía y celeridad, entre otros; </w:t>
      </w:r>
    </w:p>
    <w:p w14:paraId="4195E2AF" w14:textId="77777777" w:rsidR="00287387" w:rsidRPr="007B59C3" w:rsidRDefault="00287387" w:rsidP="00F47264">
      <w:pPr>
        <w:spacing w:after="0" w:line="240" w:lineRule="auto"/>
        <w:jc w:val="center"/>
        <w:rPr>
          <w:rFonts w:ascii="Arial" w:eastAsia="Times New Roman" w:hAnsi="Arial" w:cs="Arial"/>
          <w:lang w:eastAsia="es-CO"/>
        </w:rPr>
      </w:pPr>
      <w:r w:rsidRPr="007B59C3">
        <w:rPr>
          <w:rFonts w:ascii="Arial" w:eastAsia="Times New Roman" w:hAnsi="Arial" w:cs="Arial"/>
          <w:lang w:eastAsia="es-CO"/>
        </w:rPr>
        <w:t>  </w:t>
      </w:r>
    </w:p>
    <w:p w14:paraId="2E261D28" w14:textId="57B48D91" w:rsidR="00287387" w:rsidRPr="007B59C3" w:rsidRDefault="00287387" w:rsidP="00F47264">
      <w:pPr>
        <w:spacing w:after="0" w:line="240" w:lineRule="auto"/>
        <w:jc w:val="center"/>
        <w:rPr>
          <w:rFonts w:ascii="Arial" w:eastAsia="Times New Roman" w:hAnsi="Arial" w:cs="Arial"/>
          <w:b/>
          <w:bCs/>
          <w:lang w:eastAsia="es-CO"/>
        </w:rPr>
      </w:pPr>
      <w:r w:rsidRPr="007B59C3">
        <w:rPr>
          <w:rFonts w:ascii="Arial" w:eastAsia="Times New Roman" w:hAnsi="Arial" w:cs="Arial"/>
          <w:b/>
          <w:bCs/>
          <w:lang w:eastAsia="es-CO"/>
        </w:rPr>
        <w:t>DECRETA: </w:t>
      </w:r>
    </w:p>
    <w:p w14:paraId="44A7CA38" w14:textId="77777777" w:rsidR="00F47264" w:rsidRPr="007B59C3" w:rsidRDefault="00F47264" w:rsidP="00F47264">
      <w:pPr>
        <w:spacing w:after="0" w:line="240" w:lineRule="auto"/>
        <w:jc w:val="center"/>
        <w:rPr>
          <w:rFonts w:ascii="Arial" w:eastAsia="Times New Roman" w:hAnsi="Arial" w:cs="Arial"/>
          <w:lang w:eastAsia="es-CO"/>
        </w:rPr>
      </w:pPr>
    </w:p>
    <w:p w14:paraId="36569C8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w:t>
      </w:r>
      <w:r w:rsidRPr="007B59C3">
        <w:rPr>
          <w:rFonts w:ascii="Arial" w:hAnsi="Arial" w:cs="Arial"/>
          <w:sz w:val="22"/>
          <w:szCs w:val="22"/>
        </w:rPr>
        <w:t> Fíjense los cómputos del presupuesto de rentas y recursos de capital del Tesoro de la Nación para la vigencia fiscal del 1° de enero al 31 de diciembre de 2018, en la suma de </w:t>
      </w:r>
      <w:r w:rsidRPr="007B59C3">
        <w:rPr>
          <w:rStyle w:val="nfasis"/>
          <w:rFonts w:ascii="Arial" w:hAnsi="Arial" w:cs="Arial"/>
          <w:i w:val="0"/>
          <w:iCs w:val="0"/>
          <w:sz w:val="22"/>
          <w:szCs w:val="22"/>
        </w:rPr>
        <w:t>doscientos treinta y cinco billones quinientos cincuenta y tres mil ochocientos seis millones setecientos veintinueve mil ochocientos sesenta y un pesos moneda legal ($235,553,806,729,861)</w:t>
      </w:r>
      <w:r w:rsidRPr="007B59C3">
        <w:rPr>
          <w:rFonts w:ascii="Arial" w:hAnsi="Arial" w:cs="Arial"/>
          <w:sz w:val="22"/>
          <w:szCs w:val="22"/>
        </w:rPr>
        <w:t>, según el detalle del Presupuesto de Rentas y Recursos de Capital para el 2018, así: </w:t>
      </w:r>
    </w:p>
    <w:p w14:paraId="33BEA222" w14:textId="77777777" w:rsidR="0078020B" w:rsidRPr="007B59C3" w:rsidRDefault="0078020B" w:rsidP="00F47264">
      <w:pPr>
        <w:pStyle w:val="NormalWeb"/>
        <w:spacing w:before="0" w:beforeAutospacing="0" w:after="0" w:afterAutospacing="0"/>
        <w:rPr>
          <w:rFonts w:ascii="Arial" w:hAnsi="Arial" w:cs="Arial"/>
          <w:sz w:val="22"/>
          <w:szCs w:val="22"/>
        </w:rPr>
      </w:pPr>
      <w:r w:rsidRPr="007B59C3">
        <w:rPr>
          <w:rFonts w:ascii="Arial" w:hAnsi="Arial" w:cs="Arial"/>
          <w:sz w:val="22"/>
          <w:szCs w:val="22"/>
        </w:rPr>
        <w:t>  </w:t>
      </w:r>
    </w:p>
    <w:p w14:paraId="335EBEB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RENTAS DEL PRESUPUESTO GENERAL DE LA NACIÓN</w:t>
      </w:r>
      <w:r w:rsidRPr="007B59C3">
        <w:rPr>
          <w:rFonts w:ascii="Arial" w:hAnsi="Arial" w:cs="Arial"/>
          <w:sz w:val="22"/>
          <w:szCs w:val="22"/>
        </w:rPr>
        <w:t> </w:t>
      </w:r>
    </w:p>
    <w:p w14:paraId="54C6DCC0" w14:textId="77777777" w:rsidR="0078020B" w:rsidRPr="007B59C3" w:rsidRDefault="0078020B" w:rsidP="00F47264">
      <w:pPr>
        <w:pStyle w:val="NormalWeb"/>
        <w:spacing w:before="0" w:beforeAutospacing="0" w:after="0" w:afterAutospacing="0"/>
        <w:rPr>
          <w:rFonts w:ascii="Arial" w:hAnsi="Arial" w:cs="Arial"/>
          <w:sz w:val="22"/>
          <w:szCs w:val="22"/>
        </w:rPr>
      </w:pPr>
      <w:r w:rsidRPr="007B59C3">
        <w:rPr>
          <w:rFonts w:ascii="Arial" w:hAnsi="Arial" w:cs="Arial"/>
          <w:sz w:val="22"/>
          <w:szCs w:val="22"/>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330"/>
        <w:gridCol w:w="3383"/>
        <w:gridCol w:w="22"/>
      </w:tblGrid>
      <w:tr w:rsidR="00F47264" w:rsidRPr="007B59C3" w14:paraId="42694B48" w14:textId="77777777" w:rsidTr="0078020B">
        <w:trPr>
          <w:trHeight w:val="105"/>
          <w:tblCellSpacing w:w="0" w:type="dxa"/>
          <w:jc w:val="center"/>
        </w:trPr>
        <w:tc>
          <w:tcPr>
            <w:tcW w:w="3555" w:type="dxa"/>
            <w:gridSpan w:val="2"/>
            <w:tcBorders>
              <w:top w:val="outset" w:sz="6" w:space="0" w:color="auto"/>
              <w:left w:val="outset" w:sz="6" w:space="0" w:color="auto"/>
              <w:bottom w:val="outset" w:sz="6" w:space="0" w:color="auto"/>
              <w:right w:val="outset" w:sz="6" w:space="0" w:color="auto"/>
            </w:tcBorders>
            <w:vAlign w:val="center"/>
            <w:hideMark/>
          </w:tcPr>
          <w:p w14:paraId="6C0F980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I - INGRESOS DEL PRESUPUESTO NACIONAL </w:t>
            </w:r>
          </w:p>
        </w:tc>
        <w:tc>
          <w:tcPr>
            <w:tcW w:w="3405" w:type="dxa"/>
            <w:gridSpan w:val="2"/>
            <w:tcBorders>
              <w:top w:val="outset" w:sz="6" w:space="0" w:color="auto"/>
              <w:left w:val="outset" w:sz="6" w:space="0" w:color="auto"/>
              <w:bottom w:val="outset" w:sz="6" w:space="0" w:color="auto"/>
              <w:right w:val="outset" w:sz="6" w:space="0" w:color="auto"/>
            </w:tcBorders>
            <w:vAlign w:val="center"/>
            <w:hideMark/>
          </w:tcPr>
          <w:p w14:paraId="2D481C1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221,546,291,981,147 </w:t>
            </w:r>
          </w:p>
        </w:tc>
      </w:tr>
      <w:tr w:rsidR="00F47264" w:rsidRPr="007B59C3" w14:paraId="7C347643" w14:textId="77777777" w:rsidTr="0078020B">
        <w:trPr>
          <w:trHeight w:val="105"/>
          <w:tblCellSpacing w:w="0" w:type="dxa"/>
          <w:jc w:val="center"/>
        </w:trPr>
        <w:tc>
          <w:tcPr>
            <w:tcW w:w="3555" w:type="dxa"/>
            <w:gridSpan w:val="2"/>
            <w:tcBorders>
              <w:top w:val="outset" w:sz="6" w:space="0" w:color="auto"/>
              <w:left w:val="outset" w:sz="6" w:space="0" w:color="auto"/>
              <w:bottom w:val="outset" w:sz="6" w:space="0" w:color="auto"/>
              <w:right w:val="outset" w:sz="6" w:space="0" w:color="auto"/>
            </w:tcBorders>
            <w:vAlign w:val="center"/>
            <w:hideMark/>
          </w:tcPr>
          <w:p w14:paraId="5C79EF3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 INGRESOS CORRIENTES DE LA NACIÓN </w:t>
            </w:r>
          </w:p>
        </w:tc>
        <w:tc>
          <w:tcPr>
            <w:tcW w:w="3405" w:type="dxa"/>
            <w:gridSpan w:val="2"/>
            <w:tcBorders>
              <w:top w:val="outset" w:sz="6" w:space="0" w:color="auto"/>
              <w:left w:val="outset" w:sz="6" w:space="0" w:color="auto"/>
              <w:bottom w:val="outset" w:sz="6" w:space="0" w:color="auto"/>
              <w:right w:val="outset" w:sz="6" w:space="0" w:color="auto"/>
            </w:tcBorders>
            <w:vAlign w:val="center"/>
            <w:hideMark/>
          </w:tcPr>
          <w:p w14:paraId="4CDAAD3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139,987,878,000,000 </w:t>
            </w:r>
          </w:p>
        </w:tc>
      </w:tr>
      <w:tr w:rsidR="00F47264" w:rsidRPr="007B59C3" w14:paraId="1E57D8B4" w14:textId="77777777" w:rsidTr="0078020B">
        <w:trPr>
          <w:trHeight w:val="105"/>
          <w:tblCellSpacing w:w="0" w:type="dxa"/>
          <w:jc w:val="center"/>
        </w:trPr>
        <w:tc>
          <w:tcPr>
            <w:tcW w:w="3555" w:type="dxa"/>
            <w:gridSpan w:val="2"/>
            <w:tcBorders>
              <w:top w:val="outset" w:sz="6" w:space="0" w:color="auto"/>
              <w:left w:val="outset" w:sz="6" w:space="0" w:color="auto"/>
              <w:bottom w:val="outset" w:sz="6" w:space="0" w:color="auto"/>
              <w:right w:val="outset" w:sz="6" w:space="0" w:color="auto"/>
            </w:tcBorders>
            <w:vAlign w:val="center"/>
            <w:hideMark/>
          </w:tcPr>
          <w:p w14:paraId="03A9F3A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 RECURSOS DE CAPITAL DE LA NACIÓN </w:t>
            </w:r>
          </w:p>
        </w:tc>
        <w:tc>
          <w:tcPr>
            <w:tcW w:w="3405" w:type="dxa"/>
            <w:gridSpan w:val="2"/>
            <w:tcBorders>
              <w:top w:val="outset" w:sz="6" w:space="0" w:color="auto"/>
              <w:left w:val="outset" w:sz="6" w:space="0" w:color="auto"/>
              <w:bottom w:val="outset" w:sz="6" w:space="0" w:color="auto"/>
              <w:right w:val="outset" w:sz="6" w:space="0" w:color="auto"/>
            </w:tcBorders>
            <w:vAlign w:val="center"/>
            <w:hideMark/>
          </w:tcPr>
          <w:p w14:paraId="29F45B1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68,252,521,925,298 </w:t>
            </w:r>
          </w:p>
        </w:tc>
      </w:tr>
      <w:tr w:rsidR="00F47264" w:rsidRPr="007B59C3" w14:paraId="43A7D736" w14:textId="77777777" w:rsidTr="0078020B">
        <w:trPr>
          <w:trHeight w:val="105"/>
          <w:tblCellSpacing w:w="0" w:type="dxa"/>
          <w:jc w:val="center"/>
        </w:trPr>
        <w:tc>
          <w:tcPr>
            <w:tcW w:w="3555" w:type="dxa"/>
            <w:gridSpan w:val="2"/>
            <w:tcBorders>
              <w:top w:val="outset" w:sz="6" w:space="0" w:color="auto"/>
              <w:left w:val="outset" w:sz="6" w:space="0" w:color="auto"/>
              <w:bottom w:val="outset" w:sz="6" w:space="0" w:color="auto"/>
              <w:right w:val="outset" w:sz="6" w:space="0" w:color="auto"/>
            </w:tcBorders>
            <w:vAlign w:val="center"/>
            <w:hideMark/>
          </w:tcPr>
          <w:p w14:paraId="2B21263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lastRenderedPageBreak/>
              <w:t>5. RENTAS PARAFISCALES </w:t>
            </w:r>
          </w:p>
        </w:tc>
        <w:tc>
          <w:tcPr>
            <w:tcW w:w="3405" w:type="dxa"/>
            <w:gridSpan w:val="2"/>
            <w:tcBorders>
              <w:top w:val="outset" w:sz="6" w:space="0" w:color="auto"/>
              <w:left w:val="outset" w:sz="6" w:space="0" w:color="auto"/>
              <w:bottom w:val="outset" w:sz="6" w:space="0" w:color="auto"/>
              <w:right w:val="outset" w:sz="6" w:space="0" w:color="auto"/>
            </w:tcBorders>
            <w:vAlign w:val="center"/>
            <w:hideMark/>
          </w:tcPr>
          <w:p w14:paraId="31C3E7F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1,933,745,679,865 </w:t>
            </w:r>
          </w:p>
        </w:tc>
      </w:tr>
      <w:tr w:rsidR="00F47264" w:rsidRPr="007B59C3" w14:paraId="2632D2D9" w14:textId="77777777" w:rsidTr="0078020B">
        <w:trPr>
          <w:trHeight w:val="105"/>
          <w:tblCellSpacing w:w="0" w:type="dxa"/>
          <w:jc w:val="center"/>
        </w:trPr>
        <w:tc>
          <w:tcPr>
            <w:tcW w:w="3555" w:type="dxa"/>
            <w:gridSpan w:val="2"/>
            <w:tcBorders>
              <w:top w:val="outset" w:sz="6" w:space="0" w:color="auto"/>
              <w:left w:val="outset" w:sz="6" w:space="0" w:color="auto"/>
              <w:bottom w:val="outset" w:sz="6" w:space="0" w:color="auto"/>
              <w:right w:val="outset" w:sz="6" w:space="0" w:color="auto"/>
            </w:tcBorders>
            <w:vAlign w:val="center"/>
            <w:hideMark/>
          </w:tcPr>
          <w:p w14:paraId="18F8079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 FONDOS ESPECIALES </w:t>
            </w:r>
          </w:p>
        </w:tc>
        <w:tc>
          <w:tcPr>
            <w:tcW w:w="3405" w:type="dxa"/>
            <w:gridSpan w:val="2"/>
            <w:tcBorders>
              <w:top w:val="outset" w:sz="6" w:space="0" w:color="auto"/>
              <w:left w:val="outset" w:sz="6" w:space="0" w:color="auto"/>
              <w:bottom w:val="outset" w:sz="6" w:space="0" w:color="auto"/>
              <w:right w:val="outset" w:sz="6" w:space="0" w:color="auto"/>
            </w:tcBorders>
            <w:vAlign w:val="center"/>
            <w:hideMark/>
          </w:tcPr>
          <w:p w14:paraId="7E47DE9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11,372,146,375,984 </w:t>
            </w:r>
          </w:p>
        </w:tc>
      </w:tr>
      <w:tr w:rsidR="00F47264" w:rsidRPr="007B59C3" w14:paraId="1AAF85A2"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6222DE3B" w14:textId="21D3E3B5"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  II - INGRESOS DE LOS ESTABLECIMIENTOS PÚBLICOS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6EB46C6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14,007,514,748,714 </w:t>
            </w:r>
          </w:p>
        </w:tc>
      </w:tr>
      <w:tr w:rsidR="00F47264" w:rsidRPr="007B59C3" w14:paraId="3CA3F926" w14:textId="77777777" w:rsidTr="00F47264">
        <w:trPr>
          <w:gridAfter w:val="1"/>
          <w:wAfter w:w="22" w:type="dxa"/>
          <w:trHeight w:val="19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5AA6660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0209 AGENCIA PRESIDENCIAL DE COOPERACIÓN INTERNACIONAL DE COLOM</w:t>
            </w:r>
            <w:r w:rsidRPr="007B59C3">
              <w:rPr>
                <w:rStyle w:val="Textoennegrita"/>
                <w:rFonts w:ascii="Arial" w:hAnsi="Arial" w:cs="Arial"/>
                <w:b w:val="0"/>
                <w:bCs w:val="0"/>
                <w:sz w:val="22"/>
                <w:szCs w:val="22"/>
              </w:rPr>
              <w:softHyphen/>
              <w:t>BIA, APC - COLOMBIA </w:t>
            </w:r>
            <w:r w:rsidRPr="007B59C3">
              <w:rPr>
                <w:rFonts w:ascii="Arial" w:hAnsi="Arial" w:cs="Arial"/>
                <w:sz w:val="22"/>
                <w:szCs w:val="22"/>
              </w:rPr>
              <w:t> </w:t>
            </w:r>
          </w:p>
        </w:tc>
      </w:tr>
      <w:tr w:rsidR="00F47264" w:rsidRPr="007B59C3" w14:paraId="369219A4"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7999F6E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22A1DC6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159,979,000,000 </w:t>
            </w:r>
          </w:p>
        </w:tc>
      </w:tr>
      <w:tr w:rsidR="00F47264" w:rsidRPr="007B59C3" w14:paraId="5EC3DA6F"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1DEE6C7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0213 AGENCIA NACIONAL INMOBILIARIA VIRGILIO BARCO VARGAS </w:t>
            </w:r>
            <w:r w:rsidRPr="007B59C3">
              <w:rPr>
                <w:rFonts w:ascii="Arial" w:hAnsi="Arial" w:cs="Arial"/>
                <w:sz w:val="22"/>
                <w:szCs w:val="22"/>
              </w:rPr>
              <w:t> </w:t>
            </w:r>
          </w:p>
        </w:tc>
      </w:tr>
      <w:tr w:rsidR="00F47264" w:rsidRPr="007B59C3" w14:paraId="7B4F55EF"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1A9FBFE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7D92944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1,254,000,000 </w:t>
            </w:r>
          </w:p>
        </w:tc>
      </w:tr>
      <w:tr w:rsidR="00F47264" w:rsidRPr="007B59C3" w14:paraId="08F18742"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2DA0B2A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0324 SUPERINTENDENCIA DE SERVICIOS PÚBLICOS DOMICILIARIOS </w:t>
            </w:r>
            <w:r w:rsidRPr="007B59C3">
              <w:rPr>
                <w:rFonts w:ascii="Arial" w:hAnsi="Arial" w:cs="Arial"/>
                <w:sz w:val="22"/>
                <w:szCs w:val="22"/>
              </w:rPr>
              <w:t> </w:t>
            </w:r>
          </w:p>
        </w:tc>
      </w:tr>
      <w:tr w:rsidR="00F47264" w:rsidRPr="007B59C3" w14:paraId="2CD98292"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34DEAE5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5DD4194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115,476,301,000 </w:t>
            </w:r>
          </w:p>
        </w:tc>
      </w:tr>
      <w:tr w:rsidR="00F47264" w:rsidRPr="007B59C3" w14:paraId="63D95F12"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2F72D81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0402 FONDO ROTATORIO DEL DANE </w:t>
            </w:r>
            <w:r w:rsidRPr="007B59C3">
              <w:rPr>
                <w:rFonts w:ascii="Arial" w:hAnsi="Arial" w:cs="Arial"/>
                <w:sz w:val="22"/>
                <w:szCs w:val="22"/>
              </w:rPr>
              <w:t> </w:t>
            </w:r>
          </w:p>
        </w:tc>
      </w:tr>
      <w:tr w:rsidR="00F47264" w:rsidRPr="007B59C3" w14:paraId="5111B3B2"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2521188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01B67E2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8,482,239,420 </w:t>
            </w:r>
          </w:p>
        </w:tc>
      </w:tr>
      <w:tr w:rsidR="00F47264" w:rsidRPr="007B59C3" w14:paraId="1D5EC8B1"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2F27893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1AC89DE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621,000,000 </w:t>
            </w:r>
          </w:p>
        </w:tc>
      </w:tr>
      <w:tr w:rsidR="00F47264" w:rsidRPr="007B59C3" w14:paraId="0CE1F63C"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5845E7F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0403 INSTITUTO GEOGRÁFICO AGUSTÍN CODAZZI - IGAC </w:t>
            </w:r>
            <w:r w:rsidRPr="007B59C3">
              <w:rPr>
                <w:rFonts w:ascii="Arial" w:hAnsi="Arial" w:cs="Arial"/>
                <w:sz w:val="22"/>
                <w:szCs w:val="22"/>
              </w:rPr>
              <w:t> </w:t>
            </w:r>
          </w:p>
        </w:tc>
      </w:tr>
      <w:tr w:rsidR="00F47264" w:rsidRPr="007B59C3" w14:paraId="39BE86CA"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53B0120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24B11D5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47,164,954,811 </w:t>
            </w:r>
          </w:p>
        </w:tc>
      </w:tr>
      <w:tr w:rsidR="00F47264" w:rsidRPr="007B59C3" w14:paraId="40ED2C59"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5D45CF7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5A35117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618,000,000 </w:t>
            </w:r>
          </w:p>
        </w:tc>
      </w:tr>
      <w:tr w:rsidR="00F47264" w:rsidRPr="007B59C3" w14:paraId="3E5C064E"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65CB2BC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0503 ESCUELA SUPERIOR DE ADMINISTRACIÓN PÚBLICA (ESAP) </w:t>
            </w:r>
            <w:r w:rsidRPr="007B59C3">
              <w:rPr>
                <w:rFonts w:ascii="Arial" w:hAnsi="Arial" w:cs="Arial"/>
                <w:sz w:val="22"/>
                <w:szCs w:val="22"/>
              </w:rPr>
              <w:t> </w:t>
            </w:r>
          </w:p>
        </w:tc>
      </w:tr>
      <w:tr w:rsidR="00F47264" w:rsidRPr="007B59C3" w14:paraId="1454DDDA"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6B6AA5F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756DE77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38,885,362,312 </w:t>
            </w:r>
          </w:p>
        </w:tc>
      </w:tr>
      <w:tr w:rsidR="00F47264" w:rsidRPr="007B59C3" w14:paraId="0280BA7F"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16CFBB2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3A4BA18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265,741,611,185 </w:t>
            </w:r>
          </w:p>
        </w:tc>
      </w:tr>
      <w:tr w:rsidR="00F47264" w:rsidRPr="007B59C3" w14:paraId="258089EB"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1F7F56A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C-CONTRIBUCIONES PARAFISCALES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732D220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142,935,320,000 </w:t>
            </w:r>
          </w:p>
        </w:tc>
      </w:tr>
      <w:tr w:rsidR="00F47264" w:rsidRPr="007B59C3" w14:paraId="2A167ED4"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4F37C89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1102 FONDO ROTATORIO DEL MINISTERIO DE RELACIONES EXTERIORES </w:t>
            </w:r>
            <w:r w:rsidRPr="007B59C3">
              <w:rPr>
                <w:rFonts w:ascii="Arial" w:hAnsi="Arial" w:cs="Arial"/>
                <w:sz w:val="22"/>
                <w:szCs w:val="22"/>
              </w:rPr>
              <w:t> </w:t>
            </w:r>
          </w:p>
        </w:tc>
      </w:tr>
      <w:tr w:rsidR="00F47264" w:rsidRPr="007B59C3" w14:paraId="7F80CD9F"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3C0C532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3FDF95C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224,912,000,000 </w:t>
            </w:r>
          </w:p>
        </w:tc>
      </w:tr>
      <w:tr w:rsidR="00F47264" w:rsidRPr="007B59C3" w14:paraId="787A79D4"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0B5D5C0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17A0376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6,148,000,000 </w:t>
            </w:r>
          </w:p>
        </w:tc>
      </w:tr>
      <w:tr w:rsidR="00F47264" w:rsidRPr="007B59C3" w14:paraId="68209E97"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0DA0AD2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1104 UNIDAD ADMINISTRATIVA ESPECIAL MIGRACIÓN COLOMBIA </w:t>
            </w:r>
            <w:r w:rsidRPr="007B59C3">
              <w:rPr>
                <w:rFonts w:ascii="Arial" w:hAnsi="Arial" w:cs="Arial"/>
                <w:sz w:val="22"/>
                <w:szCs w:val="22"/>
              </w:rPr>
              <w:t> </w:t>
            </w:r>
          </w:p>
        </w:tc>
      </w:tr>
      <w:tr w:rsidR="00F47264" w:rsidRPr="007B59C3" w14:paraId="1072CC6B"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467101B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785C854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31,267,000,000 </w:t>
            </w:r>
          </w:p>
        </w:tc>
      </w:tr>
      <w:tr w:rsidR="00F47264" w:rsidRPr="007B59C3" w14:paraId="7890C750"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1F18D8A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173C1F7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6,264,000,000 </w:t>
            </w:r>
          </w:p>
        </w:tc>
      </w:tr>
      <w:tr w:rsidR="00F47264" w:rsidRPr="007B59C3" w14:paraId="2CCC1BD6"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653B3E2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1204 SUPERINTENDENCIA DE NOTARIADO Y REGISTRO </w:t>
            </w:r>
            <w:r w:rsidRPr="007B59C3">
              <w:rPr>
                <w:rFonts w:ascii="Arial" w:hAnsi="Arial" w:cs="Arial"/>
                <w:sz w:val="22"/>
                <w:szCs w:val="22"/>
              </w:rPr>
              <w:t> </w:t>
            </w:r>
          </w:p>
        </w:tc>
      </w:tr>
      <w:tr w:rsidR="00F47264" w:rsidRPr="007B59C3" w14:paraId="2B7C1767"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2D54A70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2398798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329,311,882,668 </w:t>
            </w:r>
          </w:p>
        </w:tc>
      </w:tr>
      <w:tr w:rsidR="00F47264" w:rsidRPr="007B59C3" w14:paraId="63D5E65D"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529A839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0CB7020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506,391,319 </w:t>
            </w:r>
          </w:p>
        </w:tc>
      </w:tr>
      <w:tr w:rsidR="00F47264" w:rsidRPr="007B59C3" w14:paraId="57FC29B3"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1FF3687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1208 INSTITUTO NACIONAL PENITENCIARIO Y CARCELARIO - INPEC </w:t>
            </w:r>
          </w:p>
        </w:tc>
      </w:tr>
      <w:tr w:rsidR="00F47264" w:rsidRPr="007B59C3" w14:paraId="359D826C"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7FD88AE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31556F5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99,533,412,825 </w:t>
            </w:r>
          </w:p>
        </w:tc>
      </w:tr>
      <w:tr w:rsidR="00F47264" w:rsidRPr="007B59C3" w14:paraId="7D040981"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76A141F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236BE38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362,073,655 </w:t>
            </w:r>
          </w:p>
        </w:tc>
      </w:tr>
      <w:tr w:rsidR="00F47264" w:rsidRPr="007B59C3" w14:paraId="1AB281B8"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1EED8FC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1309 SUPERINTENDENCIA DE LA ECONOMÍA SOLIDARIA </w:t>
            </w:r>
            <w:r w:rsidRPr="007B59C3">
              <w:rPr>
                <w:rFonts w:ascii="Arial" w:hAnsi="Arial" w:cs="Arial"/>
                <w:sz w:val="22"/>
                <w:szCs w:val="22"/>
              </w:rPr>
              <w:t> </w:t>
            </w:r>
          </w:p>
        </w:tc>
      </w:tr>
      <w:tr w:rsidR="00F47264" w:rsidRPr="007B59C3" w14:paraId="56714C6E"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4D2725F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71E76DE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15,322,277,178 </w:t>
            </w:r>
          </w:p>
        </w:tc>
      </w:tr>
      <w:tr w:rsidR="00F47264" w:rsidRPr="007B59C3" w14:paraId="423F05A5"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538DF34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07BB949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11,128,800,037 </w:t>
            </w:r>
          </w:p>
        </w:tc>
      </w:tr>
      <w:tr w:rsidR="00F47264" w:rsidRPr="007B59C3" w14:paraId="50310571" w14:textId="77777777" w:rsidTr="00F47264">
        <w:trPr>
          <w:gridAfter w:val="1"/>
          <w:wAfter w:w="22" w:type="dxa"/>
          <w:trHeight w:val="19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06C860A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1310 UNIDAD ADMINISTRATIVA ESPECIAL DIRECCIÓN DE IMPUESTOS Y ADUANAS NACIONALES </w:t>
            </w:r>
            <w:r w:rsidRPr="007B59C3">
              <w:rPr>
                <w:rFonts w:ascii="Arial" w:hAnsi="Arial" w:cs="Arial"/>
                <w:sz w:val="22"/>
                <w:szCs w:val="22"/>
              </w:rPr>
              <w:t> </w:t>
            </w:r>
          </w:p>
        </w:tc>
      </w:tr>
      <w:tr w:rsidR="00F47264" w:rsidRPr="007B59C3" w14:paraId="1AECC8B0"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03AA95E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lastRenderedPageBreak/>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4246385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3,897,200,000 </w:t>
            </w:r>
          </w:p>
        </w:tc>
      </w:tr>
      <w:tr w:rsidR="00F47264" w:rsidRPr="007B59C3" w14:paraId="0B1C030C"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08DBC24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71BA174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2,251,500,000 </w:t>
            </w:r>
          </w:p>
        </w:tc>
      </w:tr>
      <w:tr w:rsidR="00F47264" w:rsidRPr="007B59C3" w14:paraId="38303C0E"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4CAD876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1313 SUPERINTENDENCIA FINANCIERA DE COLOMBIA </w:t>
            </w:r>
            <w:r w:rsidRPr="007B59C3">
              <w:rPr>
                <w:rFonts w:ascii="Arial" w:hAnsi="Arial" w:cs="Arial"/>
                <w:sz w:val="22"/>
                <w:szCs w:val="22"/>
              </w:rPr>
              <w:t> </w:t>
            </w:r>
          </w:p>
        </w:tc>
      </w:tr>
      <w:tr w:rsidR="00F47264" w:rsidRPr="007B59C3" w14:paraId="120F3F66"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2D7CC36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2661D40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189,867,130,812 </w:t>
            </w:r>
          </w:p>
        </w:tc>
      </w:tr>
      <w:tr w:rsidR="00F47264" w:rsidRPr="007B59C3" w14:paraId="001C70E1"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6DFFEA6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0DD0035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29,447,703,698 </w:t>
            </w:r>
          </w:p>
        </w:tc>
      </w:tr>
      <w:tr w:rsidR="00F47264" w:rsidRPr="007B59C3" w14:paraId="0589EB21"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5E23268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1503 CAJA DE RETIRO DE LAS FUERZAS MILITARES </w:t>
            </w:r>
            <w:r w:rsidRPr="007B59C3">
              <w:rPr>
                <w:rFonts w:ascii="Arial" w:hAnsi="Arial" w:cs="Arial"/>
                <w:sz w:val="22"/>
                <w:szCs w:val="22"/>
              </w:rPr>
              <w:t> </w:t>
            </w:r>
          </w:p>
        </w:tc>
      </w:tr>
      <w:tr w:rsidR="00F47264" w:rsidRPr="007B59C3" w14:paraId="62FF1B53"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170E09F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109FF17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238,598,249,000 </w:t>
            </w:r>
          </w:p>
        </w:tc>
      </w:tr>
      <w:tr w:rsidR="00F47264" w:rsidRPr="007B59C3" w14:paraId="65A88F57"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6FC828B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6CCF3EC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9,396,033,000 </w:t>
            </w:r>
          </w:p>
        </w:tc>
      </w:tr>
      <w:tr w:rsidR="00F47264" w:rsidRPr="007B59C3" w14:paraId="4372736D"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0E8FF33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1507 INSTITUTO CASAS FISCALES DEL EJÉRCITO </w:t>
            </w:r>
            <w:r w:rsidRPr="007B59C3">
              <w:rPr>
                <w:rFonts w:ascii="Arial" w:hAnsi="Arial" w:cs="Arial"/>
                <w:sz w:val="22"/>
                <w:szCs w:val="22"/>
              </w:rPr>
              <w:t> </w:t>
            </w:r>
          </w:p>
        </w:tc>
      </w:tr>
      <w:tr w:rsidR="00F47264" w:rsidRPr="007B59C3" w14:paraId="0B8D4D77"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18C2EC6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08F3C9B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35,925,000,000 </w:t>
            </w:r>
          </w:p>
        </w:tc>
      </w:tr>
      <w:tr w:rsidR="00F47264" w:rsidRPr="007B59C3" w14:paraId="016D553C"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46E1909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5675D4B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3,149,000,000 </w:t>
            </w:r>
          </w:p>
        </w:tc>
      </w:tr>
      <w:tr w:rsidR="00F47264" w:rsidRPr="007B59C3" w14:paraId="69C670E5"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5A6B847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1508 DEFENSA CIVIL COLOMBIANA, GUILLERMO LEÓN VALENCIA </w:t>
            </w:r>
            <w:r w:rsidRPr="007B59C3">
              <w:rPr>
                <w:rFonts w:ascii="Arial" w:hAnsi="Arial" w:cs="Arial"/>
                <w:sz w:val="22"/>
                <w:szCs w:val="22"/>
              </w:rPr>
              <w:t> </w:t>
            </w:r>
          </w:p>
        </w:tc>
      </w:tr>
      <w:tr w:rsidR="00F47264" w:rsidRPr="007B59C3" w14:paraId="5A3B614C"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7CE6036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1F1DEDE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5,565,000,000 </w:t>
            </w:r>
          </w:p>
        </w:tc>
      </w:tr>
      <w:tr w:rsidR="00F47264" w:rsidRPr="007B59C3" w14:paraId="250CCA30"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33107FE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1B08360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340,000,000 </w:t>
            </w:r>
          </w:p>
        </w:tc>
      </w:tr>
      <w:tr w:rsidR="00F47264" w:rsidRPr="007B59C3" w14:paraId="25C9F586"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76B556A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1510 CLUB MILITAR DE OFICIALES </w:t>
            </w:r>
            <w:r w:rsidRPr="007B59C3">
              <w:rPr>
                <w:rFonts w:ascii="Arial" w:hAnsi="Arial" w:cs="Arial"/>
                <w:sz w:val="22"/>
                <w:szCs w:val="22"/>
              </w:rPr>
              <w:t> </w:t>
            </w:r>
          </w:p>
        </w:tc>
      </w:tr>
      <w:tr w:rsidR="00F47264" w:rsidRPr="007B59C3" w14:paraId="2C0C053A"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4FDCD9A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669638C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45,539,927,122 </w:t>
            </w:r>
          </w:p>
        </w:tc>
      </w:tr>
      <w:tr w:rsidR="00F47264" w:rsidRPr="007B59C3" w14:paraId="098D0E75"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643155F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53BCB58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300,000,000 </w:t>
            </w:r>
          </w:p>
        </w:tc>
      </w:tr>
      <w:tr w:rsidR="00F47264" w:rsidRPr="007B59C3" w14:paraId="0698A0C6"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03704F2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1511 CAJA DE SUELDOS DE RETIRO DE LA POLICÍA NACIONAL </w:t>
            </w:r>
            <w:r w:rsidRPr="007B59C3">
              <w:rPr>
                <w:rFonts w:ascii="Arial" w:hAnsi="Arial" w:cs="Arial"/>
                <w:sz w:val="22"/>
                <w:szCs w:val="22"/>
              </w:rPr>
              <w:t> </w:t>
            </w:r>
          </w:p>
        </w:tc>
      </w:tr>
      <w:tr w:rsidR="00F47264" w:rsidRPr="007B59C3" w14:paraId="69034197"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285C821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7FF805C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229,974,932,000 </w:t>
            </w:r>
          </w:p>
        </w:tc>
      </w:tr>
      <w:tr w:rsidR="00F47264" w:rsidRPr="007B59C3" w14:paraId="45E61ACF"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3CF8400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1ABC53C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24,464,177,000 </w:t>
            </w:r>
          </w:p>
        </w:tc>
      </w:tr>
      <w:tr w:rsidR="00F47264" w:rsidRPr="007B59C3" w14:paraId="25ACE18A"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279F4F2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1512 FONDO ROTATORIO DE LA POLICÍA </w:t>
            </w:r>
            <w:r w:rsidRPr="007B59C3">
              <w:rPr>
                <w:rFonts w:ascii="Arial" w:hAnsi="Arial" w:cs="Arial"/>
                <w:sz w:val="22"/>
                <w:szCs w:val="22"/>
              </w:rPr>
              <w:t> </w:t>
            </w:r>
          </w:p>
        </w:tc>
      </w:tr>
      <w:tr w:rsidR="00F47264" w:rsidRPr="007B59C3" w14:paraId="038B75B7"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7455387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0463CBB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237,998,000,000 </w:t>
            </w:r>
          </w:p>
        </w:tc>
      </w:tr>
      <w:tr w:rsidR="00F47264" w:rsidRPr="007B59C3" w14:paraId="77ABB840" w14:textId="77777777" w:rsidTr="00F47264">
        <w:trPr>
          <w:gridAfter w:val="1"/>
          <w:wAfter w:w="22" w:type="dxa"/>
          <w:trHeight w:val="105"/>
          <w:tblCellSpacing w:w="0" w:type="dxa"/>
          <w:jc w:val="center"/>
        </w:trPr>
        <w:tc>
          <w:tcPr>
            <w:tcW w:w="6938" w:type="dxa"/>
            <w:gridSpan w:val="3"/>
            <w:tcBorders>
              <w:top w:val="outset" w:sz="6" w:space="0" w:color="auto"/>
              <w:left w:val="outset" w:sz="6" w:space="0" w:color="auto"/>
              <w:bottom w:val="outset" w:sz="6" w:space="0" w:color="auto"/>
              <w:right w:val="outset" w:sz="6" w:space="0" w:color="auto"/>
            </w:tcBorders>
            <w:vAlign w:val="center"/>
            <w:hideMark/>
          </w:tcPr>
          <w:p w14:paraId="182FAA7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1516 SUPERINTENDENCIA DE VIGILANCIA Y SEGURIDAD PRIVADA </w:t>
            </w:r>
            <w:r w:rsidRPr="007B59C3">
              <w:rPr>
                <w:rFonts w:ascii="Arial" w:hAnsi="Arial" w:cs="Arial"/>
                <w:sz w:val="22"/>
                <w:szCs w:val="22"/>
              </w:rPr>
              <w:t> </w:t>
            </w:r>
          </w:p>
        </w:tc>
      </w:tr>
      <w:tr w:rsidR="00F47264" w:rsidRPr="007B59C3" w14:paraId="63E42194" w14:textId="77777777" w:rsidTr="00F47264">
        <w:trPr>
          <w:gridAfter w:val="1"/>
          <w:wAfter w:w="22" w:type="dxa"/>
          <w:trHeight w:val="105"/>
          <w:tblCellSpacing w:w="0" w:type="dxa"/>
          <w:jc w:val="center"/>
        </w:trPr>
        <w:tc>
          <w:tcPr>
            <w:tcW w:w="3225" w:type="dxa"/>
            <w:tcBorders>
              <w:top w:val="outset" w:sz="6" w:space="0" w:color="auto"/>
              <w:left w:val="outset" w:sz="6" w:space="0" w:color="auto"/>
              <w:bottom w:val="outset" w:sz="6" w:space="0" w:color="auto"/>
              <w:right w:val="outset" w:sz="6" w:space="0" w:color="auto"/>
            </w:tcBorders>
            <w:vAlign w:val="center"/>
            <w:hideMark/>
          </w:tcPr>
          <w:p w14:paraId="11C8565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713" w:type="dxa"/>
            <w:gridSpan w:val="2"/>
            <w:tcBorders>
              <w:top w:val="outset" w:sz="6" w:space="0" w:color="auto"/>
              <w:left w:val="outset" w:sz="6" w:space="0" w:color="auto"/>
              <w:bottom w:val="outset" w:sz="6" w:space="0" w:color="auto"/>
              <w:right w:val="outset" w:sz="6" w:space="0" w:color="auto"/>
            </w:tcBorders>
            <w:vAlign w:val="center"/>
            <w:hideMark/>
          </w:tcPr>
          <w:p w14:paraId="4DA5922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25,712,000,000 </w:t>
            </w:r>
          </w:p>
        </w:tc>
      </w:tr>
    </w:tbl>
    <w:p w14:paraId="41E914F0" w14:textId="77777777" w:rsidR="0078020B" w:rsidRPr="007B59C3" w:rsidRDefault="0078020B" w:rsidP="00F47264">
      <w:pPr>
        <w:pStyle w:val="NormalWeb"/>
        <w:spacing w:before="0" w:beforeAutospacing="0" w:after="0" w:afterAutospacing="0"/>
        <w:rPr>
          <w:rFonts w:ascii="Arial" w:hAnsi="Arial" w:cs="Arial"/>
          <w:sz w:val="22"/>
          <w:szCs w:val="22"/>
        </w:rPr>
      </w:pPr>
      <w:r w:rsidRPr="007B59C3">
        <w:rPr>
          <w:rFonts w:ascii="Arial" w:hAnsi="Arial" w:cs="Arial"/>
          <w:sz w:val="22"/>
          <w:szCs w:val="22"/>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59"/>
        <w:gridCol w:w="3240"/>
      </w:tblGrid>
      <w:tr w:rsidR="00F47264" w:rsidRPr="007B59C3" w14:paraId="7CCAC5BC"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25D523C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1519 HOSPITAL MILITAR </w:t>
            </w:r>
            <w:r w:rsidRPr="007B59C3">
              <w:rPr>
                <w:rFonts w:ascii="Arial" w:hAnsi="Arial" w:cs="Arial"/>
                <w:sz w:val="22"/>
                <w:szCs w:val="22"/>
              </w:rPr>
              <w:t> </w:t>
            </w:r>
          </w:p>
        </w:tc>
      </w:tr>
      <w:tr w:rsidR="00F47264" w:rsidRPr="007B59C3" w14:paraId="24EBC5D9"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0A10B6D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E42D4D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355,800,772,000 </w:t>
            </w:r>
          </w:p>
        </w:tc>
      </w:tr>
      <w:tr w:rsidR="00F47264" w:rsidRPr="007B59C3" w14:paraId="28B9D092"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0411E0D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CEB44C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33,526,569,000 </w:t>
            </w:r>
          </w:p>
        </w:tc>
      </w:tr>
      <w:tr w:rsidR="00F47264" w:rsidRPr="007B59C3" w14:paraId="75809B0E"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7B8341C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1520 AGENCIA LOGÍSTICA DE LAS FUERZAS MILITARES </w:t>
            </w:r>
            <w:r w:rsidRPr="007B59C3">
              <w:rPr>
                <w:rFonts w:ascii="Arial" w:hAnsi="Arial" w:cs="Arial"/>
                <w:sz w:val="22"/>
                <w:szCs w:val="22"/>
              </w:rPr>
              <w:t> </w:t>
            </w:r>
          </w:p>
        </w:tc>
      </w:tr>
      <w:tr w:rsidR="00F47264" w:rsidRPr="007B59C3" w14:paraId="7A887580"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61C967D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6A1716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587,513,000,000 </w:t>
            </w:r>
          </w:p>
        </w:tc>
      </w:tr>
      <w:tr w:rsidR="00F47264" w:rsidRPr="007B59C3" w14:paraId="787F7D2C"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60109DB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1702 INSTITUTO COLOMBIANO AGROPECUARIO (ICA) </w:t>
            </w:r>
            <w:r w:rsidRPr="007B59C3">
              <w:rPr>
                <w:rFonts w:ascii="Arial" w:hAnsi="Arial" w:cs="Arial"/>
                <w:sz w:val="22"/>
                <w:szCs w:val="22"/>
              </w:rPr>
              <w:t> </w:t>
            </w:r>
          </w:p>
        </w:tc>
      </w:tr>
      <w:tr w:rsidR="00F47264" w:rsidRPr="007B59C3" w14:paraId="41AD5409"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DF1FF5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7DC837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47,990,700,000 </w:t>
            </w:r>
          </w:p>
        </w:tc>
      </w:tr>
      <w:tr w:rsidR="00F47264" w:rsidRPr="007B59C3" w14:paraId="392B7485"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317DC04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0452F1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13,026,000,000 </w:t>
            </w:r>
          </w:p>
        </w:tc>
      </w:tr>
      <w:tr w:rsidR="00F47264" w:rsidRPr="007B59C3" w14:paraId="56C9B393"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5321E7E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1715 AUTORIDAD NACIONAL DE ACUICULTURA Y PESCA - AUNAP </w:t>
            </w:r>
            <w:r w:rsidRPr="007B59C3">
              <w:rPr>
                <w:rFonts w:ascii="Arial" w:hAnsi="Arial" w:cs="Arial"/>
                <w:sz w:val="22"/>
                <w:szCs w:val="22"/>
              </w:rPr>
              <w:t> </w:t>
            </w:r>
          </w:p>
        </w:tc>
      </w:tr>
      <w:tr w:rsidR="00F47264" w:rsidRPr="007B59C3" w14:paraId="043A3F53"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12FAEC8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F503CD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2,794,700,000 </w:t>
            </w:r>
          </w:p>
        </w:tc>
      </w:tr>
      <w:tr w:rsidR="00F47264" w:rsidRPr="007B59C3" w14:paraId="032CCF5A"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499C105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1717 AGENCIA NACIONAL DE TIERRAS - ANT </w:t>
            </w:r>
            <w:r w:rsidRPr="007B59C3">
              <w:rPr>
                <w:rFonts w:ascii="Arial" w:hAnsi="Arial" w:cs="Arial"/>
                <w:sz w:val="22"/>
                <w:szCs w:val="22"/>
              </w:rPr>
              <w:t> </w:t>
            </w:r>
          </w:p>
        </w:tc>
      </w:tr>
      <w:tr w:rsidR="00F47264" w:rsidRPr="007B59C3" w14:paraId="19ADF41D"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691B641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ADADF1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2,100,000,000 </w:t>
            </w:r>
          </w:p>
        </w:tc>
      </w:tr>
      <w:tr w:rsidR="00F47264" w:rsidRPr="007B59C3" w14:paraId="1E120E7C"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417AC63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1718 AGENCIA DE DESARROLLO RURAL - ADR </w:t>
            </w:r>
            <w:r w:rsidRPr="007B59C3">
              <w:rPr>
                <w:rFonts w:ascii="Arial" w:hAnsi="Arial" w:cs="Arial"/>
                <w:sz w:val="22"/>
                <w:szCs w:val="22"/>
              </w:rPr>
              <w:t> </w:t>
            </w:r>
          </w:p>
        </w:tc>
      </w:tr>
      <w:tr w:rsidR="00F47264" w:rsidRPr="007B59C3" w14:paraId="66283B5E"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35C265D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DCABFA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1,499,000,000 </w:t>
            </w:r>
          </w:p>
        </w:tc>
      </w:tr>
      <w:tr w:rsidR="00F47264" w:rsidRPr="007B59C3" w14:paraId="4A37E5C8"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307A782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560B62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1,598,700,000 </w:t>
            </w:r>
          </w:p>
        </w:tc>
      </w:tr>
      <w:tr w:rsidR="00F47264" w:rsidRPr="007B59C3" w14:paraId="39AE523B"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5D7702A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1903 INSTITUTO NACIONAL DE SALUD (INS) </w:t>
            </w:r>
            <w:r w:rsidRPr="007B59C3">
              <w:rPr>
                <w:rFonts w:ascii="Arial" w:hAnsi="Arial" w:cs="Arial"/>
                <w:sz w:val="22"/>
                <w:szCs w:val="22"/>
              </w:rPr>
              <w:t> </w:t>
            </w:r>
          </w:p>
        </w:tc>
      </w:tr>
      <w:tr w:rsidR="00F47264" w:rsidRPr="007B59C3" w14:paraId="1F5D0166"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6F9581C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5A112D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4,098,908,237 </w:t>
            </w:r>
          </w:p>
        </w:tc>
      </w:tr>
      <w:tr w:rsidR="00F47264" w:rsidRPr="007B59C3" w14:paraId="1EE789E0"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E0B757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lastRenderedPageBreak/>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8A6B7D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1,049,237,763 </w:t>
            </w:r>
          </w:p>
        </w:tc>
      </w:tr>
      <w:tr w:rsidR="00F47264" w:rsidRPr="007B59C3" w14:paraId="45F7EB5D"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33A116E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1910 SUPERINTENDENCIA NACIONAL DE SALUD </w:t>
            </w:r>
            <w:r w:rsidRPr="007B59C3">
              <w:rPr>
                <w:rFonts w:ascii="Arial" w:hAnsi="Arial" w:cs="Arial"/>
                <w:sz w:val="22"/>
                <w:szCs w:val="22"/>
              </w:rPr>
              <w:t> </w:t>
            </w:r>
          </w:p>
        </w:tc>
      </w:tr>
      <w:tr w:rsidR="00F47264" w:rsidRPr="007B59C3" w14:paraId="2B5671E2"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530D340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C91402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83,970,965,000 </w:t>
            </w:r>
          </w:p>
        </w:tc>
      </w:tr>
      <w:tr w:rsidR="00F47264" w:rsidRPr="007B59C3" w14:paraId="23D7CAE9"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2E5BA58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CEAB96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50,000,000,000 </w:t>
            </w:r>
          </w:p>
        </w:tc>
      </w:tr>
      <w:tr w:rsidR="00F47264" w:rsidRPr="007B59C3" w14:paraId="3ADC8ED8" w14:textId="77777777" w:rsidTr="00F47264">
        <w:trPr>
          <w:trHeight w:val="19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2890175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1912 INSTITUTO NACIONAL DE VIGILANCIA DE MEDICAMENTOS Y ALIMENTOS - INVIMA </w:t>
            </w:r>
            <w:r w:rsidRPr="007B59C3">
              <w:rPr>
                <w:rFonts w:ascii="Arial" w:hAnsi="Arial" w:cs="Arial"/>
                <w:sz w:val="22"/>
                <w:szCs w:val="22"/>
              </w:rPr>
              <w:t> </w:t>
            </w:r>
          </w:p>
        </w:tc>
      </w:tr>
      <w:tr w:rsidR="00F47264" w:rsidRPr="007B59C3" w14:paraId="3015AD65"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3A60C25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D0B931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120,050,350,000 </w:t>
            </w:r>
          </w:p>
        </w:tc>
      </w:tr>
      <w:tr w:rsidR="00F47264" w:rsidRPr="007B59C3" w14:paraId="0945271D"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AA9DAB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137EB2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57,131,000,000 </w:t>
            </w:r>
          </w:p>
        </w:tc>
      </w:tr>
      <w:tr w:rsidR="00F47264" w:rsidRPr="007B59C3" w14:paraId="684526EE"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3CFA456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1913 FONDO DE PREVISIÓN SOCIAL DEL CONGRESO </w:t>
            </w:r>
            <w:r w:rsidRPr="007B59C3">
              <w:rPr>
                <w:rFonts w:ascii="Arial" w:hAnsi="Arial" w:cs="Arial"/>
                <w:sz w:val="22"/>
                <w:szCs w:val="22"/>
              </w:rPr>
              <w:t> </w:t>
            </w:r>
          </w:p>
        </w:tc>
      </w:tr>
      <w:tr w:rsidR="00F47264" w:rsidRPr="007B59C3" w14:paraId="373EF3FF"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3FF3603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6BFCD9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16,344,316,000 </w:t>
            </w:r>
          </w:p>
        </w:tc>
      </w:tr>
      <w:tr w:rsidR="00F47264" w:rsidRPr="007B59C3" w14:paraId="47F8B8C7"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052344E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516D51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81,171,680,000 </w:t>
            </w:r>
          </w:p>
        </w:tc>
      </w:tr>
      <w:tr w:rsidR="00F47264" w:rsidRPr="007B59C3" w14:paraId="3AD02BCA"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2BD58EB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1914 FONDO PASIVO SOCIAL DE FERROCARRILES NACIONALES DE COLOMBIA </w:t>
            </w:r>
            <w:r w:rsidRPr="007B59C3">
              <w:rPr>
                <w:rFonts w:ascii="Arial" w:hAnsi="Arial" w:cs="Arial"/>
                <w:sz w:val="22"/>
                <w:szCs w:val="22"/>
              </w:rPr>
              <w:t> </w:t>
            </w:r>
          </w:p>
        </w:tc>
      </w:tr>
      <w:tr w:rsidR="00F47264" w:rsidRPr="007B59C3" w14:paraId="3DA57B7C"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5F2CB82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1A18CD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98,488,000,000 </w:t>
            </w:r>
          </w:p>
        </w:tc>
      </w:tr>
      <w:tr w:rsidR="00F47264" w:rsidRPr="007B59C3" w14:paraId="30DCC05B"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107F1A4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720655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16,669,000,000 </w:t>
            </w:r>
          </w:p>
        </w:tc>
      </w:tr>
      <w:tr w:rsidR="00F47264" w:rsidRPr="007B59C3" w14:paraId="74DC882E"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1FCC1F6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2103 SERVICIO GEOLÓGICO COLOMBIANO </w:t>
            </w:r>
            <w:r w:rsidRPr="007B59C3">
              <w:rPr>
                <w:rFonts w:ascii="Arial" w:hAnsi="Arial" w:cs="Arial"/>
                <w:sz w:val="22"/>
                <w:szCs w:val="22"/>
              </w:rPr>
              <w:t> </w:t>
            </w:r>
          </w:p>
        </w:tc>
      </w:tr>
      <w:tr w:rsidR="00F47264" w:rsidRPr="007B59C3" w14:paraId="2EC9F8F6"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B61328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ADCAC4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7,159,000,000 </w:t>
            </w:r>
          </w:p>
        </w:tc>
      </w:tr>
      <w:tr w:rsidR="00F47264" w:rsidRPr="007B59C3" w14:paraId="39202DCC"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1560AED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2109 UNIDAD DE PLANEACIÓN MINERO ENERGÉTICA - UPME </w:t>
            </w:r>
            <w:r w:rsidRPr="007B59C3">
              <w:rPr>
                <w:rFonts w:ascii="Arial" w:hAnsi="Arial" w:cs="Arial"/>
                <w:sz w:val="22"/>
                <w:szCs w:val="22"/>
              </w:rPr>
              <w:t> </w:t>
            </w:r>
          </w:p>
        </w:tc>
      </w:tr>
      <w:tr w:rsidR="00F47264" w:rsidRPr="007B59C3" w14:paraId="51705C8F"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2289ADB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6DA580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31,317,483,000 </w:t>
            </w:r>
          </w:p>
        </w:tc>
      </w:tr>
      <w:tr w:rsidR="00F47264" w:rsidRPr="007B59C3" w14:paraId="67DEB8F9"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5E9BCD7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A2711B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3,224,000,000 </w:t>
            </w:r>
          </w:p>
        </w:tc>
      </w:tr>
      <w:tr w:rsidR="00F47264" w:rsidRPr="007B59C3" w14:paraId="3288EC2E" w14:textId="77777777" w:rsidTr="00F47264">
        <w:trPr>
          <w:trHeight w:val="19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666B041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2110 INSTITUTO DE PLANIFICACIÓN Y PROMOCIÓN DE SOLUCIONES ENERGÉTI</w:t>
            </w:r>
            <w:r w:rsidRPr="007B59C3">
              <w:rPr>
                <w:rStyle w:val="Textoennegrita"/>
                <w:rFonts w:ascii="Arial" w:hAnsi="Arial" w:cs="Arial"/>
                <w:b w:val="0"/>
                <w:bCs w:val="0"/>
                <w:sz w:val="22"/>
                <w:szCs w:val="22"/>
              </w:rPr>
              <w:softHyphen/>
              <w:t>CAS PARA LAS ZONAS NO INTERCONECTADAS -IPSE-</w:t>
            </w:r>
            <w:r w:rsidRPr="007B59C3">
              <w:rPr>
                <w:rFonts w:ascii="Arial" w:hAnsi="Arial" w:cs="Arial"/>
                <w:sz w:val="22"/>
                <w:szCs w:val="22"/>
              </w:rPr>
              <w:t> </w:t>
            </w:r>
          </w:p>
        </w:tc>
      </w:tr>
      <w:tr w:rsidR="00F47264" w:rsidRPr="007B59C3" w14:paraId="7A31F399"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9D963E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3DB2BF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9,921,576,000 </w:t>
            </w:r>
          </w:p>
        </w:tc>
      </w:tr>
      <w:tr w:rsidR="00F47264" w:rsidRPr="007B59C3" w14:paraId="21EAC78A"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695B2B1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992058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6,700,000,000 </w:t>
            </w:r>
          </w:p>
        </w:tc>
      </w:tr>
      <w:tr w:rsidR="00F47264" w:rsidRPr="007B59C3" w14:paraId="5B335F99"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46F5B52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2111 AGENCIA NACIONAL DE HIDROCARBUROS - ANH </w:t>
            </w:r>
            <w:r w:rsidRPr="007B59C3">
              <w:rPr>
                <w:rFonts w:ascii="Arial" w:hAnsi="Arial" w:cs="Arial"/>
                <w:sz w:val="22"/>
                <w:szCs w:val="22"/>
              </w:rPr>
              <w:t> </w:t>
            </w:r>
          </w:p>
        </w:tc>
      </w:tr>
      <w:tr w:rsidR="00F47264" w:rsidRPr="007B59C3" w14:paraId="5C78E61F"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5CE766E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46331C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187,060,400,000 </w:t>
            </w:r>
          </w:p>
        </w:tc>
      </w:tr>
      <w:tr w:rsidR="00F47264" w:rsidRPr="007B59C3" w14:paraId="33567B70"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25211CC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259351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452,722,497,000 </w:t>
            </w:r>
          </w:p>
        </w:tc>
      </w:tr>
      <w:tr w:rsidR="00F47264" w:rsidRPr="007B59C3" w14:paraId="4625620C"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17CA477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2112 AGENCIA NACIONAL DE MINERÍA - ANM </w:t>
            </w:r>
            <w:r w:rsidRPr="007B59C3">
              <w:rPr>
                <w:rFonts w:ascii="Arial" w:hAnsi="Arial" w:cs="Arial"/>
                <w:sz w:val="22"/>
                <w:szCs w:val="22"/>
              </w:rPr>
              <w:t> </w:t>
            </w:r>
          </w:p>
        </w:tc>
      </w:tr>
      <w:tr w:rsidR="00F47264" w:rsidRPr="007B59C3" w14:paraId="0C01A1B8"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232F45D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7964C7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37,374,609,000 </w:t>
            </w:r>
          </w:p>
        </w:tc>
      </w:tr>
      <w:tr w:rsidR="00F47264" w:rsidRPr="007B59C3" w14:paraId="6EDF7233"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35A5D3C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5BB560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38,471,000,000 </w:t>
            </w:r>
          </w:p>
        </w:tc>
      </w:tr>
      <w:tr w:rsidR="00F47264" w:rsidRPr="007B59C3" w14:paraId="13B7D7D3"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0D2D08D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2209 INSTITUTO NACIONAL PARA SORDOS (INSOR) </w:t>
            </w:r>
            <w:r w:rsidRPr="007B59C3">
              <w:rPr>
                <w:rFonts w:ascii="Arial" w:hAnsi="Arial" w:cs="Arial"/>
                <w:sz w:val="22"/>
                <w:szCs w:val="22"/>
              </w:rPr>
              <w:t> </w:t>
            </w:r>
          </w:p>
        </w:tc>
      </w:tr>
      <w:tr w:rsidR="00F47264" w:rsidRPr="007B59C3" w14:paraId="34481C37"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0EDF7F5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F24DD3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894,876,966 </w:t>
            </w:r>
          </w:p>
        </w:tc>
      </w:tr>
      <w:tr w:rsidR="00F47264" w:rsidRPr="007B59C3" w14:paraId="7CD7BAD1"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D6F468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0F11C4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199,546,839 </w:t>
            </w:r>
          </w:p>
        </w:tc>
      </w:tr>
      <w:tr w:rsidR="00F47264" w:rsidRPr="007B59C3" w14:paraId="1E52746E"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7B26E5F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2210 INSTITUTO NACIONAL PARA CIEGOS (INCI) </w:t>
            </w:r>
            <w:r w:rsidRPr="007B59C3">
              <w:rPr>
                <w:rFonts w:ascii="Arial" w:hAnsi="Arial" w:cs="Arial"/>
                <w:sz w:val="22"/>
                <w:szCs w:val="22"/>
              </w:rPr>
              <w:t> </w:t>
            </w:r>
          </w:p>
        </w:tc>
      </w:tr>
      <w:tr w:rsidR="00F47264" w:rsidRPr="007B59C3" w14:paraId="117946C2"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5C495F2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5D32D3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537,470,000 </w:t>
            </w:r>
          </w:p>
        </w:tc>
      </w:tr>
      <w:tr w:rsidR="00F47264" w:rsidRPr="007B59C3" w14:paraId="6AF5392B"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749C3C6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8C6BAB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462,906,303 </w:t>
            </w:r>
          </w:p>
        </w:tc>
      </w:tr>
      <w:tr w:rsidR="00F47264" w:rsidRPr="007B59C3" w14:paraId="60875FA3"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5C9F262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2234 ESCUELA TECNOLÓGICA INSTITUTO TÉCNICO CENTRAL </w:t>
            </w:r>
            <w:r w:rsidRPr="007B59C3">
              <w:rPr>
                <w:rFonts w:ascii="Arial" w:hAnsi="Arial" w:cs="Arial"/>
                <w:sz w:val="22"/>
                <w:szCs w:val="22"/>
              </w:rPr>
              <w:t> </w:t>
            </w:r>
          </w:p>
        </w:tc>
      </w:tr>
      <w:tr w:rsidR="00F47264" w:rsidRPr="007B59C3" w14:paraId="1DB2F40C"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46CD64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E64D7A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10,900,804,592 </w:t>
            </w:r>
          </w:p>
        </w:tc>
      </w:tr>
      <w:tr w:rsidR="00F47264" w:rsidRPr="007B59C3" w14:paraId="1715E5DE"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75492EE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39A074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150,000,000 </w:t>
            </w:r>
          </w:p>
        </w:tc>
      </w:tr>
      <w:tr w:rsidR="00F47264" w:rsidRPr="007B59C3" w14:paraId="75BF00CC" w14:textId="77777777" w:rsidTr="00F47264">
        <w:trPr>
          <w:trHeight w:val="19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3E203C8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2238 INSTITUTO NACIONAL DE FORMACIÓN TÉCNICA PROFESIONAL DE SAN AN</w:t>
            </w:r>
            <w:r w:rsidRPr="007B59C3">
              <w:rPr>
                <w:rStyle w:val="Textoennegrita"/>
                <w:rFonts w:ascii="Arial" w:hAnsi="Arial" w:cs="Arial"/>
                <w:b w:val="0"/>
                <w:bCs w:val="0"/>
                <w:sz w:val="22"/>
                <w:szCs w:val="22"/>
              </w:rPr>
              <w:softHyphen/>
              <w:t>DRÉS Y PROVIDENCIA </w:t>
            </w:r>
            <w:r w:rsidRPr="007B59C3">
              <w:rPr>
                <w:rFonts w:ascii="Arial" w:hAnsi="Arial" w:cs="Arial"/>
                <w:sz w:val="22"/>
                <w:szCs w:val="22"/>
              </w:rPr>
              <w:t> </w:t>
            </w:r>
          </w:p>
        </w:tc>
      </w:tr>
      <w:tr w:rsidR="00F47264" w:rsidRPr="007B59C3" w14:paraId="31DBA665"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3B8E98A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8842DB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508,259,357 </w:t>
            </w:r>
          </w:p>
        </w:tc>
      </w:tr>
      <w:tr w:rsidR="00F47264" w:rsidRPr="007B59C3" w14:paraId="0020601E"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528B386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1FF746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120,900,000 </w:t>
            </w:r>
          </w:p>
        </w:tc>
      </w:tr>
      <w:tr w:rsidR="00F47264" w:rsidRPr="007B59C3" w14:paraId="1FFD4870" w14:textId="77777777" w:rsidTr="00F47264">
        <w:trPr>
          <w:trHeight w:val="19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75141F2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lastRenderedPageBreak/>
              <w:t>2239 INSTITUTO NACIONAL DE FORMACIÓN TÉCNICA PROFESIONAL DE SAN JUAN DEL CESAR </w:t>
            </w:r>
            <w:r w:rsidRPr="007B59C3">
              <w:rPr>
                <w:rFonts w:ascii="Arial" w:hAnsi="Arial" w:cs="Arial"/>
                <w:sz w:val="22"/>
                <w:szCs w:val="22"/>
              </w:rPr>
              <w:t> </w:t>
            </w:r>
          </w:p>
        </w:tc>
      </w:tr>
      <w:tr w:rsidR="00F47264" w:rsidRPr="007B59C3" w14:paraId="55A1A011"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52D0A40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930F13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1,902,078,495 </w:t>
            </w:r>
          </w:p>
        </w:tc>
      </w:tr>
      <w:tr w:rsidR="00F47264" w:rsidRPr="007B59C3" w14:paraId="2BB58C40"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3486A00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2241 INSTITUTO TOLIMENSE DE FORMACIÓN TÉCNICA PROFESIONAL </w:t>
            </w:r>
            <w:r w:rsidRPr="007B59C3">
              <w:rPr>
                <w:rFonts w:ascii="Arial" w:hAnsi="Arial" w:cs="Arial"/>
                <w:sz w:val="22"/>
                <w:szCs w:val="22"/>
              </w:rPr>
              <w:t> </w:t>
            </w:r>
          </w:p>
        </w:tc>
      </w:tr>
      <w:tr w:rsidR="00F47264" w:rsidRPr="007B59C3" w14:paraId="40974115"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6ED2421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33DB00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7,374,813,999 </w:t>
            </w:r>
          </w:p>
        </w:tc>
      </w:tr>
      <w:tr w:rsidR="00F47264" w:rsidRPr="007B59C3" w14:paraId="13E01C42"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05A8871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D543E2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2,004,767,753 </w:t>
            </w:r>
          </w:p>
        </w:tc>
      </w:tr>
      <w:tr w:rsidR="00F47264" w:rsidRPr="007B59C3" w14:paraId="3FE09081" w14:textId="77777777" w:rsidTr="00F47264">
        <w:trPr>
          <w:trHeight w:val="19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17A8C02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2242 INSTITUTO TÉCNICO NACIONAL DE COMERCIO “SIMÓN RODRÍGUEZ” DE CALI </w:t>
            </w:r>
            <w:r w:rsidRPr="007B59C3">
              <w:rPr>
                <w:rFonts w:ascii="Arial" w:hAnsi="Arial" w:cs="Arial"/>
                <w:sz w:val="22"/>
                <w:szCs w:val="22"/>
              </w:rPr>
              <w:t> </w:t>
            </w:r>
          </w:p>
        </w:tc>
      </w:tr>
      <w:tr w:rsidR="00F47264" w:rsidRPr="007B59C3" w14:paraId="3C9A882A"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251473C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CA9E3F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2,121,718,784 </w:t>
            </w:r>
          </w:p>
        </w:tc>
      </w:tr>
      <w:tr w:rsidR="00F47264" w:rsidRPr="007B59C3" w14:paraId="6DCF57C6"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0F66978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2306 FONDO DE TECNOLOGÍAS DE LA INFORMACIÓN Y LAS COMUNICACIONES </w:t>
            </w:r>
            <w:r w:rsidRPr="007B59C3">
              <w:rPr>
                <w:rFonts w:ascii="Arial" w:hAnsi="Arial" w:cs="Arial"/>
                <w:sz w:val="22"/>
                <w:szCs w:val="22"/>
              </w:rPr>
              <w:t> </w:t>
            </w:r>
          </w:p>
        </w:tc>
      </w:tr>
      <w:tr w:rsidR="00F47264" w:rsidRPr="007B59C3" w14:paraId="16C77F67"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667494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374114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900,000,000,000 </w:t>
            </w:r>
          </w:p>
        </w:tc>
      </w:tr>
      <w:tr w:rsidR="00F47264" w:rsidRPr="007B59C3" w14:paraId="11E75BC5"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7E6F452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DBC752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254,237,400,000 </w:t>
            </w:r>
          </w:p>
        </w:tc>
      </w:tr>
      <w:tr w:rsidR="00F47264" w:rsidRPr="007B59C3" w14:paraId="032317F8"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73B85F0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2309 AGENCIA NACIONAL DEL ESPECTRO - ANE </w:t>
            </w:r>
            <w:r w:rsidRPr="007B59C3">
              <w:rPr>
                <w:rFonts w:ascii="Arial" w:hAnsi="Arial" w:cs="Arial"/>
                <w:sz w:val="22"/>
                <w:szCs w:val="22"/>
              </w:rPr>
              <w:t> </w:t>
            </w:r>
          </w:p>
        </w:tc>
      </w:tr>
      <w:tr w:rsidR="00F47264" w:rsidRPr="007B59C3" w14:paraId="2ECC53EE"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745B390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AA749E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25,191,267,111 </w:t>
            </w:r>
          </w:p>
        </w:tc>
      </w:tr>
      <w:tr w:rsidR="00F47264" w:rsidRPr="007B59C3" w14:paraId="324CAE6F"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6FBC9FD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2310 AUTORIDAD NACIONAL DE TELEVISIÓN ANTV </w:t>
            </w:r>
            <w:r w:rsidRPr="007B59C3">
              <w:rPr>
                <w:rFonts w:ascii="Arial" w:hAnsi="Arial" w:cs="Arial"/>
                <w:sz w:val="22"/>
                <w:szCs w:val="22"/>
              </w:rPr>
              <w:t> </w:t>
            </w:r>
          </w:p>
        </w:tc>
      </w:tr>
      <w:tr w:rsidR="00F47264" w:rsidRPr="007B59C3" w14:paraId="028DD600"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42CC9C2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E8EACF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287,782,600,000 </w:t>
            </w:r>
          </w:p>
        </w:tc>
      </w:tr>
      <w:tr w:rsidR="00F47264" w:rsidRPr="007B59C3" w14:paraId="32A95281"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16576AC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2311 COMPUTADORES PARA EDUCAR CPE </w:t>
            </w:r>
            <w:r w:rsidRPr="007B59C3">
              <w:rPr>
                <w:rFonts w:ascii="Arial" w:hAnsi="Arial" w:cs="Arial"/>
                <w:sz w:val="22"/>
                <w:szCs w:val="22"/>
              </w:rPr>
              <w:t> </w:t>
            </w:r>
          </w:p>
        </w:tc>
      </w:tr>
      <w:tr w:rsidR="00F47264" w:rsidRPr="007B59C3" w14:paraId="592625E4"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24CEFE6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402593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53,925,000,000 </w:t>
            </w:r>
          </w:p>
        </w:tc>
      </w:tr>
      <w:tr w:rsidR="00F47264" w:rsidRPr="007B59C3" w14:paraId="3B9DB5B2" w14:textId="77777777" w:rsidTr="00F47264">
        <w:trPr>
          <w:trHeight w:val="105"/>
          <w:tblCellSpacing w:w="0" w:type="dxa"/>
          <w:jc w:val="center"/>
        </w:trPr>
        <w:tc>
          <w:tcPr>
            <w:tcW w:w="6899" w:type="dxa"/>
            <w:gridSpan w:val="2"/>
            <w:tcBorders>
              <w:top w:val="outset" w:sz="6" w:space="0" w:color="auto"/>
              <w:left w:val="outset" w:sz="6" w:space="0" w:color="auto"/>
              <w:bottom w:val="outset" w:sz="6" w:space="0" w:color="auto"/>
              <w:right w:val="outset" w:sz="6" w:space="0" w:color="auto"/>
            </w:tcBorders>
            <w:vAlign w:val="center"/>
            <w:hideMark/>
          </w:tcPr>
          <w:p w14:paraId="2788868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2402 INSTITUTO NACIONAL DE VÍAS </w:t>
            </w:r>
            <w:r w:rsidRPr="007B59C3">
              <w:rPr>
                <w:rFonts w:ascii="Arial" w:hAnsi="Arial" w:cs="Arial"/>
                <w:sz w:val="22"/>
                <w:szCs w:val="22"/>
              </w:rPr>
              <w:t> </w:t>
            </w:r>
          </w:p>
        </w:tc>
      </w:tr>
      <w:tr w:rsidR="00F47264" w:rsidRPr="007B59C3" w14:paraId="34517654"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2C50408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DC89D9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418,242,024,300 </w:t>
            </w:r>
          </w:p>
        </w:tc>
      </w:tr>
      <w:tr w:rsidR="00F47264" w:rsidRPr="007B59C3" w14:paraId="65B89521" w14:textId="77777777" w:rsidTr="00F47264">
        <w:trPr>
          <w:trHeight w:val="105"/>
          <w:tblCellSpacing w:w="0" w:type="dxa"/>
          <w:jc w:val="center"/>
        </w:trPr>
        <w:tc>
          <w:tcPr>
            <w:tcW w:w="3659" w:type="dxa"/>
            <w:tcBorders>
              <w:top w:val="outset" w:sz="6" w:space="0" w:color="auto"/>
              <w:left w:val="outset" w:sz="6" w:space="0" w:color="auto"/>
              <w:bottom w:val="outset" w:sz="6" w:space="0" w:color="auto"/>
              <w:right w:val="outset" w:sz="6" w:space="0" w:color="auto"/>
            </w:tcBorders>
            <w:vAlign w:val="center"/>
            <w:hideMark/>
          </w:tcPr>
          <w:p w14:paraId="3435464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AD558B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131,800,000,000 </w:t>
            </w:r>
          </w:p>
        </w:tc>
      </w:tr>
    </w:tbl>
    <w:p w14:paraId="753E058D" w14:textId="77777777" w:rsidR="0078020B" w:rsidRPr="007B59C3" w:rsidRDefault="0078020B" w:rsidP="00F47264">
      <w:pPr>
        <w:pStyle w:val="NormalWeb"/>
        <w:spacing w:before="0" w:beforeAutospacing="0" w:after="0" w:afterAutospacing="0"/>
        <w:rPr>
          <w:rFonts w:ascii="Arial" w:hAnsi="Arial" w:cs="Arial"/>
          <w:sz w:val="22"/>
          <w:szCs w:val="22"/>
        </w:rPr>
      </w:pPr>
      <w:r w:rsidRPr="007B59C3">
        <w:rPr>
          <w:rFonts w:ascii="Arial" w:hAnsi="Arial" w:cs="Arial"/>
          <w:sz w:val="22"/>
          <w:szCs w:val="22"/>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67"/>
        <w:gridCol w:w="3240"/>
      </w:tblGrid>
      <w:tr w:rsidR="00F47264" w:rsidRPr="007B59C3" w14:paraId="183C8340"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6767E80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2412 UNIDAD ADMINISTRATIVA ESPECIAL DE LA AERONÁUTICA CIVIL </w:t>
            </w:r>
            <w:r w:rsidRPr="007B59C3">
              <w:rPr>
                <w:rFonts w:ascii="Arial" w:hAnsi="Arial" w:cs="Arial"/>
                <w:sz w:val="22"/>
                <w:szCs w:val="22"/>
              </w:rPr>
              <w:t> </w:t>
            </w:r>
          </w:p>
        </w:tc>
      </w:tr>
      <w:tr w:rsidR="00F47264" w:rsidRPr="007B59C3" w14:paraId="01862466"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6483DEA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201938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1,005,381,192,156 </w:t>
            </w:r>
          </w:p>
        </w:tc>
      </w:tr>
      <w:tr w:rsidR="00F47264" w:rsidRPr="007B59C3" w14:paraId="5343DA89"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122F1BE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44EEF6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146,532,100,000 </w:t>
            </w:r>
          </w:p>
        </w:tc>
      </w:tr>
      <w:tr w:rsidR="00F47264" w:rsidRPr="007B59C3" w14:paraId="0C1FE400"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6D23A93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2413 AGENCIA NACIONAL DE INFRAESTRUCTURA </w:t>
            </w:r>
            <w:r w:rsidRPr="007B59C3">
              <w:rPr>
                <w:rFonts w:ascii="Arial" w:hAnsi="Arial" w:cs="Arial"/>
                <w:sz w:val="22"/>
                <w:szCs w:val="22"/>
              </w:rPr>
              <w:t> </w:t>
            </w:r>
          </w:p>
        </w:tc>
      </w:tr>
      <w:tr w:rsidR="00F47264" w:rsidRPr="007B59C3" w14:paraId="22E022EA"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3E7A83E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D222B3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247,773,703,966 </w:t>
            </w:r>
          </w:p>
        </w:tc>
      </w:tr>
      <w:tr w:rsidR="00F47264" w:rsidRPr="007B59C3" w14:paraId="1A4ED756"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BA8275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CF97D7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23,172,038,700 </w:t>
            </w:r>
          </w:p>
        </w:tc>
      </w:tr>
      <w:tr w:rsidR="00F47264" w:rsidRPr="007B59C3" w14:paraId="047C5B7A"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5DA7ABF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2416 AGENCIA NACIONAL DE SEGURIDAD VIAL </w:t>
            </w:r>
            <w:r w:rsidRPr="007B59C3">
              <w:rPr>
                <w:rFonts w:ascii="Arial" w:hAnsi="Arial" w:cs="Arial"/>
                <w:sz w:val="22"/>
                <w:szCs w:val="22"/>
              </w:rPr>
              <w:t> </w:t>
            </w:r>
          </w:p>
        </w:tc>
      </w:tr>
      <w:tr w:rsidR="00F47264" w:rsidRPr="007B59C3" w14:paraId="635CA681"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31CE14C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9FF549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106,211,034,435 </w:t>
            </w:r>
          </w:p>
        </w:tc>
      </w:tr>
      <w:tr w:rsidR="00F47264" w:rsidRPr="007B59C3" w14:paraId="08D2866D"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746C7C8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0F3175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41,487,528,235 </w:t>
            </w:r>
          </w:p>
        </w:tc>
      </w:tr>
      <w:tr w:rsidR="00F47264" w:rsidRPr="007B59C3" w14:paraId="1650E66B"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0F7BAAB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2417 SUPERINTENDENCIA DE PUERTOS Y TRANSPORTE </w:t>
            </w:r>
            <w:r w:rsidRPr="007B59C3">
              <w:rPr>
                <w:rFonts w:ascii="Arial" w:hAnsi="Arial" w:cs="Arial"/>
                <w:sz w:val="22"/>
                <w:szCs w:val="22"/>
              </w:rPr>
              <w:t> </w:t>
            </w:r>
          </w:p>
        </w:tc>
      </w:tr>
      <w:tr w:rsidR="00F47264" w:rsidRPr="007B59C3" w14:paraId="3374B17D"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38A44DF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25073B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41,541,991,963 </w:t>
            </w:r>
          </w:p>
        </w:tc>
      </w:tr>
      <w:tr w:rsidR="00F47264" w:rsidRPr="007B59C3" w14:paraId="409AD2B3" w14:textId="77777777" w:rsidTr="00F47264">
        <w:trPr>
          <w:trHeight w:val="19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1EC9D91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2602 FONDO DE BIENESTAR SOCIAL DE LA CONTRALORÍA GENERAL DE LA REPÚ</w:t>
            </w:r>
            <w:r w:rsidRPr="007B59C3">
              <w:rPr>
                <w:rStyle w:val="Textoennegrita"/>
                <w:rFonts w:ascii="Arial" w:hAnsi="Arial" w:cs="Arial"/>
                <w:b w:val="0"/>
                <w:bCs w:val="0"/>
                <w:sz w:val="22"/>
                <w:szCs w:val="22"/>
              </w:rPr>
              <w:softHyphen/>
              <w:t>BLICA </w:t>
            </w:r>
            <w:r w:rsidRPr="007B59C3">
              <w:rPr>
                <w:rFonts w:ascii="Arial" w:hAnsi="Arial" w:cs="Arial"/>
                <w:sz w:val="22"/>
                <w:szCs w:val="22"/>
              </w:rPr>
              <w:t> </w:t>
            </w:r>
          </w:p>
        </w:tc>
      </w:tr>
      <w:tr w:rsidR="00F47264" w:rsidRPr="007B59C3" w14:paraId="3C8721EE"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E91FA7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1426E1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21,403,000,000 </w:t>
            </w:r>
          </w:p>
        </w:tc>
      </w:tr>
      <w:tr w:rsidR="00F47264" w:rsidRPr="007B59C3" w14:paraId="47D91409"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272D87A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8BA8DA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420,000,000 </w:t>
            </w:r>
          </w:p>
        </w:tc>
      </w:tr>
      <w:tr w:rsidR="00F47264" w:rsidRPr="007B59C3" w14:paraId="27085BED"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6DE28B5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2802 FONDO ROTATORIO DE LA REGISTRADURÍA </w:t>
            </w:r>
          </w:p>
        </w:tc>
      </w:tr>
      <w:tr w:rsidR="00F47264" w:rsidRPr="007B59C3" w14:paraId="0346F631"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6BB6C5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F3805E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62,608,843,210 </w:t>
            </w:r>
          </w:p>
        </w:tc>
      </w:tr>
      <w:tr w:rsidR="00F47264" w:rsidRPr="007B59C3" w14:paraId="74CE0EF1"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545F5AA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92613A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22,849,789,943 </w:t>
            </w:r>
          </w:p>
        </w:tc>
      </w:tr>
      <w:tr w:rsidR="00F47264" w:rsidRPr="007B59C3" w14:paraId="0BE1C225" w14:textId="77777777" w:rsidTr="00F47264">
        <w:trPr>
          <w:trHeight w:val="19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202022B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2803 FONDO SOCIAL DE VIVIENDA DE LA REGISTRADURÍA NACIONAL DEL ESTADO CIVIL </w:t>
            </w:r>
            <w:r w:rsidRPr="007B59C3">
              <w:rPr>
                <w:rFonts w:ascii="Arial" w:hAnsi="Arial" w:cs="Arial"/>
                <w:sz w:val="22"/>
                <w:szCs w:val="22"/>
              </w:rPr>
              <w:t> </w:t>
            </w:r>
          </w:p>
        </w:tc>
      </w:tr>
      <w:tr w:rsidR="00F47264" w:rsidRPr="007B59C3" w14:paraId="5F723D93"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6EE1C73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6A4E85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13,917,755,000 </w:t>
            </w:r>
          </w:p>
        </w:tc>
      </w:tr>
      <w:tr w:rsidR="00F47264" w:rsidRPr="007B59C3" w14:paraId="7329ECEB"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3CB126C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lastRenderedPageBreak/>
              <w:t>2902 INSTITUTO NACIONAL DE MEDICINA LEGAL Y CIENCIAS FORENSES </w:t>
            </w:r>
            <w:r w:rsidRPr="007B59C3">
              <w:rPr>
                <w:rFonts w:ascii="Arial" w:hAnsi="Arial" w:cs="Arial"/>
                <w:sz w:val="22"/>
                <w:szCs w:val="22"/>
              </w:rPr>
              <w:t> </w:t>
            </w:r>
          </w:p>
        </w:tc>
      </w:tr>
      <w:tr w:rsidR="00F47264" w:rsidRPr="007B59C3" w14:paraId="7C22E4A4"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2A72F5E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17503C3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10,243,000,000 </w:t>
            </w:r>
          </w:p>
        </w:tc>
      </w:tr>
      <w:tr w:rsidR="00F47264" w:rsidRPr="007B59C3" w14:paraId="473810CD"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61AA5F8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02003A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625,110,000 </w:t>
            </w:r>
          </w:p>
        </w:tc>
      </w:tr>
      <w:tr w:rsidR="00F47264" w:rsidRPr="007B59C3" w14:paraId="33644698" w14:textId="77777777" w:rsidTr="00F47264">
        <w:trPr>
          <w:trHeight w:val="19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4CE9761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2904 FONDO ESPECIAL PARA LA ADMINISTRACIÓN DE BIENES DE LA FISCALÍA GE</w:t>
            </w:r>
            <w:r w:rsidRPr="007B59C3">
              <w:rPr>
                <w:rStyle w:val="Textoennegrita"/>
                <w:rFonts w:ascii="Arial" w:hAnsi="Arial" w:cs="Arial"/>
                <w:b w:val="0"/>
                <w:bCs w:val="0"/>
                <w:sz w:val="22"/>
                <w:szCs w:val="22"/>
              </w:rPr>
              <w:softHyphen/>
              <w:t>NERAL DE LA NACIÓN </w:t>
            </w:r>
            <w:r w:rsidRPr="007B59C3">
              <w:rPr>
                <w:rFonts w:ascii="Arial" w:hAnsi="Arial" w:cs="Arial"/>
                <w:sz w:val="22"/>
                <w:szCs w:val="22"/>
              </w:rPr>
              <w:t> </w:t>
            </w:r>
          </w:p>
        </w:tc>
      </w:tr>
      <w:tr w:rsidR="00F47264" w:rsidRPr="007B59C3" w14:paraId="1949DB6E"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28F500D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A2D5CB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21,024,000,000 </w:t>
            </w:r>
          </w:p>
        </w:tc>
      </w:tr>
      <w:tr w:rsidR="00F47264" w:rsidRPr="007B59C3" w14:paraId="0F74CAD7"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4173B85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3202 INSTITUTO DE HIDROLOGÍA, METEOROLOGÍA Y ESTUDIOS AMBIENTALES- IDEAM </w:t>
            </w:r>
          </w:p>
        </w:tc>
      </w:tr>
      <w:tr w:rsidR="00F47264" w:rsidRPr="007B59C3" w14:paraId="0E8DB340"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E9641A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562135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4,199,000,000 </w:t>
            </w:r>
          </w:p>
        </w:tc>
      </w:tr>
      <w:tr w:rsidR="00F47264" w:rsidRPr="007B59C3" w14:paraId="583DA5D2"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6D22574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97AD4A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1,000,000,000 </w:t>
            </w:r>
          </w:p>
        </w:tc>
      </w:tr>
      <w:tr w:rsidR="00F47264" w:rsidRPr="007B59C3" w14:paraId="76F91EDA"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500F533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3204 FONDO NACIONAL AMBIENTAL </w:t>
            </w:r>
            <w:r w:rsidRPr="007B59C3">
              <w:rPr>
                <w:rFonts w:ascii="Arial" w:hAnsi="Arial" w:cs="Arial"/>
                <w:sz w:val="22"/>
                <w:szCs w:val="22"/>
              </w:rPr>
              <w:t> </w:t>
            </w:r>
          </w:p>
        </w:tc>
      </w:tr>
      <w:tr w:rsidR="00F47264" w:rsidRPr="007B59C3" w14:paraId="3E8143F9"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4E218D4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835AED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64,800,918,354 </w:t>
            </w:r>
          </w:p>
        </w:tc>
      </w:tr>
      <w:tr w:rsidR="00F47264" w:rsidRPr="007B59C3" w14:paraId="611EEC5C"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019879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E73876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54,633,366,646 </w:t>
            </w:r>
          </w:p>
        </w:tc>
      </w:tr>
      <w:tr w:rsidR="00F47264" w:rsidRPr="007B59C3" w14:paraId="16812514"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7A5E80D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3304 ARCHIVO GENERAL DE LA NACIÓN </w:t>
            </w:r>
            <w:r w:rsidRPr="007B59C3">
              <w:rPr>
                <w:rFonts w:ascii="Arial" w:hAnsi="Arial" w:cs="Arial"/>
                <w:sz w:val="22"/>
                <w:szCs w:val="22"/>
              </w:rPr>
              <w:t> </w:t>
            </w:r>
          </w:p>
        </w:tc>
      </w:tr>
      <w:tr w:rsidR="00F47264" w:rsidRPr="007B59C3" w14:paraId="4799C2A3"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73781EA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23C8A7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7,206,000,000 </w:t>
            </w:r>
          </w:p>
        </w:tc>
      </w:tr>
      <w:tr w:rsidR="00F47264" w:rsidRPr="007B59C3" w14:paraId="52676EBF"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70CCD04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C5E8D8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1,181,017,336 </w:t>
            </w:r>
          </w:p>
        </w:tc>
      </w:tr>
      <w:tr w:rsidR="00F47264" w:rsidRPr="007B59C3" w14:paraId="41BE9ECC"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651069F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3305 INSTITUTO COLOMBIANO DE ANTROPOLOGÍA E HISTORIA </w:t>
            </w:r>
            <w:r w:rsidRPr="007B59C3">
              <w:rPr>
                <w:rFonts w:ascii="Arial" w:hAnsi="Arial" w:cs="Arial"/>
                <w:sz w:val="22"/>
                <w:szCs w:val="22"/>
              </w:rPr>
              <w:t> </w:t>
            </w:r>
          </w:p>
        </w:tc>
      </w:tr>
      <w:tr w:rsidR="00F47264" w:rsidRPr="007B59C3" w14:paraId="63C48F38"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48DEBF1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454C98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3,025,000,000 </w:t>
            </w:r>
          </w:p>
        </w:tc>
      </w:tr>
      <w:tr w:rsidR="00F47264" w:rsidRPr="007B59C3" w14:paraId="1752EA8D"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6B73A4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E427A1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1,166,093,334 </w:t>
            </w:r>
          </w:p>
        </w:tc>
      </w:tr>
      <w:tr w:rsidR="00F47264" w:rsidRPr="007B59C3" w14:paraId="18132AB8"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62FCD20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3307 INSTITUTO CARO Y CUERVO </w:t>
            </w:r>
            <w:r w:rsidRPr="007B59C3">
              <w:rPr>
                <w:rFonts w:ascii="Arial" w:hAnsi="Arial" w:cs="Arial"/>
                <w:sz w:val="22"/>
                <w:szCs w:val="22"/>
              </w:rPr>
              <w:t> </w:t>
            </w:r>
          </w:p>
        </w:tc>
      </w:tr>
      <w:tr w:rsidR="00F47264" w:rsidRPr="007B59C3" w14:paraId="080D72F6"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325AA13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9E6D88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1,111,000,000 </w:t>
            </w:r>
          </w:p>
        </w:tc>
      </w:tr>
      <w:tr w:rsidR="00F47264" w:rsidRPr="007B59C3" w14:paraId="55A325DB"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6FFF886"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4EDE62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289,654,400 </w:t>
            </w:r>
          </w:p>
        </w:tc>
      </w:tr>
      <w:tr w:rsidR="00F47264" w:rsidRPr="007B59C3" w14:paraId="0EC2EC9B"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6EF02B8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3502 SUPERINTENDENCIA DE SOCIEDADES </w:t>
            </w:r>
            <w:r w:rsidRPr="007B59C3">
              <w:rPr>
                <w:rFonts w:ascii="Arial" w:hAnsi="Arial" w:cs="Arial"/>
                <w:sz w:val="22"/>
                <w:szCs w:val="22"/>
              </w:rPr>
              <w:t> </w:t>
            </w:r>
          </w:p>
        </w:tc>
      </w:tr>
      <w:tr w:rsidR="00F47264" w:rsidRPr="007B59C3" w14:paraId="58727882"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66FBB4D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156C28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134,267,000,000 </w:t>
            </w:r>
          </w:p>
        </w:tc>
      </w:tr>
      <w:tr w:rsidR="00F47264" w:rsidRPr="007B59C3" w14:paraId="4FC46E3D"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3A85F28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FB64D6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434,000,000 </w:t>
            </w:r>
          </w:p>
        </w:tc>
      </w:tr>
      <w:tr w:rsidR="00F47264" w:rsidRPr="007B59C3" w14:paraId="708A1A83"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3DC603B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3503 SUPERINTENDENCIA DE INDUSTRIA Y COMERCIO </w:t>
            </w:r>
            <w:r w:rsidRPr="007B59C3">
              <w:rPr>
                <w:rFonts w:ascii="Arial" w:hAnsi="Arial" w:cs="Arial"/>
                <w:sz w:val="22"/>
                <w:szCs w:val="22"/>
              </w:rPr>
              <w:t> </w:t>
            </w:r>
          </w:p>
        </w:tc>
      </w:tr>
      <w:tr w:rsidR="00F47264" w:rsidRPr="007B59C3" w14:paraId="24100E22"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7D27FDE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244CA4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110,726,169,269 </w:t>
            </w:r>
          </w:p>
        </w:tc>
      </w:tr>
      <w:tr w:rsidR="00F47264" w:rsidRPr="007B59C3" w14:paraId="21B4AB21"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16FB052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7004DC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74,352,330,731 </w:t>
            </w:r>
          </w:p>
        </w:tc>
      </w:tr>
      <w:tr w:rsidR="00F47264" w:rsidRPr="007B59C3" w14:paraId="7EF365D2"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2B15D0AE"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3504 UNIDAD ADMINISTRATIVA ESPECIAL JUNTA CENTRAL CONTADORES </w:t>
            </w:r>
            <w:r w:rsidRPr="007B59C3">
              <w:rPr>
                <w:rFonts w:ascii="Arial" w:hAnsi="Arial" w:cs="Arial"/>
                <w:sz w:val="22"/>
                <w:szCs w:val="22"/>
              </w:rPr>
              <w:t> </w:t>
            </w:r>
          </w:p>
        </w:tc>
      </w:tr>
      <w:tr w:rsidR="00F47264" w:rsidRPr="007B59C3" w14:paraId="39EEB5FF"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5A96157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AC31AF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5,984,000,000 </w:t>
            </w:r>
          </w:p>
        </w:tc>
      </w:tr>
      <w:tr w:rsidR="00F47264" w:rsidRPr="007B59C3" w14:paraId="2FD51EA2"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15C8D4E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49D410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6,000,000,000 </w:t>
            </w:r>
          </w:p>
        </w:tc>
      </w:tr>
      <w:tr w:rsidR="00F47264" w:rsidRPr="007B59C3" w14:paraId="42B61C46"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1E050C5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3505 INSTITUTO NACIONAL DE METROLOGÍA - INM </w:t>
            </w:r>
            <w:r w:rsidRPr="007B59C3">
              <w:rPr>
                <w:rFonts w:ascii="Arial" w:hAnsi="Arial" w:cs="Arial"/>
                <w:sz w:val="22"/>
                <w:szCs w:val="22"/>
              </w:rPr>
              <w:t> </w:t>
            </w:r>
          </w:p>
        </w:tc>
      </w:tr>
      <w:tr w:rsidR="00F47264" w:rsidRPr="007B59C3" w14:paraId="5FDF14E0"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5F6780A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0BF244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1,452,000,000 </w:t>
            </w:r>
          </w:p>
        </w:tc>
      </w:tr>
      <w:tr w:rsidR="00F47264" w:rsidRPr="007B59C3" w14:paraId="0C820229"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C30BCD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4C9CB1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672,722,755 </w:t>
            </w:r>
          </w:p>
        </w:tc>
      </w:tr>
      <w:tr w:rsidR="00F47264" w:rsidRPr="007B59C3" w14:paraId="0B4B98C3"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7299A49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3602 SERVICIO NACIONAL DE APRENDIZAJE (SENA) </w:t>
            </w:r>
            <w:r w:rsidRPr="007B59C3">
              <w:rPr>
                <w:rFonts w:ascii="Arial" w:hAnsi="Arial" w:cs="Arial"/>
                <w:sz w:val="22"/>
                <w:szCs w:val="22"/>
              </w:rPr>
              <w:t> </w:t>
            </w:r>
          </w:p>
        </w:tc>
      </w:tr>
      <w:tr w:rsidR="00F47264" w:rsidRPr="007B59C3" w14:paraId="15EBDFD1"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6E301FF8"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747509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385,965,750,000 </w:t>
            </w:r>
          </w:p>
        </w:tc>
      </w:tr>
      <w:tr w:rsidR="00F47264" w:rsidRPr="007B59C3" w14:paraId="137BE76C"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14F60D6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E6DC06D"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199,289,000,000 </w:t>
            </w:r>
          </w:p>
        </w:tc>
      </w:tr>
      <w:tr w:rsidR="00F47264" w:rsidRPr="007B59C3" w14:paraId="4312E317"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1369DB3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C-CONTRIBUCIONES PARAFISCALES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5F0AF982"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1,015,000,000,000 </w:t>
            </w:r>
          </w:p>
        </w:tc>
      </w:tr>
      <w:tr w:rsidR="00F47264" w:rsidRPr="007B59C3" w14:paraId="5650E8B4"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469ED4A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3708 UNIDAD NACIONAL DE PROTECCIÓN - UNP </w:t>
            </w:r>
            <w:r w:rsidRPr="007B59C3">
              <w:rPr>
                <w:rFonts w:ascii="Arial" w:hAnsi="Arial" w:cs="Arial"/>
                <w:sz w:val="22"/>
                <w:szCs w:val="22"/>
              </w:rPr>
              <w:t> </w:t>
            </w:r>
          </w:p>
        </w:tc>
      </w:tr>
      <w:tr w:rsidR="00F47264" w:rsidRPr="007B59C3" w14:paraId="601ECD91"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78FC19A7"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A711AD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68,303,000,000 </w:t>
            </w:r>
          </w:p>
        </w:tc>
      </w:tr>
      <w:tr w:rsidR="00F47264" w:rsidRPr="007B59C3" w14:paraId="4512E5E1"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18C12771"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3801 COMISIÓN NACIONAL DEL SERVICIO CIVIL </w:t>
            </w:r>
            <w:r w:rsidRPr="007B59C3">
              <w:rPr>
                <w:rFonts w:ascii="Arial" w:hAnsi="Arial" w:cs="Arial"/>
                <w:sz w:val="22"/>
                <w:szCs w:val="22"/>
              </w:rPr>
              <w:t> </w:t>
            </w:r>
          </w:p>
        </w:tc>
      </w:tr>
      <w:tr w:rsidR="00F47264" w:rsidRPr="007B59C3" w14:paraId="4A438923"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109BBB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lastRenderedPageBreak/>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6D720555"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68,248,212,205 </w:t>
            </w:r>
          </w:p>
        </w:tc>
      </w:tr>
      <w:tr w:rsidR="00F47264" w:rsidRPr="007B59C3" w14:paraId="0305DB89"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1BF0E17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4104 UNIDAD DE ATENCIÓN Y REPARACIÓN INTEGRAL A LAS VÍCTIMAS </w:t>
            </w:r>
            <w:r w:rsidRPr="007B59C3">
              <w:rPr>
                <w:rFonts w:ascii="Arial" w:hAnsi="Arial" w:cs="Arial"/>
                <w:sz w:val="22"/>
                <w:szCs w:val="22"/>
              </w:rPr>
              <w:t> </w:t>
            </w:r>
          </w:p>
        </w:tc>
      </w:tr>
      <w:tr w:rsidR="00F47264" w:rsidRPr="007B59C3" w14:paraId="7A8927D1"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12C3D9A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7E82C9E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46,350,000,000 </w:t>
            </w:r>
          </w:p>
        </w:tc>
      </w:tr>
      <w:tr w:rsidR="00F47264" w:rsidRPr="007B59C3" w14:paraId="1BCFCF66" w14:textId="77777777" w:rsidTr="00F47264">
        <w:trPr>
          <w:trHeight w:val="105"/>
          <w:tblCellSpacing w:w="0" w:type="dxa"/>
          <w:jc w:val="center"/>
        </w:trPr>
        <w:tc>
          <w:tcPr>
            <w:tcW w:w="6907" w:type="dxa"/>
            <w:gridSpan w:val="2"/>
            <w:tcBorders>
              <w:top w:val="outset" w:sz="6" w:space="0" w:color="auto"/>
              <w:left w:val="outset" w:sz="6" w:space="0" w:color="auto"/>
              <w:bottom w:val="outset" w:sz="6" w:space="0" w:color="auto"/>
              <w:right w:val="outset" w:sz="6" w:space="0" w:color="auto"/>
            </w:tcBorders>
            <w:vAlign w:val="center"/>
            <w:hideMark/>
          </w:tcPr>
          <w:p w14:paraId="7AC9690B"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b w:val="0"/>
                <w:bCs w:val="0"/>
                <w:sz w:val="22"/>
                <w:szCs w:val="22"/>
              </w:rPr>
              <w:t>4106 INSTITUTO COLOMBIANO DE BIENESTAR FAMILIAR (ICBF) </w:t>
            </w:r>
            <w:r w:rsidRPr="007B59C3">
              <w:rPr>
                <w:rFonts w:ascii="Arial" w:hAnsi="Arial" w:cs="Arial"/>
                <w:sz w:val="22"/>
                <w:szCs w:val="22"/>
              </w:rPr>
              <w:t> </w:t>
            </w:r>
          </w:p>
        </w:tc>
      </w:tr>
      <w:tr w:rsidR="00F47264" w:rsidRPr="007B59C3" w14:paraId="3DFD00D8"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0E542E09"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A-INGRESOS CORRIENTES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4E76C8A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8,404,200,000 </w:t>
            </w:r>
          </w:p>
        </w:tc>
      </w:tr>
      <w:tr w:rsidR="00F47264" w:rsidRPr="007B59C3" w14:paraId="22A69BC9"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2E162534"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B-RECURSOS DE CAPITAL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229E015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642,048,449,535 </w:t>
            </w:r>
          </w:p>
        </w:tc>
      </w:tr>
      <w:tr w:rsidR="00F47264" w:rsidRPr="007B59C3" w14:paraId="101D7501"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6CB3296F"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C-CONTRIBUCIONES PARAFISCALES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3049891A"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2,300,745,400,000 </w:t>
            </w:r>
          </w:p>
        </w:tc>
      </w:tr>
      <w:tr w:rsidR="00F47264" w:rsidRPr="007B59C3" w14:paraId="0974EFAA" w14:textId="77777777" w:rsidTr="00F47264">
        <w:trPr>
          <w:trHeight w:val="105"/>
          <w:tblCellSpacing w:w="0" w:type="dxa"/>
          <w:jc w:val="center"/>
        </w:trPr>
        <w:tc>
          <w:tcPr>
            <w:tcW w:w="3667" w:type="dxa"/>
            <w:tcBorders>
              <w:top w:val="outset" w:sz="6" w:space="0" w:color="auto"/>
              <w:left w:val="outset" w:sz="6" w:space="0" w:color="auto"/>
              <w:bottom w:val="outset" w:sz="6" w:space="0" w:color="auto"/>
              <w:right w:val="outset" w:sz="6" w:space="0" w:color="auto"/>
            </w:tcBorders>
            <w:vAlign w:val="center"/>
            <w:hideMark/>
          </w:tcPr>
          <w:p w14:paraId="551E5093"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III - TOTAL INGRESOS </w:t>
            </w:r>
          </w:p>
        </w:tc>
        <w:tc>
          <w:tcPr>
            <w:tcW w:w="3240" w:type="dxa"/>
            <w:tcBorders>
              <w:top w:val="outset" w:sz="6" w:space="0" w:color="auto"/>
              <w:left w:val="outset" w:sz="6" w:space="0" w:color="auto"/>
              <w:bottom w:val="outset" w:sz="6" w:space="0" w:color="auto"/>
              <w:right w:val="outset" w:sz="6" w:space="0" w:color="auto"/>
            </w:tcBorders>
            <w:vAlign w:val="center"/>
            <w:hideMark/>
          </w:tcPr>
          <w:p w14:paraId="0705ED80"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235,553,806,729,861 </w:t>
            </w:r>
          </w:p>
        </w:tc>
      </w:tr>
    </w:tbl>
    <w:p w14:paraId="661B0E05" w14:textId="77777777" w:rsidR="0078020B" w:rsidRPr="007B59C3" w:rsidRDefault="0078020B" w:rsidP="00F47264">
      <w:pPr>
        <w:pStyle w:val="NormalWeb"/>
        <w:spacing w:before="0" w:beforeAutospacing="0" w:after="0" w:afterAutospacing="0"/>
        <w:rPr>
          <w:rFonts w:ascii="Arial" w:hAnsi="Arial" w:cs="Arial"/>
          <w:sz w:val="22"/>
          <w:szCs w:val="22"/>
        </w:rPr>
      </w:pPr>
      <w:r w:rsidRPr="007B59C3">
        <w:rPr>
          <w:rFonts w:ascii="Arial" w:hAnsi="Arial" w:cs="Arial"/>
          <w:sz w:val="22"/>
          <w:szCs w:val="22"/>
        </w:rPr>
        <w:t>  </w:t>
      </w:r>
    </w:p>
    <w:p w14:paraId="36F5B7AC" w14:textId="77777777" w:rsidR="0078020B" w:rsidRPr="007B59C3" w:rsidRDefault="0078020B" w:rsidP="00F47264">
      <w:pPr>
        <w:pStyle w:val="NormalWeb"/>
        <w:spacing w:before="0" w:beforeAutospacing="0" w:after="0" w:afterAutospacing="0"/>
        <w:jc w:val="center"/>
        <w:rPr>
          <w:rFonts w:ascii="Arial" w:hAnsi="Arial" w:cs="Arial"/>
          <w:sz w:val="22"/>
          <w:szCs w:val="22"/>
        </w:rPr>
      </w:pPr>
      <w:r w:rsidRPr="007B59C3">
        <w:rPr>
          <w:rStyle w:val="Textoennegrita"/>
          <w:rFonts w:ascii="Arial" w:hAnsi="Arial" w:cs="Arial"/>
          <w:sz w:val="22"/>
          <w:szCs w:val="22"/>
        </w:rPr>
        <w:t>SEGUNDA PARTE</w:t>
      </w:r>
      <w:r w:rsidRPr="007B59C3">
        <w:rPr>
          <w:rFonts w:ascii="Arial" w:hAnsi="Arial" w:cs="Arial"/>
          <w:sz w:val="22"/>
          <w:szCs w:val="22"/>
        </w:rPr>
        <w:t> </w:t>
      </w:r>
    </w:p>
    <w:p w14:paraId="0B9423DE" w14:textId="77777777" w:rsidR="0078020B" w:rsidRPr="007B59C3" w:rsidRDefault="0078020B" w:rsidP="00F47264">
      <w:pPr>
        <w:pStyle w:val="NormalWeb"/>
        <w:spacing w:before="0" w:beforeAutospacing="0" w:after="0" w:afterAutospacing="0"/>
        <w:rPr>
          <w:rFonts w:ascii="Arial" w:hAnsi="Arial" w:cs="Arial"/>
          <w:sz w:val="22"/>
          <w:szCs w:val="22"/>
        </w:rPr>
      </w:pPr>
      <w:r w:rsidRPr="007B59C3">
        <w:rPr>
          <w:rFonts w:ascii="Arial" w:hAnsi="Arial" w:cs="Arial"/>
          <w:sz w:val="22"/>
          <w:szCs w:val="22"/>
        </w:rPr>
        <w:t>  </w:t>
      </w:r>
    </w:p>
    <w:p w14:paraId="62926F93" w14:textId="77777777" w:rsidR="0078020B" w:rsidRPr="007B59C3" w:rsidRDefault="0078020B" w:rsidP="00F47264">
      <w:pPr>
        <w:pStyle w:val="NormalWeb"/>
        <w:spacing w:before="0" w:beforeAutospacing="0" w:after="0" w:afterAutospacing="0"/>
        <w:jc w:val="both"/>
        <w:rPr>
          <w:rFonts w:ascii="Arial" w:hAnsi="Arial" w:cs="Arial"/>
          <w:sz w:val="22"/>
          <w:szCs w:val="22"/>
        </w:rPr>
      </w:pPr>
      <w:bookmarkStart w:id="6" w:name="ver_30138875"/>
      <w:bookmarkEnd w:id="6"/>
      <w:r w:rsidRPr="007B59C3">
        <w:rPr>
          <w:rStyle w:val="Textoennegrita"/>
          <w:rFonts w:ascii="Arial" w:hAnsi="Arial" w:cs="Arial"/>
          <w:b w:val="0"/>
          <w:bCs w:val="0"/>
          <w:sz w:val="22"/>
          <w:szCs w:val="22"/>
        </w:rPr>
        <w:t>Artículo 2°. </w:t>
      </w:r>
      <w:r w:rsidRPr="007B59C3">
        <w:rPr>
          <w:rStyle w:val="nfasis"/>
          <w:rFonts w:ascii="Arial" w:hAnsi="Arial" w:cs="Arial"/>
          <w:i w:val="0"/>
          <w:iCs w:val="0"/>
          <w:sz w:val="22"/>
          <w:szCs w:val="22"/>
        </w:rPr>
        <w:t>Presupuesto de Gastos o Ley de Apropiaciones</w:t>
      </w:r>
      <w:r w:rsidRPr="007B59C3">
        <w:rPr>
          <w:rFonts w:ascii="Arial" w:hAnsi="Arial" w:cs="Arial"/>
          <w:sz w:val="22"/>
          <w:szCs w:val="22"/>
        </w:rPr>
        <w:t>. Aprópiese para atender los gastos de funcionamiento, inversión y servicio de la deuda pública del Presupuesto General de la Nación durante la vigencia fiscal del 1° de enero al 31 de diciembre de 2018 una suma por valor de </w:t>
      </w:r>
      <w:r w:rsidRPr="007B59C3">
        <w:rPr>
          <w:rStyle w:val="nfasis"/>
          <w:rFonts w:ascii="Arial" w:hAnsi="Arial" w:cs="Arial"/>
          <w:i w:val="0"/>
          <w:iCs w:val="0"/>
          <w:sz w:val="22"/>
          <w:szCs w:val="22"/>
        </w:rPr>
        <w:t>doscientos treinta y cinco billones quinientos cincuenta y tres mil ochocientos seis millones setecientos veintinueve mil ochocientos sesenta y un pesos moneda legal ($235,553,806,729,861), </w:t>
      </w:r>
      <w:r w:rsidRPr="007B59C3">
        <w:rPr>
          <w:rFonts w:ascii="Arial" w:hAnsi="Arial" w:cs="Arial"/>
          <w:sz w:val="22"/>
          <w:szCs w:val="22"/>
        </w:rPr>
        <w:t>según el detalle que se encuentra a continuación: </w:t>
      </w:r>
    </w:p>
    <w:p w14:paraId="48D9B4F5" w14:textId="06121E48" w:rsidR="0078020B" w:rsidRPr="007B59C3" w:rsidRDefault="0078020B" w:rsidP="007B59C3">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3000972" w14:textId="77777777" w:rsidR="0078020B" w:rsidRPr="007B59C3" w:rsidRDefault="0078020B" w:rsidP="00F47264">
      <w:pPr>
        <w:pStyle w:val="NormalWeb"/>
        <w:spacing w:before="0" w:beforeAutospacing="0" w:after="0" w:afterAutospacing="0"/>
        <w:jc w:val="center"/>
        <w:rPr>
          <w:rFonts w:ascii="Arial" w:hAnsi="Arial" w:cs="Arial"/>
          <w:b/>
          <w:bCs/>
          <w:sz w:val="22"/>
          <w:szCs w:val="22"/>
        </w:rPr>
      </w:pPr>
      <w:r w:rsidRPr="007B59C3">
        <w:rPr>
          <w:rStyle w:val="Textoennegrita"/>
          <w:rFonts w:ascii="Arial" w:hAnsi="Arial" w:cs="Arial"/>
          <w:sz w:val="22"/>
          <w:szCs w:val="22"/>
        </w:rPr>
        <w:t>TERCERA PARTE</w:t>
      </w:r>
      <w:r w:rsidRPr="007B59C3">
        <w:rPr>
          <w:rFonts w:ascii="Arial" w:hAnsi="Arial" w:cs="Arial"/>
          <w:b/>
          <w:bCs/>
          <w:sz w:val="22"/>
          <w:szCs w:val="22"/>
        </w:rPr>
        <w:t> </w:t>
      </w:r>
    </w:p>
    <w:p w14:paraId="13775094" w14:textId="77777777" w:rsidR="0078020B" w:rsidRPr="007B59C3" w:rsidRDefault="0078020B" w:rsidP="00F47264">
      <w:pPr>
        <w:pStyle w:val="NormalWeb"/>
        <w:spacing w:before="0" w:beforeAutospacing="0" w:after="0" w:afterAutospacing="0"/>
        <w:jc w:val="center"/>
        <w:rPr>
          <w:rFonts w:ascii="Arial" w:hAnsi="Arial" w:cs="Arial"/>
          <w:b/>
          <w:bCs/>
          <w:sz w:val="22"/>
          <w:szCs w:val="22"/>
        </w:rPr>
      </w:pPr>
      <w:r w:rsidRPr="007B59C3">
        <w:rPr>
          <w:rStyle w:val="Textoennegrita"/>
          <w:rFonts w:ascii="Arial" w:hAnsi="Arial" w:cs="Arial"/>
          <w:sz w:val="22"/>
          <w:szCs w:val="22"/>
        </w:rPr>
        <w:t>DISPOSICIONES GENERALES</w:t>
      </w:r>
      <w:r w:rsidRPr="007B59C3">
        <w:rPr>
          <w:rFonts w:ascii="Arial" w:hAnsi="Arial" w:cs="Arial"/>
          <w:b/>
          <w:bCs/>
          <w:sz w:val="22"/>
          <w:szCs w:val="22"/>
        </w:rPr>
        <w:t> </w:t>
      </w:r>
    </w:p>
    <w:p w14:paraId="3577EB95" w14:textId="3AF54DEE" w:rsidR="0078020B" w:rsidRPr="007B59C3" w:rsidRDefault="0078020B" w:rsidP="00624637">
      <w:pPr>
        <w:pStyle w:val="NormalWeb"/>
        <w:spacing w:before="0" w:beforeAutospacing="0" w:after="0" w:afterAutospacing="0"/>
        <w:jc w:val="center"/>
        <w:rPr>
          <w:rFonts w:ascii="Arial" w:hAnsi="Arial" w:cs="Arial"/>
          <w:sz w:val="22"/>
          <w:szCs w:val="22"/>
        </w:rPr>
      </w:pPr>
      <w:r w:rsidRPr="007B59C3">
        <w:rPr>
          <w:rFonts w:ascii="Arial" w:hAnsi="Arial" w:cs="Arial"/>
          <w:b/>
          <w:bCs/>
          <w:sz w:val="22"/>
          <w:szCs w:val="22"/>
        </w:rPr>
        <w:t>  </w:t>
      </w:r>
      <w:bookmarkStart w:id="7" w:name="ver_30138876"/>
      <w:bookmarkEnd w:id="7"/>
    </w:p>
    <w:p w14:paraId="5495758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3°.</w:t>
      </w:r>
      <w:r w:rsidRPr="007B59C3">
        <w:rPr>
          <w:rFonts w:ascii="Arial" w:hAnsi="Arial" w:cs="Arial"/>
          <w:sz w:val="22"/>
          <w:szCs w:val="22"/>
        </w:rPr>
        <w:t> Las disposiciones generales del presente decreto son complementarias de las Leyes 38 de 1989, 179 de 1994, 225 de 1995, 819 de 2003, 1473 de 2011 y 1508 de 2012 y demás normas de carácter orgánico y deben aplicarse en armonía con estas. </w:t>
      </w:r>
    </w:p>
    <w:p w14:paraId="04CA204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943DBD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Estas normas rigen para los órganos que conforman el Presupuesto General de la Nación, y para los recursos de la Nación asignados a las Empresas Industriales y Comerciales del Estado y a las Sociedades de Economía Mixta con el régimen de aquellas. </w:t>
      </w:r>
    </w:p>
    <w:p w14:paraId="1B54ACFB"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A7CDAAC"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fondos sin personería jurídica deben ser creados por ley o por su autorización expresa y estarán sujetos a las normas y procedimientos establecidos en la Constitución Política, el Estatuto Orgánico del Presupuesto, del presente decreto y las demás normas que reglamenten los órganos a los cuales pertenecen. </w:t>
      </w:r>
    </w:p>
    <w:p w14:paraId="42DDC8E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1705C1E" w14:textId="0F1F1025" w:rsidR="0078020B" w:rsidRPr="007B59C3" w:rsidRDefault="00AD3686" w:rsidP="00F47264">
      <w:pPr>
        <w:pStyle w:val="NormalWeb"/>
        <w:spacing w:before="0" w:beforeAutospacing="0" w:after="0" w:afterAutospacing="0"/>
        <w:jc w:val="center"/>
        <w:rPr>
          <w:rFonts w:ascii="Arial" w:hAnsi="Arial" w:cs="Arial"/>
          <w:b/>
          <w:bCs/>
          <w:sz w:val="22"/>
          <w:szCs w:val="22"/>
        </w:rPr>
      </w:pPr>
      <w:r w:rsidRPr="007B59C3">
        <w:rPr>
          <w:rFonts w:ascii="Arial" w:hAnsi="Arial" w:cs="Arial"/>
          <w:b/>
          <w:bCs/>
          <w:sz w:val="22"/>
          <w:szCs w:val="22"/>
        </w:rPr>
        <w:t>CAPÍTULO I </w:t>
      </w:r>
    </w:p>
    <w:p w14:paraId="5E8AD8D1" w14:textId="7A4957C1" w:rsidR="0078020B" w:rsidRPr="007B59C3" w:rsidRDefault="00AD3686" w:rsidP="00F47264">
      <w:pPr>
        <w:pStyle w:val="NormalWeb"/>
        <w:spacing w:before="0" w:beforeAutospacing="0" w:after="0" w:afterAutospacing="0"/>
        <w:jc w:val="center"/>
        <w:rPr>
          <w:rFonts w:ascii="Arial" w:hAnsi="Arial" w:cs="Arial"/>
          <w:b/>
          <w:bCs/>
          <w:sz w:val="22"/>
          <w:szCs w:val="22"/>
        </w:rPr>
      </w:pPr>
      <w:r w:rsidRPr="007B59C3">
        <w:rPr>
          <w:rStyle w:val="Textoennegrita"/>
          <w:rFonts w:ascii="Arial" w:hAnsi="Arial" w:cs="Arial"/>
          <w:sz w:val="22"/>
          <w:szCs w:val="22"/>
        </w:rPr>
        <w:t>DE LAS RENTAS Y RECURSOS</w:t>
      </w:r>
      <w:r w:rsidRPr="007B59C3">
        <w:rPr>
          <w:rFonts w:ascii="Arial" w:hAnsi="Arial" w:cs="Arial"/>
          <w:b/>
          <w:bCs/>
          <w:sz w:val="22"/>
          <w:szCs w:val="22"/>
        </w:rPr>
        <w:t> </w:t>
      </w:r>
    </w:p>
    <w:p w14:paraId="6FC268F7" w14:textId="0A5816A6"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 w:name="ver_30138877"/>
      <w:bookmarkEnd w:id="8"/>
    </w:p>
    <w:p w14:paraId="1041B1A3"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w:t>
      </w:r>
      <w:r w:rsidRPr="007B59C3">
        <w:rPr>
          <w:rFonts w:ascii="Arial" w:hAnsi="Arial" w:cs="Arial"/>
          <w:sz w:val="22"/>
          <w:szCs w:val="22"/>
        </w:rPr>
        <w:t> La Dirección General de Crédito Público y Tesoro Nacional del Ministerio de Hacienda y Crédito Público informará a los diferentes órganos las fechas de perfeccionamiento y desembolso de los recursos del crédito interno y externo de la Nación. Los establecimientos públicos del orden nacional reportarán a la referida Dirección el monto y las fechas de los recursos de crédito externo e interno contratados directamente. </w:t>
      </w:r>
    </w:p>
    <w:p w14:paraId="43486EE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CD2EEE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La Dirección General de Crédito Público y Tesoro Nacional del Ministerio de Hacienda y Crédito Público conceptuará previamente sobre las solicitudes de modificación a fuentes de financiación cuando se trate de recursos de crédito de las diferentes apropiaciones que se detallen en el anexo </w:t>
      </w:r>
      <w:r w:rsidRPr="007B59C3">
        <w:rPr>
          <w:rFonts w:ascii="Arial" w:hAnsi="Arial" w:cs="Arial"/>
          <w:sz w:val="22"/>
          <w:szCs w:val="22"/>
        </w:rPr>
        <w:lastRenderedPageBreak/>
        <w:t>del decreto de liquidación, siempre y cuando no modifiquen los montos aprobados por el Congreso de la República en la ley anual. </w:t>
      </w:r>
    </w:p>
    <w:p w14:paraId="25F1AB4E" w14:textId="3505ABC8"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 w:name="ver_30138878"/>
      <w:bookmarkEnd w:id="9"/>
    </w:p>
    <w:p w14:paraId="4345891B"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w:t>
      </w:r>
      <w:r w:rsidRPr="007B59C3">
        <w:rPr>
          <w:rFonts w:ascii="Arial" w:hAnsi="Arial" w:cs="Arial"/>
          <w:sz w:val="22"/>
          <w:szCs w:val="22"/>
        </w:rPr>
        <w:t> El Gobierno nacional a través de la Dirección General de Crédito Público y Tesoro Nacional del Ministerio de Hacienda y Crédito Público podrá realizar sustituciones en el portafolio de inversiones con entidades descentralizadas, sin efectuar operación presupuestal alguna, de conformidad con las normas legales vigentes. </w:t>
      </w:r>
    </w:p>
    <w:p w14:paraId="51469100" w14:textId="43FEE6FF" w:rsidR="0078020B" w:rsidRPr="007B59C3" w:rsidRDefault="0078020B" w:rsidP="00D44F67">
      <w:pPr>
        <w:pStyle w:val="NormalWeb"/>
        <w:spacing w:before="0" w:beforeAutospacing="0" w:after="0" w:afterAutospacing="0"/>
        <w:jc w:val="both"/>
        <w:rPr>
          <w:rFonts w:ascii="Arial" w:hAnsi="Arial" w:cs="Arial"/>
        </w:rPr>
      </w:pPr>
      <w:r w:rsidRPr="007B59C3">
        <w:rPr>
          <w:rFonts w:ascii="Arial" w:hAnsi="Arial" w:cs="Arial"/>
          <w:sz w:val="22"/>
          <w:szCs w:val="22"/>
        </w:rPr>
        <w:t>  </w:t>
      </w:r>
      <w:bookmarkStart w:id="10" w:name="ver_30138879"/>
      <w:bookmarkEnd w:id="10"/>
    </w:p>
    <w:p w14:paraId="1B359AB3"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w:t>
      </w:r>
      <w:r w:rsidRPr="007B59C3">
        <w:rPr>
          <w:rFonts w:ascii="Arial" w:hAnsi="Arial" w:cs="Arial"/>
          <w:sz w:val="22"/>
          <w:szCs w:val="22"/>
        </w:rPr>
        <w:t> Los ingresos corrientes de la Nación y aquellas contribuciones y recursos que en las normas legales no se haya autorizado su recaudo y manejo a otro órgano, deben consignarse en la Dirección General de Crédito Público y Tesoro Nacional del Ministerio de Hacienda y Crédito Público. </w:t>
      </w:r>
    </w:p>
    <w:p w14:paraId="727C7581"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BB4C3B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Las entidades estatales del orden nacional que no hagan parte del Sistema de Cuenta Única Nacional podrán delegar en la Dirección General de Crédito Público y Tesoro Nacional la administración de sus excedentes de liquidez, para lo cual suscribirán directamente con la Dirección General de Crédito Público y Tesoro Nacional los acuerdos a que haya lugar. </w:t>
      </w:r>
    </w:p>
    <w:p w14:paraId="50C4DBAE"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B2C95C1"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Las superintendencias que no sean una sección presupuestal deben consignar mensualmente, en la Dirección General de Crédito Público y Tesoro Nacional del Ministerio de Hacienda y Crédito Público el valor de las contribuciones establecidas en la ley. </w:t>
      </w:r>
    </w:p>
    <w:p w14:paraId="22626C95" w14:textId="09FDF4BC"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 w:name="ver_30138880"/>
      <w:bookmarkEnd w:id="11"/>
    </w:p>
    <w:p w14:paraId="34EC456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w:t>
      </w:r>
      <w:r w:rsidRPr="007B59C3">
        <w:rPr>
          <w:rFonts w:ascii="Arial" w:hAnsi="Arial" w:cs="Arial"/>
          <w:sz w:val="22"/>
          <w:szCs w:val="22"/>
        </w:rPr>
        <w:t> El Ministerio de Hacienda y Crédito Público a través de la Dirección General de Crédito Público y Tesoro Nacional fijará los criterios técnicos y las condiciones para el manejo de los excedentes de liquidez del Tesoro Nacional acorde con los objetivos monetarios, cambiarios y de tasa de interés a corto y largo plazo. </w:t>
      </w:r>
    </w:p>
    <w:p w14:paraId="1F7DFDF4" w14:textId="36303CFD"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 w:name="ver_30138881"/>
      <w:bookmarkEnd w:id="12"/>
    </w:p>
    <w:p w14:paraId="3F842A7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8°.</w:t>
      </w:r>
      <w:r w:rsidRPr="007B59C3">
        <w:rPr>
          <w:rFonts w:ascii="Arial" w:hAnsi="Arial" w:cs="Arial"/>
          <w:sz w:val="22"/>
          <w:szCs w:val="22"/>
        </w:rPr>
        <w:t> El Gobierno nacional podrá emitir títulos de Tesorería, TES, Clase “B”, con base en la facultad de la Ley 51 de 1990 de acuerdo con las siguientes reglas: no contarán con la garantía solidaria del Banco de la República; el estimativo de los ingresos producto de su colocación se incluirá en el Presupuesto General de la Nación como recursos de capital, con excepción de los provenientes de la colocación de títulos para operaciones temporales de tesorería y los que se emitan para regular la liquidez de la economía; sus rendimientos se atenderán con cargo al Presupuesto General de la Nación con excepción de los que se emitan para regular la liquidez de la economía; su redención se atenderá con cargo a los recursos del Presupuesto General de la Nación, con excepción de las operaciones temporales de tesorería, y los que se emitan para regular la liquidez de la economía; podrán ser administrados directamente por la Nación; podrán ser denominados en moneda extranjera; su emisión solo requerirá del decreto que la autorice, fije el monto y sus condiciones financieras; la emisión destinada a financiar las apropiaciones presupuestales estará limitada por el monto de estas; su emisión no afectará el cupo de endeudamiento. </w:t>
      </w:r>
    </w:p>
    <w:p w14:paraId="75ACA541" w14:textId="1B7979E7"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3" w:name="ver_30138882"/>
      <w:bookmarkEnd w:id="13"/>
    </w:p>
    <w:p w14:paraId="7B4C961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9°.</w:t>
      </w:r>
      <w:r w:rsidRPr="007B59C3">
        <w:rPr>
          <w:rFonts w:ascii="Arial" w:hAnsi="Arial" w:cs="Arial"/>
          <w:sz w:val="22"/>
          <w:szCs w:val="22"/>
        </w:rPr>
        <w:t xml:space="preserve"> Los rendimientos financieros originados con recursos de la </w:t>
      </w:r>
      <w:proofErr w:type="gramStart"/>
      <w:r w:rsidRPr="007B59C3">
        <w:rPr>
          <w:rFonts w:ascii="Arial" w:hAnsi="Arial" w:cs="Arial"/>
          <w:sz w:val="22"/>
          <w:szCs w:val="22"/>
        </w:rPr>
        <w:t>Nación,</w:t>
      </w:r>
      <w:proofErr w:type="gramEnd"/>
      <w:r w:rsidRPr="007B59C3">
        <w:rPr>
          <w:rFonts w:ascii="Arial" w:hAnsi="Arial" w:cs="Arial"/>
          <w:sz w:val="22"/>
          <w:szCs w:val="22"/>
        </w:rPr>
        <w:t xml:space="preserve"> deben consignarse en la Dirección General de Crédito Público y Tesoro Nacional del Ministerio de Hacienda y Crédito Público, con excepción de aquellos rendimientos originados por patrimonios autónomos que la ley haya autorizado. </w:t>
      </w:r>
    </w:p>
    <w:p w14:paraId="4426C45A"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E477C0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reglamentación expedida por el Gobierno nacional para efectos de la periodicidad, metodología de cálculo, forma de liquidación y traslado de dichos rendimientos, continuará vigente durante el término de este decreto. </w:t>
      </w:r>
    </w:p>
    <w:p w14:paraId="376CD488"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  </w:t>
      </w:r>
    </w:p>
    <w:p w14:paraId="6CE430F0" w14:textId="6F3BDBC2"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Los rendimientos financieros originados en recursos Nación de los Fondos Especiales Sin Situación de Fondos que a 31 de diciembre de 2017 no hayan sido incorporados presupuestalmente, harán parte de los Rendimientos Financieros de la Nación. Para el efecto, la Dirección General de Crédito Público y Tesoro Nacional establecerá el procedimiento para su incorporación.   </w:t>
      </w:r>
    </w:p>
    <w:p w14:paraId="093651F7" w14:textId="77777777" w:rsidR="0078020B" w:rsidRPr="007B59C3" w:rsidRDefault="0078020B" w:rsidP="00F47264">
      <w:pPr>
        <w:spacing w:after="0" w:line="240" w:lineRule="auto"/>
        <w:rPr>
          <w:rFonts w:ascii="Arial" w:hAnsi="Arial" w:cs="Arial"/>
        </w:rPr>
      </w:pPr>
      <w:bookmarkStart w:id="14" w:name="ver_30138883"/>
      <w:bookmarkEnd w:id="14"/>
    </w:p>
    <w:p w14:paraId="03F31E11"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w:t>
      </w:r>
      <w:r w:rsidRPr="007B59C3">
        <w:rPr>
          <w:rFonts w:ascii="Arial" w:hAnsi="Arial" w:cs="Arial"/>
          <w:sz w:val="22"/>
          <w:szCs w:val="22"/>
        </w:rPr>
        <w:t> </w:t>
      </w:r>
      <w:proofErr w:type="spellStart"/>
      <w:r w:rsidRPr="007B59C3">
        <w:rPr>
          <w:rFonts w:ascii="Arial" w:hAnsi="Arial" w:cs="Arial"/>
          <w:sz w:val="22"/>
          <w:szCs w:val="22"/>
        </w:rPr>
        <w:t>Facúltase</w:t>
      </w:r>
      <w:proofErr w:type="spellEnd"/>
      <w:r w:rsidRPr="007B59C3">
        <w:rPr>
          <w:rFonts w:ascii="Arial" w:hAnsi="Arial" w:cs="Arial"/>
          <w:sz w:val="22"/>
          <w:szCs w:val="22"/>
        </w:rPr>
        <w:t xml:space="preserve"> a la Dirección General de Crédito Público y Tesoro Nacional del Ministerio de Hacienda y Crédito Público para que realice las siguientes operaciones: compra y venta de títulos valores emitidos por la Nación, el Banco de la República, Fondo de Garantías de Instituciones Financieras (</w:t>
      </w:r>
      <w:proofErr w:type="spellStart"/>
      <w:r w:rsidRPr="007B59C3">
        <w:rPr>
          <w:rFonts w:ascii="Arial" w:hAnsi="Arial" w:cs="Arial"/>
          <w:sz w:val="22"/>
          <w:szCs w:val="22"/>
        </w:rPr>
        <w:t>Fogafín</w:t>
      </w:r>
      <w:proofErr w:type="spellEnd"/>
      <w:r w:rsidRPr="007B59C3">
        <w:rPr>
          <w:rFonts w:ascii="Arial" w:hAnsi="Arial" w:cs="Arial"/>
          <w:sz w:val="22"/>
          <w:szCs w:val="22"/>
        </w:rPr>
        <w:t>), entidades sujetas al control y vigilancia de la Superintendencia Financiera de Colombia y otros gobiernos y tesorerías; compra de deuda de la Nación; compras con pacto de retroventa operaciones repo, simultáneas y transferencia temporal de valores con entidades públicas y con entidades financieras sujetas al control y vigilancia de la Superintendencia Financiera de Colombia; depósitos remunerados e inversiones financieras en entidades sujetas al control y vigilancia de la Superintendencia Financiera de Colombia; depósitos a término y compras de títulos emitidos por entidades bancarias y financieras del exterior; inversiones en instrumentos del mercado monetario administrados por entidades financieras del exterior, operaciones de cubrimiento de riesgos; y las demás que autorice el Gobierno nacional; asimismo, préstamos transitorios a la Dirección General de Crédito Público y Tesoro Nacional del Ministerio de Hacienda y Crédito Público, reconociendo tasa de mercado durante el período de utilización, evento que no implica unidad de caja; y préstamos de títulos valores a la citada Dirección a tasas de mercado. </w:t>
      </w:r>
    </w:p>
    <w:p w14:paraId="20D52188"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B74307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Las operaciones de las que trata este artículo, así como los actos y contratos necesarios para su ejecución, se sujetarán a las normas aplicables a las operaciones correspondientes y se podrán atender con cargo al servicio a la deuda. </w:t>
      </w:r>
    </w:p>
    <w:p w14:paraId="270134B6" w14:textId="7F232B4C"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5" w:name="ver_30138884"/>
      <w:bookmarkEnd w:id="15"/>
    </w:p>
    <w:p w14:paraId="744FF7BD"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w:t>
      </w:r>
      <w:r w:rsidRPr="007B59C3">
        <w:rPr>
          <w:rFonts w:ascii="Arial" w:hAnsi="Arial" w:cs="Arial"/>
          <w:sz w:val="22"/>
          <w:szCs w:val="22"/>
        </w:rPr>
        <w:t> La liquidación de los excedentes financieros de que trata el Estatuto Orgánico del Presupuesto, que se efectúen en la vigencia del presente decreto, se hará con base en una proyección de los ingresos y de los gastos para la vigencia siguiente a la de corte de los Estados Financieros, en donde se incluyen además las cuentas por cobrar y por pagar exigibles no presupuestadas, las reservas presupuestales, así como la disponibilidad inicial (caja, bancos e inversiones). </w:t>
      </w:r>
    </w:p>
    <w:p w14:paraId="41891D22" w14:textId="5A861DC6"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6" w:name="ver_30138885"/>
      <w:bookmarkEnd w:id="16"/>
    </w:p>
    <w:p w14:paraId="442F863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w:t>
      </w:r>
      <w:r w:rsidRPr="007B59C3">
        <w:rPr>
          <w:rFonts w:ascii="Arial" w:hAnsi="Arial" w:cs="Arial"/>
          <w:sz w:val="22"/>
          <w:szCs w:val="22"/>
        </w:rPr>
        <w:t xml:space="preserve"> Los títulos que se emitan para efectuar transferencia temporal de valores en los términos del artículo 146 de la Ley 1753 de 2015, solo requerirán del decreto que lo autorice, fije el monto y sus condiciones financieras. Su redención y demás valores </w:t>
      </w:r>
      <w:proofErr w:type="gramStart"/>
      <w:r w:rsidRPr="007B59C3">
        <w:rPr>
          <w:rFonts w:ascii="Arial" w:hAnsi="Arial" w:cs="Arial"/>
          <w:sz w:val="22"/>
          <w:szCs w:val="22"/>
        </w:rPr>
        <w:t>asociados,</w:t>
      </w:r>
      <w:proofErr w:type="gramEnd"/>
      <w:r w:rsidRPr="007B59C3">
        <w:rPr>
          <w:rFonts w:ascii="Arial" w:hAnsi="Arial" w:cs="Arial"/>
          <w:sz w:val="22"/>
          <w:szCs w:val="22"/>
        </w:rPr>
        <w:t xml:space="preserve"> se atenderán con el producto de la operación de transferencia y no requerirán de operación presupuestal alguna. </w:t>
      </w:r>
    </w:p>
    <w:p w14:paraId="1E0D4147" w14:textId="7E9749B5"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7" w:name="ver_30138886"/>
      <w:bookmarkEnd w:id="17"/>
    </w:p>
    <w:p w14:paraId="7D8DF95C"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w:t>
      </w:r>
      <w:r w:rsidRPr="007B59C3">
        <w:rPr>
          <w:rFonts w:ascii="Arial" w:hAnsi="Arial" w:cs="Arial"/>
          <w:sz w:val="22"/>
          <w:szCs w:val="22"/>
        </w:rPr>
        <w:t> A más tardar el 20 de enero de 2018, los órganos que conforman el Presupuesto General de la Nación deben realizar la imputación por concepto de ingresos a que corresponden los registros detallados de recaudos de su gestión financiera pública a 31 de diciembre del año anterior en el Sistema Integrado de Información Financiera - SIIF Nación. </w:t>
      </w:r>
    </w:p>
    <w:p w14:paraId="4AA443F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ACF68C4" w14:textId="324C897F" w:rsidR="0078020B" w:rsidRPr="007B59C3" w:rsidRDefault="00590777" w:rsidP="00F47264">
      <w:pPr>
        <w:pStyle w:val="NormalWeb"/>
        <w:spacing w:before="0" w:beforeAutospacing="0" w:after="0" w:afterAutospacing="0"/>
        <w:jc w:val="center"/>
        <w:rPr>
          <w:rFonts w:ascii="Arial" w:hAnsi="Arial" w:cs="Arial"/>
          <w:b/>
          <w:bCs/>
          <w:sz w:val="22"/>
          <w:szCs w:val="22"/>
        </w:rPr>
      </w:pPr>
      <w:r w:rsidRPr="007B59C3">
        <w:rPr>
          <w:rFonts w:ascii="Arial" w:hAnsi="Arial" w:cs="Arial"/>
          <w:b/>
          <w:bCs/>
          <w:sz w:val="22"/>
          <w:szCs w:val="22"/>
        </w:rPr>
        <w:t>CAPÍTULO II </w:t>
      </w:r>
    </w:p>
    <w:p w14:paraId="21F2F67B" w14:textId="37144660" w:rsidR="0078020B" w:rsidRPr="007B59C3" w:rsidRDefault="00590777" w:rsidP="00F47264">
      <w:pPr>
        <w:pStyle w:val="NormalWeb"/>
        <w:spacing w:before="0" w:beforeAutospacing="0" w:after="0" w:afterAutospacing="0"/>
        <w:jc w:val="center"/>
        <w:rPr>
          <w:rFonts w:ascii="Arial" w:hAnsi="Arial" w:cs="Arial"/>
          <w:b/>
          <w:bCs/>
          <w:sz w:val="22"/>
          <w:szCs w:val="22"/>
        </w:rPr>
      </w:pPr>
      <w:r w:rsidRPr="007B59C3">
        <w:rPr>
          <w:rStyle w:val="Textoennegrita"/>
          <w:rFonts w:ascii="Arial" w:hAnsi="Arial" w:cs="Arial"/>
          <w:sz w:val="22"/>
          <w:szCs w:val="22"/>
        </w:rPr>
        <w:t>DE LOS GASTOS</w:t>
      </w:r>
      <w:r w:rsidRPr="007B59C3">
        <w:rPr>
          <w:rFonts w:ascii="Arial" w:hAnsi="Arial" w:cs="Arial"/>
          <w:b/>
          <w:bCs/>
          <w:sz w:val="22"/>
          <w:szCs w:val="22"/>
        </w:rPr>
        <w:t> </w:t>
      </w:r>
    </w:p>
    <w:p w14:paraId="00E686E8"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7C5AC39" w14:textId="77777777" w:rsidR="0078020B" w:rsidRPr="007B59C3" w:rsidRDefault="0078020B" w:rsidP="00F47264">
      <w:pPr>
        <w:pStyle w:val="NormalWeb"/>
        <w:spacing w:before="0" w:beforeAutospacing="0" w:after="0" w:afterAutospacing="0"/>
        <w:jc w:val="both"/>
        <w:rPr>
          <w:rFonts w:ascii="Arial" w:hAnsi="Arial" w:cs="Arial"/>
          <w:sz w:val="22"/>
          <w:szCs w:val="22"/>
        </w:rPr>
      </w:pPr>
      <w:bookmarkStart w:id="18" w:name="ver_30138887"/>
      <w:bookmarkEnd w:id="18"/>
      <w:r w:rsidRPr="007B59C3">
        <w:rPr>
          <w:rStyle w:val="Textoennegrita"/>
          <w:rFonts w:ascii="Arial" w:hAnsi="Arial" w:cs="Arial"/>
          <w:b w:val="0"/>
          <w:bCs w:val="0"/>
          <w:sz w:val="22"/>
          <w:szCs w:val="22"/>
        </w:rPr>
        <w:lastRenderedPageBreak/>
        <w:t>Artículo 14.</w:t>
      </w:r>
      <w:r w:rsidRPr="007B59C3">
        <w:rPr>
          <w:rFonts w:ascii="Arial" w:hAnsi="Arial" w:cs="Arial"/>
          <w:sz w:val="22"/>
          <w:szCs w:val="22"/>
        </w:rPr>
        <w:t> Las afectaciones al presupuesto se harán teniendo en cuenta la prestación principal originada en los compromisos que se adquieran y con cargo a este rubro se cubrirán los demás costos inherentes o accesorios. </w:t>
      </w:r>
    </w:p>
    <w:p w14:paraId="256D022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0E74AD3" w14:textId="5494DAA6"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Con cargo a las apropiaciones de cada rubro presupuestal, que sean afectadas con los compromisos, se atenderán las obligaciones derivadas de estos compromisos, tales como los costos imprevistos, ajustes y revisión de valores e intereses moratorios, gravámenes a los movimientos financieros y gastos de nacionalización.   </w:t>
      </w:r>
    </w:p>
    <w:p w14:paraId="142E4C55" w14:textId="77777777" w:rsidR="0078020B" w:rsidRPr="007B59C3" w:rsidRDefault="0078020B" w:rsidP="00F47264">
      <w:pPr>
        <w:spacing w:after="0" w:line="240" w:lineRule="auto"/>
        <w:rPr>
          <w:rFonts w:ascii="Arial" w:hAnsi="Arial" w:cs="Arial"/>
        </w:rPr>
      </w:pPr>
      <w:bookmarkStart w:id="19" w:name="ver_30138888"/>
      <w:bookmarkEnd w:id="19"/>
    </w:p>
    <w:p w14:paraId="4F331DE3"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15.</w:t>
      </w:r>
      <w:r w:rsidRPr="007B59C3">
        <w:rPr>
          <w:rFonts w:ascii="Arial" w:hAnsi="Arial" w:cs="Arial"/>
          <w:sz w:val="22"/>
          <w:szCs w:val="22"/>
        </w:rPr>
        <w:t> Prohíbase tramitar actos administrativos u obligaciones que afecten el presupuesto de gastos cuando no reúnan los requisitos legales o se configuren como hechos cumplidos. El representante legal y ordenador del gasto o en quienes estos hayan delegado, responderán disciplinaria, fiscal y penalmente por incumplir lo establecido en esta norma. </w:t>
      </w:r>
    </w:p>
    <w:p w14:paraId="004A39BE" w14:textId="7D1194DE"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20" w:name="ver_30138889"/>
      <w:bookmarkEnd w:id="20"/>
    </w:p>
    <w:p w14:paraId="3A95E0E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16.</w:t>
      </w:r>
      <w:r w:rsidRPr="007B59C3">
        <w:rPr>
          <w:rFonts w:ascii="Arial" w:hAnsi="Arial" w:cs="Arial"/>
          <w:sz w:val="22"/>
          <w:szCs w:val="22"/>
        </w:rPr>
        <w:t> Para proveer empleos vacantes se requerirá el certificado de disponibilidad presupuestal por la vigencia fiscal de 2018. Por medio de este, el jefe de presupuesto o quien haga sus veces garantizará la existencia de los recursos del 1° de enero al 31 de diciembre de 2018, por todo concepto de gastos de personal, salvo que el nombramiento sea en reemplazo de un cargo provisto o creado durante la vigencia, para lo cual se deberá expedir el certificado de disponibilidad presupuestal por lo que resta del año fiscal. </w:t>
      </w:r>
    </w:p>
    <w:p w14:paraId="22E1BE3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94AD9A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Toda provisión de empleos de los servidores públicos deberá corresponder a los previstos en la planta de personal, incluyendo las vinculaciones de los trabajadores oficiales y tener previstos sus emolumentos de conformidad con el artículo 122 de la Constitución Política, los cuales están programados atendiendo lo señalado en el artículo 92 de la Ley 617 de 2000. </w:t>
      </w:r>
    </w:p>
    <w:p w14:paraId="578C08A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2349841"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vinculación de supernumerarios, por periodos superiores a tres meses, deberá ser autorizada mediante resolución suscrita por el jefe del respectivo órgano. </w:t>
      </w:r>
    </w:p>
    <w:p w14:paraId="7329935B" w14:textId="0810F281"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21" w:name="ver_30138890"/>
      <w:bookmarkEnd w:id="21"/>
    </w:p>
    <w:p w14:paraId="1D06F38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17.</w:t>
      </w:r>
      <w:r w:rsidRPr="007B59C3">
        <w:rPr>
          <w:rFonts w:ascii="Arial" w:hAnsi="Arial" w:cs="Arial"/>
          <w:sz w:val="22"/>
          <w:szCs w:val="22"/>
        </w:rPr>
        <w:t> La solicitud de modificación a las plantas de personal requerirá para su consideración y trámite, por parte del Ministerio de Hacienda y Crédito Público - Dirección General del Presupuesto Público Nacional, los siguientes requisitos: </w:t>
      </w:r>
    </w:p>
    <w:p w14:paraId="2EBA8533"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494BD9C"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1. Exposición de motivos. </w:t>
      </w:r>
    </w:p>
    <w:p w14:paraId="6B8EAE31" w14:textId="77777777" w:rsidR="00590777" w:rsidRDefault="00590777" w:rsidP="00F47264">
      <w:pPr>
        <w:pStyle w:val="NormalWeb"/>
        <w:spacing w:before="0" w:beforeAutospacing="0" w:after="0" w:afterAutospacing="0"/>
        <w:jc w:val="both"/>
        <w:rPr>
          <w:rFonts w:ascii="Arial" w:hAnsi="Arial" w:cs="Arial"/>
          <w:sz w:val="22"/>
          <w:szCs w:val="22"/>
        </w:rPr>
      </w:pPr>
    </w:p>
    <w:p w14:paraId="193AD979" w14:textId="1FDC900B"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2. Costos comparativos de las plantas vigente y propuesta. </w:t>
      </w:r>
    </w:p>
    <w:p w14:paraId="0D910111" w14:textId="77777777" w:rsidR="00590777" w:rsidRDefault="00590777" w:rsidP="00F47264">
      <w:pPr>
        <w:pStyle w:val="NormalWeb"/>
        <w:spacing w:before="0" w:beforeAutospacing="0" w:after="0" w:afterAutospacing="0"/>
        <w:jc w:val="both"/>
        <w:rPr>
          <w:rFonts w:ascii="Arial" w:hAnsi="Arial" w:cs="Arial"/>
          <w:sz w:val="22"/>
          <w:szCs w:val="22"/>
        </w:rPr>
      </w:pPr>
    </w:p>
    <w:p w14:paraId="01B5BB98" w14:textId="5BBD707B"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3. Efectos sobre los gastos generales. </w:t>
      </w:r>
    </w:p>
    <w:p w14:paraId="2977C39F" w14:textId="77777777" w:rsidR="00590777" w:rsidRDefault="00590777" w:rsidP="00F47264">
      <w:pPr>
        <w:pStyle w:val="NormalWeb"/>
        <w:spacing w:before="0" w:beforeAutospacing="0" w:after="0" w:afterAutospacing="0"/>
        <w:jc w:val="both"/>
        <w:rPr>
          <w:rFonts w:ascii="Arial" w:hAnsi="Arial" w:cs="Arial"/>
          <w:sz w:val="22"/>
          <w:szCs w:val="22"/>
        </w:rPr>
      </w:pPr>
    </w:p>
    <w:p w14:paraId="33EA7862" w14:textId="0EE2AF9D"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4. Concepto del Departamento Nacional de Planeación si se afectan los gastos de inversión y </w:t>
      </w:r>
    </w:p>
    <w:p w14:paraId="5F0D0629" w14:textId="77777777" w:rsidR="00590777" w:rsidRDefault="00590777" w:rsidP="00F47264">
      <w:pPr>
        <w:pStyle w:val="NormalWeb"/>
        <w:spacing w:before="0" w:beforeAutospacing="0" w:after="0" w:afterAutospacing="0"/>
        <w:jc w:val="both"/>
        <w:rPr>
          <w:rFonts w:ascii="Arial" w:hAnsi="Arial" w:cs="Arial"/>
          <w:sz w:val="22"/>
          <w:szCs w:val="22"/>
        </w:rPr>
      </w:pPr>
    </w:p>
    <w:p w14:paraId="451909FE" w14:textId="72987D54"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5. Los demás que la Dirección General del Presupuesto Público Nacional considere pertinentes. </w:t>
      </w:r>
    </w:p>
    <w:p w14:paraId="6CA11D3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BEA3C1D"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El Departamento Administrativo de la Función Pública aprobará las propuestas de modificaciones a las plantas de personal, cuando hayan obtenido concepto o viabilidad presupuestal del Ministerio de Hacienda y Crédito Público - Dirección General del Presupuesto Público Nacional. </w:t>
      </w:r>
    </w:p>
    <w:p w14:paraId="7ECCCEA6" w14:textId="30BF1C20"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22" w:name="ver_30138891"/>
      <w:bookmarkEnd w:id="22"/>
    </w:p>
    <w:p w14:paraId="1220A8F3"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18.</w:t>
      </w:r>
      <w:r w:rsidRPr="007B59C3">
        <w:rPr>
          <w:rFonts w:ascii="Arial" w:hAnsi="Arial" w:cs="Arial"/>
          <w:sz w:val="22"/>
          <w:szCs w:val="22"/>
        </w:rPr>
        <w:t xml:space="preserve"> Los recursos destinados a programas de capacitación y bienestar social no pueden tener por objeto crear o incrementar salarios, bonificaciones, sobresueldos, primas, prestaciones sociales, remuneraciones extralegales o estímulos pecuniarios ocasionales que la ley no haya </w:t>
      </w:r>
      <w:r w:rsidRPr="007B59C3">
        <w:rPr>
          <w:rFonts w:ascii="Arial" w:hAnsi="Arial" w:cs="Arial"/>
          <w:sz w:val="22"/>
          <w:szCs w:val="22"/>
        </w:rPr>
        <w:lastRenderedPageBreak/>
        <w:t>establecido para los servidores públicos, ni servir para otorgar beneficios directos en dinero o en especie. </w:t>
      </w:r>
    </w:p>
    <w:p w14:paraId="09FE227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57CB479"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Todos los funcionarios públicos podrán participar en los programas de capacitación de la entidad; las matrículas de los funcionarios se girarán directamente a los establecimientos educativos, salvo lo previsto por el artículo 114 de la Ley 30 de 1992, modificado por el artículo 27 de la Ley 1450 de 2011. Su otorgamiento se hará en virtud de la reglamentación interna del órgano respectivo. </w:t>
      </w:r>
    </w:p>
    <w:p w14:paraId="2E97F786" w14:textId="0F4D3EF2"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23" w:name="ver_30138892"/>
      <w:bookmarkEnd w:id="23"/>
    </w:p>
    <w:p w14:paraId="16FFA3E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19.</w:t>
      </w:r>
      <w:r w:rsidRPr="007B59C3">
        <w:rPr>
          <w:rFonts w:ascii="Arial" w:hAnsi="Arial" w:cs="Arial"/>
          <w:sz w:val="22"/>
          <w:szCs w:val="22"/>
        </w:rPr>
        <w:t> La constitución y funcionamiento de las cajas menores en los órganos que conforman el Presupuesto General de la Nación, y en las entidades nacionales con régimen presupuestal de Empresas Industriales y Comerciales del Estado con carácter no financiero, respecto de los recursos que le asigna la Nación, se rigen por el Decreto 1068 de 2015 y demás normas que lo modifiquen o adicionen. </w:t>
      </w:r>
    </w:p>
    <w:p w14:paraId="6951D17F" w14:textId="1AD12A8B"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24" w:name="ver_30138893"/>
      <w:bookmarkEnd w:id="24"/>
    </w:p>
    <w:p w14:paraId="02DEF3F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20.</w:t>
      </w:r>
      <w:r w:rsidRPr="007B59C3">
        <w:rPr>
          <w:rFonts w:ascii="Arial" w:hAnsi="Arial" w:cs="Arial"/>
          <w:sz w:val="22"/>
          <w:szCs w:val="22"/>
        </w:rPr>
        <w:t> Se podrán hacer distribuciones en el presupuesto de ingresos y gastos, sin cambiar su destinación, mediante resolución suscrita por el jefe del respectivo órgano. En el caso de los establecimientos públicos del orden nacional, estas distribuciones se harán por resolución o acuerdo de las juntas o consejos directivos. Si no existen juntas o consejos directivos, lo hará el representante legal de estos. Estas operaciones presupuestales se someterán a la aprobación del Ministerio de Hacienda y Crédito Público - Dirección General del Presupuesto Público Nacional, y tratándose de gastos de inversión, requerirán el concepto previo favorable del Departamento Nacional de Planeación - Dirección de Inversiones y Finanzas Públicas. </w:t>
      </w:r>
    </w:p>
    <w:p w14:paraId="3E431E9B"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FF9F72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jefes de los órganos responderán por la legalidad de los actos en mención. </w:t>
      </w:r>
    </w:p>
    <w:p w14:paraId="238B71A8"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793EF6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A fin de evitar duplicaciones en los casos en los cuales la distribución afecte el presupuesto de otro órgano que haga parte del Presupuesto General de la Nación, el mismo acto administrativo servirá de base para realizar los ajustes correspondientes en el órgano que distribuye e incorporar las del órgano receptor. La ejecución presupuestal de estas deberá efectuarse por parte de los órganos receptores en la misma vigencia de la distribución. </w:t>
      </w:r>
    </w:p>
    <w:p w14:paraId="415342AA"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231593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Tratándose de gastos de inversión la operación presupuestal descrita, en el órgano receptor se clasificará en el programa y subprograma a ejecutar que corresponda, para los gastos de funcionamiento se asignará al rubro presupuestal correspondiente; estas operaciones de inversión y funcionamiento en ningún caso podrán cambiar la destinación ni la cuantía, lo cual deberá constar en el acto administrativo que para tal fin se expida. </w:t>
      </w:r>
    </w:p>
    <w:p w14:paraId="2A38443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B9D8C0E"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El jefe del órgano o en quien este haya delegado la ordenación del gasto podrá efectuar mediante resolución desagregaciones presupuestales a las apropiaciones contenidas en el anexo del decreto de liquidación, así como efectuar asignaciones internas de apropiaciones en sus dependencias, seccionales o regionales a fin de facilitar su manejo operativo y de gestión, sin que las mismas impliquen cambiar su destinación. Estas desagregaciones y asignaciones deberán quedar registradas en el Sistema Integrado de Información Financiera - SIIF Nación, y para su validez no requerirán aprobación del Ministerio de Hacienda y Crédito Público - Dirección General del Presupuesto Público Nacional ni del previo concepto favorable por parte del Departamento Nacional de Planeación - Dirección de Inversiones y Finanzas Públicas tratándose de gastos de inversión. </w:t>
      </w:r>
    </w:p>
    <w:p w14:paraId="4BCF9DCD" w14:textId="0DF2181E" w:rsidR="0078020B" w:rsidRPr="007B59C3" w:rsidRDefault="0078020B" w:rsidP="00624637">
      <w:pPr>
        <w:pStyle w:val="NormalWeb"/>
        <w:spacing w:before="0" w:beforeAutospacing="0" w:after="0" w:afterAutospacing="0"/>
        <w:rPr>
          <w:rFonts w:ascii="Arial" w:hAnsi="Arial" w:cs="Arial"/>
          <w:sz w:val="22"/>
          <w:szCs w:val="22"/>
        </w:rPr>
      </w:pPr>
      <w:r w:rsidRPr="007B59C3">
        <w:rPr>
          <w:rFonts w:ascii="Arial" w:hAnsi="Arial" w:cs="Arial"/>
          <w:sz w:val="22"/>
          <w:szCs w:val="22"/>
        </w:rPr>
        <w:t>  </w:t>
      </w:r>
      <w:bookmarkStart w:id="25" w:name="ver_30138894"/>
      <w:bookmarkEnd w:id="25"/>
    </w:p>
    <w:p w14:paraId="76E5AA4B"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21.</w:t>
      </w:r>
      <w:r w:rsidRPr="007B59C3">
        <w:rPr>
          <w:rFonts w:ascii="Arial" w:hAnsi="Arial" w:cs="Arial"/>
          <w:sz w:val="22"/>
          <w:szCs w:val="22"/>
        </w:rPr>
        <w:t> Los órganos de que trata el artículo 3° del presente decreto podrán pactar anticipos únicamente cuando cuenten con Programa Anual Mensualizado de Caja (PAC), aprobado. </w:t>
      </w:r>
    </w:p>
    <w:p w14:paraId="4B7848F8" w14:textId="29A0FDE1"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  </w:t>
      </w:r>
      <w:bookmarkStart w:id="26" w:name="ver_30138895"/>
      <w:bookmarkEnd w:id="26"/>
    </w:p>
    <w:p w14:paraId="60942C7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22.</w:t>
      </w:r>
      <w:r w:rsidRPr="007B59C3">
        <w:rPr>
          <w:rFonts w:ascii="Arial" w:hAnsi="Arial" w:cs="Arial"/>
          <w:sz w:val="22"/>
          <w:szCs w:val="22"/>
        </w:rPr>
        <w:t> El Gobierno nacional en el decreto de liquidación clasificará los ingresos y gastos y definirá estos últimos. </w:t>
      </w:r>
    </w:p>
    <w:p w14:paraId="2F7A6098"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4D863C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Asimismo, cuando las partidas se incorporen en numerales rentísticos, secciones, programas y subprogramas que no correspondan a su objeto o naturaleza, las ubicará en el sitio que corresponda. </w:t>
      </w:r>
    </w:p>
    <w:p w14:paraId="7C7800A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2BF396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Dirección General del Presupuesto Público Nacional del Ministerio de Hacienda y Crédito Público hará mediante resolución, las operaciones que en igual sentido se requieran durante el transcurso de la vigencia. </w:t>
      </w:r>
    </w:p>
    <w:p w14:paraId="1D09F9C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2BF8369"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Cuando se trate del presupuesto de gastos de inversión requerirá el concepto previo favorable del Departamento Nacional de Planeación - Dirección de Inversiones y Finanzas Públicas. </w:t>
      </w:r>
    </w:p>
    <w:p w14:paraId="1885F6BA" w14:textId="02A4E424"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27" w:name="ver_30138896"/>
      <w:bookmarkEnd w:id="27"/>
    </w:p>
    <w:p w14:paraId="6656F670" w14:textId="11B23C79" w:rsidR="0078020B"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23.</w:t>
      </w:r>
      <w:r w:rsidRPr="007B59C3">
        <w:rPr>
          <w:rFonts w:ascii="Arial" w:hAnsi="Arial" w:cs="Arial"/>
          <w:sz w:val="22"/>
          <w:szCs w:val="22"/>
        </w:rPr>
        <w:t> El Ministerio de Hacienda y Crédito Público - Dirección General del Presupuesto Público Nacional, de oficio o a petición del jefe del órgano respectivo, hará por resolución las aclaraciones y correcciones de leyenda necesarias para enmendar los errores de transcripción y aritméticos que figuren en el Presupuesto General de la Nación para la vigencia fiscal de 2018. </w:t>
      </w:r>
    </w:p>
    <w:p w14:paraId="7DC69ECF" w14:textId="77777777" w:rsidR="00590777" w:rsidRPr="007B59C3" w:rsidRDefault="00590777" w:rsidP="00F47264">
      <w:pPr>
        <w:pStyle w:val="NormalWeb"/>
        <w:spacing w:before="0" w:beforeAutospacing="0" w:after="0" w:afterAutospacing="0"/>
        <w:jc w:val="both"/>
        <w:rPr>
          <w:rFonts w:ascii="Arial" w:hAnsi="Arial" w:cs="Arial"/>
          <w:sz w:val="22"/>
          <w:szCs w:val="22"/>
        </w:rPr>
      </w:pPr>
    </w:p>
    <w:p w14:paraId="313921B9"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Cuando se trate de aclaraciones y correcciones de leyenda del presupuesto de gastos de inversión, se requerirá el concepto previo favorable del Departamento Nacional de Planeación - Dirección de Inversiones y Finanzas Públicas. </w:t>
      </w:r>
    </w:p>
    <w:p w14:paraId="6C8BDF6E" w14:textId="7DB629B4"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28" w:name="ver_30138897"/>
      <w:bookmarkEnd w:id="28"/>
    </w:p>
    <w:p w14:paraId="4D07801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24. </w:t>
      </w:r>
      <w:r w:rsidRPr="007B59C3">
        <w:rPr>
          <w:rFonts w:ascii="Arial" w:hAnsi="Arial" w:cs="Arial"/>
          <w:sz w:val="22"/>
          <w:szCs w:val="22"/>
        </w:rPr>
        <w:t>Los órganos de que trata el artículo 3° del presente decreto son los únicos responsables por el registro de su gestión financiera pública en el Sistema Integrado de Información Financiera SIIF - Nación. </w:t>
      </w:r>
    </w:p>
    <w:p w14:paraId="33C8BE7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73F3D69"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No se requerirá el envío de ninguna información a la Dirección General del Presupuesto Público Nacional del Ministerio de Hacienda y Crédito Público, que quede registrada en el Sistema Integrado de Información Financiera SIIF - Nación, salvo en aquellos casos en que esta de forma expresa lo solicite. </w:t>
      </w:r>
    </w:p>
    <w:p w14:paraId="44B36E9E" w14:textId="15148821"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29" w:name="ver_30138898"/>
      <w:bookmarkEnd w:id="29"/>
    </w:p>
    <w:p w14:paraId="32A78123"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25.</w:t>
      </w:r>
      <w:r w:rsidRPr="007B59C3">
        <w:rPr>
          <w:rFonts w:ascii="Arial" w:hAnsi="Arial" w:cs="Arial"/>
          <w:sz w:val="22"/>
          <w:szCs w:val="22"/>
        </w:rPr>
        <w:t> Cuando los órganos que hacen parte del Presupuesto General de la Nación celebren contratos entre sí, que afecten sus presupuestos, con excepción de los de crédito, harán los ajustes mediante resoluciones del jefe del órgano respectivo. En el caso de los establecimientos públicos del orden nacional, las Superintendencias y Unidades Administrativas Especiales con personería jurídica, así como las señaladas en el artículo 5° del Estatuto Orgánico del Presupuesto, dichos ajustes deben realizarse por acuerdo o resolución de las juntas o consejos directivos o el representante legal del órgano, si no existen juntas o consejos directivos. </w:t>
      </w:r>
    </w:p>
    <w:p w14:paraId="5F11D81B"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A9C6D1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actos administrativos a que se refiere el inciso anterior deberán ser remitidos al Ministerio de Hacienda y Crédito Público - Dirección General del Presupuesto Público Nacional, acompañados del respectivo certificado en que se haga constar que se recaudarán los recursos, expedido por el órgano contratista y su justificación económica, para la aprobación de las operaciones presupuestales en ellos contenidas, requisito sin el cual no podrán ser ejecutados. De conformidad con el artículo 8° de la Ley 819 de 2003, los recursos deberán ser incorporados y ejecutados en la misma vigencia fiscal en la que se lleve a cabo la aprobación. </w:t>
      </w:r>
    </w:p>
    <w:p w14:paraId="6E11A05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540D7B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Cuando en los convenios se pacte pago anticipado y para el cumplimiento de su objeto el órgano contratista requiera contratar con un tercero, solo podrá solicitarse el giro efectivo de los recursos a la Dirección General de Crédito Público y Tesoro Nacional una vez dicho órgano adquiera el compromiso presupuestal y se encuentren cumplidos los requisitos que hagan exigible su pago a favor del beneficiario final. </w:t>
      </w:r>
    </w:p>
    <w:p w14:paraId="139F49B1"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0DABB1A"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Tratándose de gastos de inversión, requerirán el concepto previo favorable del Departamento Nacional de Planeación - Dirección de Inversiones y Finanzas Públicas. </w:t>
      </w:r>
    </w:p>
    <w:p w14:paraId="4248D04D"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FE8138E" w14:textId="5592FA08"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jefes de los órganos responderán por la legalidad de los actos en mención.   </w:t>
      </w:r>
    </w:p>
    <w:p w14:paraId="5542E728" w14:textId="77777777" w:rsidR="0078020B" w:rsidRPr="007B59C3" w:rsidRDefault="0078020B" w:rsidP="00F47264">
      <w:pPr>
        <w:spacing w:after="0" w:line="240" w:lineRule="auto"/>
        <w:rPr>
          <w:rFonts w:ascii="Arial" w:hAnsi="Arial" w:cs="Arial"/>
        </w:rPr>
      </w:pPr>
      <w:bookmarkStart w:id="30" w:name="ver_30138899"/>
      <w:bookmarkEnd w:id="30"/>
    </w:p>
    <w:p w14:paraId="02AAC8B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26.</w:t>
      </w:r>
      <w:r w:rsidRPr="007B59C3">
        <w:rPr>
          <w:rFonts w:ascii="Arial" w:hAnsi="Arial" w:cs="Arial"/>
          <w:sz w:val="22"/>
          <w:szCs w:val="22"/>
        </w:rPr>
        <w:t xml:space="preserve"> Salvo lo dispuesto por el artículo 47 de la Ley 1450 de 2011, ningún órgano podrá contraer compromisos que impliquen el pago de cuotas a organismos internacionales con cargo al Presupuesto General de la Nación, sin que exista la ley aprobatoria de tratados públicos o que el </w:t>
      </w:r>
      <w:proofErr w:type="gramStart"/>
      <w:r w:rsidRPr="007B59C3">
        <w:rPr>
          <w:rFonts w:ascii="Arial" w:hAnsi="Arial" w:cs="Arial"/>
          <w:sz w:val="22"/>
          <w:szCs w:val="22"/>
        </w:rPr>
        <w:t>Presidente</w:t>
      </w:r>
      <w:proofErr w:type="gramEnd"/>
      <w:r w:rsidRPr="007B59C3">
        <w:rPr>
          <w:rFonts w:ascii="Arial" w:hAnsi="Arial" w:cs="Arial"/>
          <w:sz w:val="22"/>
          <w:szCs w:val="22"/>
        </w:rPr>
        <w:t xml:space="preserve"> de la República haya autorizado su aplicación provisional en los términos del artículo 224 de la Constitución Política. </w:t>
      </w:r>
    </w:p>
    <w:p w14:paraId="6CE1FC0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48D73B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Una vez cumplidos los requisitos del inciso anterior, previa autorización del Ministerio de Relaciones Exteriores, los establecimientos públicos del orden nacional solo podrán pagar con cargo a sus recursos propios las cuotas a dichos organismos. </w:t>
      </w:r>
    </w:p>
    <w:p w14:paraId="319C99EE"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FCA1B9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aportes y contribuciones de la República de Colombia a los organismos financieros internacionales se pagarán con cargo al Presupuesto General de la Nación, salvo en aquellos casos en que los aportes se contabilicen como reservas internacionales, que serán pagados de conformidad con lo previsto en la Ley 31 de 1992 o aquellas que la modifiquen o adicionen. </w:t>
      </w:r>
    </w:p>
    <w:p w14:paraId="67928CA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C2A15F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Los compromisos que se adquieran en el marco de tratados o convenios internacionales, de los cuales Colombia haga parte y cuya vinculación haya sido aprobada por ley de la República, no requerirán de autorización de vigencias futuras, no </w:t>
      </w:r>
      <w:proofErr w:type="gramStart"/>
      <w:r w:rsidRPr="007B59C3">
        <w:rPr>
          <w:rFonts w:ascii="Arial" w:hAnsi="Arial" w:cs="Arial"/>
          <w:sz w:val="22"/>
          <w:szCs w:val="22"/>
        </w:rPr>
        <w:t>obstante</w:t>
      </w:r>
      <w:proofErr w:type="gramEnd"/>
      <w:r w:rsidRPr="007B59C3">
        <w:rPr>
          <w:rFonts w:ascii="Arial" w:hAnsi="Arial" w:cs="Arial"/>
          <w:sz w:val="22"/>
          <w:szCs w:val="22"/>
        </w:rPr>
        <w:t xml:space="preserve"> se deberá contar con aval fiscal previo por parte del Consejo Superior de Política Fiscal (</w:t>
      </w:r>
      <w:proofErr w:type="spellStart"/>
      <w:r w:rsidRPr="007B59C3">
        <w:rPr>
          <w:rFonts w:ascii="Arial" w:hAnsi="Arial" w:cs="Arial"/>
          <w:sz w:val="22"/>
          <w:szCs w:val="22"/>
        </w:rPr>
        <w:t>Confis</w:t>
      </w:r>
      <w:proofErr w:type="spellEnd"/>
      <w:r w:rsidRPr="007B59C3">
        <w:rPr>
          <w:rFonts w:ascii="Arial" w:hAnsi="Arial" w:cs="Arial"/>
          <w:sz w:val="22"/>
          <w:szCs w:val="22"/>
        </w:rPr>
        <w:t>). </w:t>
      </w:r>
    </w:p>
    <w:p w14:paraId="7A1B0612" w14:textId="472021E6"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31" w:name="ver_30138900"/>
      <w:bookmarkEnd w:id="31"/>
    </w:p>
    <w:p w14:paraId="79C4E75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27.</w:t>
      </w:r>
      <w:r w:rsidRPr="007B59C3">
        <w:rPr>
          <w:rFonts w:ascii="Arial" w:hAnsi="Arial" w:cs="Arial"/>
          <w:sz w:val="22"/>
          <w:szCs w:val="22"/>
        </w:rPr>
        <w:t> Los órganos que conforman el Presupuesto General de la Nación deben reintegrar, dentro del primer trimestre de 2018, a la Dirección General de Crédito Público y Tesoro Nacional del Ministerio de Hacienda y Crédito Público los recursos de la Nación, y a sus tesorerías cuando correspondan a recursos propios, que no estén amparando compromisos u obligaciones, y que correspondan a apropiaciones presupuestales de vigencias fiscales anteriores, incluidos sus rendimientos financieros, diferencial cambiario, y demás réditos originados en aquellos, con el soporte correspondiente. </w:t>
      </w:r>
    </w:p>
    <w:p w14:paraId="11EB9F6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74E8E61"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presente disposición también se aplica a los recursos de convenios celebrados con organismos internacionales, incluyendo los de contrapartida. </w:t>
      </w:r>
    </w:p>
    <w:p w14:paraId="4018FE61" w14:textId="7B411C16"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32" w:name="ver_30138901"/>
      <w:bookmarkEnd w:id="32"/>
    </w:p>
    <w:p w14:paraId="19E3B43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28.</w:t>
      </w:r>
      <w:r w:rsidRPr="007B59C3">
        <w:rPr>
          <w:rFonts w:ascii="Arial" w:hAnsi="Arial" w:cs="Arial"/>
          <w:sz w:val="22"/>
          <w:szCs w:val="22"/>
        </w:rPr>
        <w:t> Cuando exista apropiación presupuestal en el servicio de la deuda pública podrán efectuarse anticipos en el pago de operaciones de crédito público. Igualmente podrán atenderse con cargo a la vigencia en curso las obligaciones del servicio de la deuda pública correspondiente al mes de enero de 2019. </w:t>
      </w:r>
    </w:p>
    <w:p w14:paraId="764FB348" w14:textId="04715D92"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33" w:name="ver_30138902"/>
      <w:bookmarkEnd w:id="33"/>
    </w:p>
    <w:p w14:paraId="6A9DD733"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29. </w:t>
      </w:r>
      <w:r w:rsidRPr="007B59C3">
        <w:rPr>
          <w:rFonts w:ascii="Arial" w:hAnsi="Arial" w:cs="Arial"/>
          <w:sz w:val="22"/>
          <w:szCs w:val="22"/>
        </w:rPr>
        <w:t>La representación legal y la ordenación del gasto del servicio de la deuda están a cargo del Ministro de Hacienda y Crédito Público o de quien este delegue, según las disposiciones de la Ley Orgánica del Presupuesto. </w:t>
      </w:r>
    </w:p>
    <w:p w14:paraId="052D0C1B" w14:textId="3290173F" w:rsidR="0078020B" w:rsidRPr="007B59C3" w:rsidRDefault="0078020B" w:rsidP="00F47264">
      <w:pPr>
        <w:pStyle w:val="NormalWeb"/>
        <w:spacing w:before="0" w:beforeAutospacing="0" w:after="0" w:afterAutospacing="0"/>
        <w:jc w:val="both"/>
        <w:rPr>
          <w:rFonts w:ascii="Arial" w:hAnsi="Arial" w:cs="Arial"/>
          <w:sz w:val="22"/>
          <w:szCs w:val="22"/>
        </w:rPr>
      </w:pPr>
      <w:bookmarkStart w:id="34" w:name="ver_30138903"/>
      <w:bookmarkEnd w:id="34"/>
      <w:r w:rsidRPr="007B59C3">
        <w:rPr>
          <w:rStyle w:val="Textoennegrita"/>
          <w:rFonts w:ascii="Arial" w:hAnsi="Arial" w:cs="Arial"/>
          <w:b w:val="0"/>
          <w:bCs w:val="0"/>
          <w:sz w:val="22"/>
          <w:szCs w:val="22"/>
        </w:rPr>
        <w:lastRenderedPageBreak/>
        <w:t>Artículo 30.</w:t>
      </w:r>
      <w:r w:rsidRPr="007B59C3">
        <w:rPr>
          <w:rFonts w:ascii="Arial" w:hAnsi="Arial" w:cs="Arial"/>
          <w:sz w:val="22"/>
          <w:szCs w:val="22"/>
        </w:rPr>
        <w:t> Los gastos que sean necesarios para la administración, consecución y servicio de las operaciones de crédito público, las asimiladas a ellas, las propias del manejo de la deuda incluyendo las operaciones de tesorería del Tesoro Nacional, las operaciones conexas y las demás relacionadas con los recursos del crédito serán atendidos con cargo a las apropiaciones del servicio de la deuda pública. </w:t>
      </w:r>
    </w:p>
    <w:p w14:paraId="2C362DCB"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587914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Las operaciones conexas a las operaciones relacionadas con crédito público, así como las operaciones de tesorería, y los actos y contratos necesarios para la ejecución de estas, podrán ser atendidas con cargo a las apropiaciones del servicio de la deuda pública. </w:t>
      </w:r>
    </w:p>
    <w:p w14:paraId="2CDC092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0592E1D"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De conformidad con el artículo 46 del Estatuto Orgánico del Presupuesto, las pérdidas del Banco de la República se atenderán mediante la emisión de bonos u otros títulos de deuda pública. Adicionalmente y conforme lo establece el parágrafo 3° del artículo 167 de la Ley 1607 de 2012, para cubrir las obligaciones a cargo del Fondo de Estabilización de Precios a los Combustibles (FEPC), se podrán atender mediante la emisión de bonos u otros títulos de deuda pública. </w:t>
      </w:r>
    </w:p>
    <w:p w14:paraId="484AC07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6C56179"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En contrapartida de las obligaciones a cargo del Fondo de Estabilización de Precios a los Combustibles (FEPC), atendidas mediante la emisión de bonos u otros títulos de deuda pública, la Nación constituirá las respectivas cuentas por cobrar. </w:t>
      </w:r>
    </w:p>
    <w:p w14:paraId="0D39688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E6BC96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emisión de los bonos o títulos de que trata el presente artículo se realizará en condiciones de mercado, no implicará operación presupuestal alguna y solo debe presupuestarse para efectos de su redención. </w:t>
      </w:r>
    </w:p>
    <w:p w14:paraId="381A3D6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1B248E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El Fondo de Estabilización de que trata el presente artículo podrá efectuar cruce de cuentas con otras entidades del Estado, respecto de derechos y obligaciones que recíprocamente tengan causadas. Al cierre de la vigencia fiscal se establecerán los saldos definitivos que han de incorporarse en el Presupuesto General de la Nación de las siguientes vigencias fiscales si a ello hubiere lugar. </w:t>
      </w:r>
    </w:p>
    <w:p w14:paraId="0FA3670A" w14:textId="77777777" w:rsidR="0078020B" w:rsidRPr="007B59C3" w:rsidRDefault="0078020B" w:rsidP="00F47264">
      <w:pPr>
        <w:pStyle w:val="NormalWeb"/>
        <w:spacing w:before="0" w:beforeAutospacing="0" w:after="0" w:afterAutospacing="0"/>
        <w:jc w:val="both"/>
        <w:rPr>
          <w:rFonts w:ascii="Arial" w:hAnsi="Arial" w:cs="Arial"/>
          <w:b/>
          <w:bCs/>
          <w:sz w:val="22"/>
          <w:szCs w:val="22"/>
        </w:rPr>
      </w:pPr>
      <w:r w:rsidRPr="007B59C3">
        <w:rPr>
          <w:rFonts w:ascii="Arial" w:hAnsi="Arial" w:cs="Arial"/>
          <w:sz w:val="22"/>
          <w:szCs w:val="22"/>
        </w:rPr>
        <w:t>  </w:t>
      </w:r>
    </w:p>
    <w:p w14:paraId="0AB4A90D" w14:textId="77777777" w:rsidR="0078020B" w:rsidRPr="007B59C3" w:rsidRDefault="0078020B" w:rsidP="00F47264">
      <w:pPr>
        <w:pStyle w:val="NormalWeb"/>
        <w:spacing w:before="0" w:beforeAutospacing="0" w:after="0" w:afterAutospacing="0"/>
        <w:jc w:val="center"/>
        <w:rPr>
          <w:rFonts w:ascii="Arial" w:hAnsi="Arial" w:cs="Arial"/>
          <w:b/>
          <w:bCs/>
          <w:sz w:val="22"/>
          <w:szCs w:val="22"/>
        </w:rPr>
      </w:pPr>
      <w:r w:rsidRPr="007B59C3">
        <w:rPr>
          <w:rFonts w:ascii="Arial" w:hAnsi="Arial" w:cs="Arial"/>
          <w:b/>
          <w:bCs/>
          <w:sz w:val="22"/>
          <w:szCs w:val="22"/>
        </w:rPr>
        <w:t>CAPÍTULO III </w:t>
      </w:r>
    </w:p>
    <w:p w14:paraId="4FC616F6" w14:textId="25FCC83C" w:rsidR="0078020B" w:rsidRPr="007B59C3" w:rsidRDefault="00590777" w:rsidP="00F47264">
      <w:pPr>
        <w:pStyle w:val="NormalWeb"/>
        <w:spacing w:before="0" w:beforeAutospacing="0" w:after="0" w:afterAutospacing="0"/>
        <w:jc w:val="center"/>
        <w:rPr>
          <w:rFonts w:ascii="Arial" w:hAnsi="Arial" w:cs="Arial"/>
          <w:b/>
          <w:bCs/>
          <w:sz w:val="22"/>
          <w:szCs w:val="22"/>
        </w:rPr>
      </w:pPr>
      <w:r w:rsidRPr="007B59C3">
        <w:rPr>
          <w:rStyle w:val="Textoennegrita"/>
          <w:rFonts w:ascii="Arial" w:hAnsi="Arial" w:cs="Arial"/>
          <w:sz w:val="22"/>
          <w:szCs w:val="22"/>
        </w:rPr>
        <w:t>DE LAS RESERVAS PRESUPUESTALES Y CUENTAS POR PAGAR</w:t>
      </w:r>
      <w:r w:rsidRPr="007B59C3">
        <w:rPr>
          <w:rFonts w:ascii="Arial" w:hAnsi="Arial" w:cs="Arial"/>
          <w:b/>
          <w:bCs/>
          <w:sz w:val="22"/>
          <w:szCs w:val="22"/>
        </w:rPr>
        <w:t> </w:t>
      </w:r>
    </w:p>
    <w:p w14:paraId="29D3EFC1" w14:textId="5A19CDA7" w:rsidR="0078020B" w:rsidRPr="007B59C3" w:rsidRDefault="00590777"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35" w:name="ver_30138904"/>
      <w:bookmarkEnd w:id="35"/>
    </w:p>
    <w:p w14:paraId="42A17B95"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31.</w:t>
      </w:r>
      <w:r w:rsidRPr="007B59C3">
        <w:rPr>
          <w:rFonts w:ascii="Arial" w:hAnsi="Arial" w:cs="Arial"/>
          <w:sz w:val="22"/>
          <w:szCs w:val="22"/>
        </w:rPr>
        <w:t> A través del Sistema Integrado de Información Financiera SIIF - Nación se constituirán con corte a 31 de diciembre de 2017 las reservas presupuestales y cuentas por pagar de cada una de las secciones del Presupuesto General de la Nación, a las que se refiere el artículo 89 del Estatuto Orgánico del Presupuesto. Como máximo, las reservas presupuestales corresponderán a la diferencia entre los compromisos y las obligaciones, y las cuentas por pagar por la diferencia entre las obligaciones y los pagos. </w:t>
      </w:r>
    </w:p>
    <w:p w14:paraId="480ECD0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ADBA34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Para que a 31 de diciembre de 2017 se puedan registrar obligaciones sobre anticipos pactados o la recepción de bienes o servicios, se deberá contar con el correspondiente programa anual mensualizado de caja de la vigencia. </w:t>
      </w:r>
    </w:p>
    <w:p w14:paraId="571508E1"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D029141"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Como quiera que el Sistema Integrado de Información Financiera - SIIF Nación refleja el detalle, la secuencia y el resultado de la información financiera pública, registrada por las entidades y órganos que conforman el Presupuesto General de la Nación, no se requiere el envío de ningún soporte físico a la Dirección General del Presupuesto Público Nacional, ni a la Dirección General de Crédito Público y Tesoro Nacional, salvo que las mismas lo requieran. </w:t>
      </w:r>
    </w:p>
    <w:p w14:paraId="468B4B9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8DEFB86"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Si durante el año de la vigencia de la reserva presupuestal o de la cuenta por pagar desaparece el compromiso u obligación que las originó, se podrán hacer los ajustes respectivos en el Sistema Integrado de Información Financiera - SIIF Nación. </w:t>
      </w:r>
    </w:p>
    <w:p w14:paraId="194DF522" w14:textId="30CA0FA6"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36" w:name="ver_30138905"/>
      <w:bookmarkEnd w:id="36"/>
    </w:p>
    <w:p w14:paraId="4B5A5882" w14:textId="59317E45"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32.</w:t>
      </w:r>
      <w:r w:rsidRPr="007B59C3">
        <w:rPr>
          <w:rFonts w:ascii="Arial" w:hAnsi="Arial" w:cs="Arial"/>
          <w:sz w:val="22"/>
          <w:szCs w:val="22"/>
        </w:rPr>
        <w:t> Las entidades que hacen parte del Presupuesto General de la Nación y que administran recursos para el pago de pensiones podrán constituir reservas presupuestales o cuentas por pagar con los saldos de apropiación que a 31 de diciembre se registren en el Sistema Integrado de Información Financiera SIIF - Nación para estos propósitos. Lo anterior se entenderá como una provisión para atender el pago oportuno del pasivo pensional a cargo de dichas entidades en la siguiente vigencia.   </w:t>
      </w:r>
    </w:p>
    <w:p w14:paraId="6402463F" w14:textId="77777777" w:rsidR="0078020B" w:rsidRPr="007B59C3" w:rsidRDefault="0078020B" w:rsidP="00F47264">
      <w:pPr>
        <w:spacing w:after="0" w:line="240" w:lineRule="auto"/>
        <w:rPr>
          <w:rFonts w:ascii="Arial" w:hAnsi="Arial" w:cs="Arial"/>
        </w:rPr>
      </w:pPr>
      <w:bookmarkStart w:id="37" w:name="ver_30138906"/>
      <w:bookmarkEnd w:id="37"/>
    </w:p>
    <w:p w14:paraId="464DC29E"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33.</w:t>
      </w:r>
      <w:r w:rsidRPr="007B59C3">
        <w:rPr>
          <w:rFonts w:ascii="Arial" w:hAnsi="Arial" w:cs="Arial"/>
          <w:sz w:val="22"/>
          <w:szCs w:val="22"/>
        </w:rPr>
        <w:t> En lo relacionado con las cuentas por pagar y las reservas presupuestales, el presupuesto inicial correspondiente a la vigencia fiscal de 2018 cumple con lo establecido en el artículo 31 de la Ley 344 de 1996 y el artículo 9° de la Ley 225 de 1995. </w:t>
      </w:r>
    </w:p>
    <w:p w14:paraId="302FF82C"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B50827B" w14:textId="77777777" w:rsidR="0078020B" w:rsidRPr="007B59C3" w:rsidRDefault="0078020B" w:rsidP="00F47264">
      <w:pPr>
        <w:pStyle w:val="NormalWeb"/>
        <w:spacing w:before="0" w:beforeAutospacing="0" w:after="0" w:afterAutospacing="0"/>
        <w:jc w:val="center"/>
        <w:rPr>
          <w:rFonts w:ascii="Arial" w:hAnsi="Arial" w:cs="Arial"/>
          <w:b/>
          <w:bCs/>
          <w:sz w:val="22"/>
          <w:szCs w:val="22"/>
        </w:rPr>
      </w:pPr>
      <w:r w:rsidRPr="007B59C3">
        <w:rPr>
          <w:rFonts w:ascii="Arial" w:hAnsi="Arial" w:cs="Arial"/>
          <w:b/>
          <w:bCs/>
          <w:sz w:val="22"/>
          <w:szCs w:val="22"/>
        </w:rPr>
        <w:t>CAPÍTULO IV </w:t>
      </w:r>
    </w:p>
    <w:p w14:paraId="1AAA8200" w14:textId="35DC5AA0" w:rsidR="0078020B" w:rsidRPr="007B59C3" w:rsidRDefault="00590777" w:rsidP="00F47264">
      <w:pPr>
        <w:pStyle w:val="NormalWeb"/>
        <w:spacing w:before="0" w:beforeAutospacing="0" w:after="0" w:afterAutospacing="0"/>
        <w:jc w:val="center"/>
        <w:rPr>
          <w:rFonts w:ascii="Arial" w:hAnsi="Arial" w:cs="Arial"/>
          <w:b/>
          <w:bCs/>
          <w:sz w:val="22"/>
          <w:szCs w:val="22"/>
        </w:rPr>
      </w:pPr>
      <w:r w:rsidRPr="007B59C3">
        <w:rPr>
          <w:rStyle w:val="Textoennegrita"/>
          <w:rFonts w:ascii="Arial" w:hAnsi="Arial" w:cs="Arial"/>
          <w:sz w:val="22"/>
          <w:szCs w:val="22"/>
        </w:rPr>
        <w:t>DE LAS VIGENCIAS FUTURAS</w:t>
      </w:r>
      <w:r w:rsidRPr="007B59C3">
        <w:rPr>
          <w:rFonts w:ascii="Arial" w:hAnsi="Arial" w:cs="Arial"/>
          <w:b/>
          <w:bCs/>
          <w:sz w:val="22"/>
          <w:szCs w:val="22"/>
        </w:rPr>
        <w:t> </w:t>
      </w:r>
    </w:p>
    <w:p w14:paraId="1A4A0142"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6D646CC" w14:textId="77777777" w:rsidR="0078020B" w:rsidRPr="007B59C3" w:rsidRDefault="0078020B" w:rsidP="00F47264">
      <w:pPr>
        <w:pStyle w:val="NormalWeb"/>
        <w:spacing w:before="0" w:beforeAutospacing="0" w:after="0" w:afterAutospacing="0"/>
        <w:jc w:val="both"/>
        <w:rPr>
          <w:rFonts w:ascii="Arial" w:hAnsi="Arial" w:cs="Arial"/>
          <w:sz w:val="22"/>
          <w:szCs w:val="22"/>
        </w:rPr>
      </w:pPr>
      <w:bookmarkStart w:id="38" w:name="ver_30138907"/>
      <w:bookmarkEnd w:id="38"/>
      <w:r w:rsidRPr="007B59C3">
        <w:rPr>
          <w:rStyle w:val="Textoennegrita"/>
          <w:rFonts w:ascii="Arial" w:hAnsi="Arial" w:cs="Arial"/>
          <w:b w:val="0"/>
          <w:bCs w:val="0"/>
          <w:sz w:val="22"/>
          <w:szCs w:val="22"/>
        </w:rPr>
        <w:t>Artículo 34.</w:t>
      </w:r>
      <w:r w:rsidRPr="007B59C3">
        <w:rPr>
          <w:rFonts w:ascii="Arial" w:hAnsi="Arial" w:cs="Arial"/>
          <w:sz w:val="22"/>
          <w:szCs w:val="22"/>
        </w:rPr>
        <w:t> Las autorizaciones otorgadas por el Consejo Superior de Política Fiscal (</w:t>
      </w:r>
      <w:proofErr w:type="spellStart"/>
      <w:r w:rsidRPr="007B59C3">
        <w:rPr>
          <w:rFonts w:ascii="Arial" w:hAnsi="Arial" w:cs="Arial"/>
          <w:sz w:val="22"/>
          <w:szCs w:val="22"/>
        </w:rPr>
        <w:t>Confis</w:t>
      </w:r>
      <w:proofErr w:type="spellEnd"/>
      <w:r w:rsidRPr="007B59C3">
        <w:rPr>
          <w:rFonts w:ascii="Arial" w:hAnsi="Arial" w:cs="Arial"/>
          <w:sz w:val="22"/>
          <w:szCs w:val="22"/>
        </w:rPr>
        <w:t>), o quien este delegue para la asunción de obligaciones que afecten presupuestos de vigencias futuras deberán respetar, en todo momento, las condiciones sobre las cuales se otorgó. </w:t>
      </w:r>
    </w:p>
    <w:p w14:paraId="7566E483"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7595EB8"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Las entidades u órganos que requieran modificar el plazo y/o los cupos anuales de vigencias futuras autorizados por el Consejo Superior de Política Fiscal (</w:t>
      </w:r>
      <w:proofErr w:type="spellStart"/>
      <w:r w:rsidRPr="007B59C3">
        <w:rPr>
          <w:rFonts w:ascii="Arial" w:hAnsi="Arial" w:cs="Arial"/>
          <w:sz w:val="22"/>
          <w:szCs w:val="22"/>
        </w:rPr>
        <w:t>Confis</w:t>
      </w:r>
      <w:proofErr w:type="spellEnd"/>
      <w:r w:rsidRPr="007B59C3">
        <w:rPr>
          <w:rFonts w:ascii="Arial" w:hAnsi="Arial" w:cs="Arial"/>
          <w:sz w:val="22"/>
          <w:szCs w:val="22"/>
        </w:rPr>
        <w:t>), o quien este delegue requerirán, de manera previa a la asunción de la respectiva obligación o a la modificación de las condiciones de la obligación existente, de la reprogramación de las vigencias futuras en donde se especifique el nuevo plazo y/o cupos anuales autorizados. </w:t>
      </w:r>
    </w:p>
    <w:p w14:paraId="0A936654"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3C961CE"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Cuando con posterioridad al otorgamiento de una autorización de vigencias futuras, la entidad u órgano requiera la modificación del objeto u objetos o el monto de la contraprestación a su cargo, será necesario adelantar ante el Consejo Superior de Política Fiscal (</w:t>
      </w:r>
      <w:proofErr w:type="spellStart"/>
      <w:r w:rsidRPr="007B59C3">
        <w:rPr>
          <w:rFonts w:ascii="Arial" w:hAnsi="Arial" w:cs="Arial"/>
          <w:sz w:val="22"/>
          <w:szCs w:val="22"/>
        </w:rPr>
        <w:t>Confis</w:t>
      </w:r>
      <w:proofErr w:type="spellEnd"/>
      <w:r w:rsidRPr="007B59C3">
        <w:rPr>
          <w:rFonts w:ascii="Arial" w:hAnsi="Arial" w:cs="Arial"/>
          <w:sz w:val="22"/>
          <w:szCs w:val="22"/>
        </w:rPr>
        <w:t>), o su delegado la solicitud de una nueva autorización de vigencias futuras que ampare las modificaciones o adiciones requeridas de manera previa a la asunción de la respectiva obligación o a la modificación de las condiciones de la obligación existente. </w:t>
      </w:r>
    </w:p>
    <w:p w14:paraId="6FBA0C0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F6B58FB"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 1°.</w:t>
      </w:r>
      <w:r w:rsidRPr="007B59C3">
        <w:rPr>
          <w:rFonts w:ascii="Arial" w:hAnsi="Arial" w:cs="Arial"/>
          <w:sz w:val="22"/>
          <w:szCs w:val="22"/>
        </w:rPr>
        <w:t> Las modificaciones al monto de la contraprestación a cargo de la entidad solicitante, que tengan origen exclusivamente en los ajustes financieros del monto y que no se encuentren asociados a la provisión de bienes o servicios adicionales a los previstos inicialmente, se tramitarán como una reprogramación de vigencias futuras. </w:t>
      </w:r>
    </w:p>
    <w:p w14:paraId="64416E1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D2A8C6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 2°.</w:t>
      </w:r>
      <w:r w:rsidRPr="007B59C3">
        <w:rPr>
          <w:rFonts w:ascii="Arial" w:hAnsi="Arial" w:cs="Arial"/>
          <w:sz w:val="22"/>
          <w:szCs w:val="22"/>
        </w:rPr>
        <w:t xml:space="preserve"> Lo anterior sin perjuicio de </w:t>
      </w:r>
      <w:proofErr w:type="gramStart"/>
      <w:r w:rsidRPr="007B59C3">
        <w:rPr>
          <w:rFonts w:ascii="Arial" w:hAnsi="Arial" w:cs="Arial"/>
          <w:sz w:val="22"/>
          <w:szCs w:val="22"/>
        </w:rPr>
        <w:t>que</w:t>
      </w:r>
      <w:proofErr w:type="gramEnd"/>
      <w:r w:rsidRPr="007B59C3">
        <w:rPr>
          <w:rFonts w:ascii="Arial" w:hAnsi="Arial" w:cs="Arial"/>
          <w:sz w:val="22"/>
          <w:szCs w:val="22"/>
        </w:rPr>
        <w:t xml:space="preserve"> en caso de tratarse de nuevas vigencias futuras, se deberá contar con el aval fiscal del Consejo Superior de Política Fiscal (</w:t>
      </w:r>
      <w:proofErr w:type="spellStart"/>
      <w:r w:rsidRPr="007B59C3">
        <w:rPr>
          <w:rFonts w:ascii="Arial" w:hAnsi="Arial" w:cs="Arial"/>
          <w:sz w:val="22"/>
          <w:szCs w:val="22"/>
        </w:rPr>
        <w:t>Confis</w:t>
      </w:r>
      <w:proofErr w:type="spellEnd"/>
      <w:r w:rsidRPr="007B59C3">
        <w:rPr>
          <w:rFonts w:ascii="Arial" w:hAnsi="Arial" w:cs="Arial"/>
          <w:sz w:val="22"/>
          <w:szCs w:val="22"/>
        </w:rPr>
        <w:t>), y declaratoria de importancia estratégica por parte del Consejo Nacional de Política Económica y Social (</w:t>
      </w:r>
      <w:proofErr w:type="spellStart"/>
      <w:r w:rsidRPr="007B59C3">
        <w:rPr>
          <w:rFonts w:ascii="Arial" w:hAnsi="Arial" w:cs="Arial"/>
          <w:sz w:val="22"/>
          <w:szCs w:val="22"/>
        </w:rPr>
        <w:t>Conpes</w:t>
      </w:r>
      <w:proofErr w:type="spellEnd"/>
      <w:r w:rsidRPr="007B59C3">
        <w:rPr>
          <w:rFonts w:ascii="Arial" w:hAnsi="Arial" w:cs="Arial"/>
          <w:sz w:val="22"/>
          <w:szCs w:val="22"/>
        </w:rPr>
        <w:t>), en los casos en que las normas lo exijan. </w:t>
      </w:r>
    </w:p>
    <w:p w14:paraId="0C8F544A" w14:textId="317FE883"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39" w:name="ver_30138908"/>
      <w:bookmarkEnd w:id="39"/>
    </w:p>
    <w:p w14:paraId="71A1442A"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35.</w:t>
      </w:r>
      <w:r w:rsidRPr="007B59C3">
        <w:rPr>
          <w:rFonts w:ascii="Arial" w:hAnsi="Arial" w:cs="Arial"/>
          <w:sz w:val="22"/>
          <w:szCs w:val="22"/>
        </w:rPr>
        <w:t xml:space="preserve"> En las Empresas Industriales y Comerciales del Estado y en las Sociedades de Economía Mixta sujetas al régimen de aquellas, los gastos relacionados con la adquisición de bienes y servicios necesarios para los procesos de producción, transformación y comercialización se clasificarán como proyectos de inversión. Igual procedimiento se aplicará a las Empresas de </w:t>
      </w:r>
      <w:r w:rsidRPr="007B59C3">
        <w:rPr>
          <w:rFonts w:ascii="Arial" w:hAnsi="Arial" w:cs="Arial"/>
          <w:sz w:val="22"/>
          <w:szCs w:val="22"/>
        </w:rPr>
        <w:lastRenderedPageBreak/>
        <w:t>servicios públicos domiciliarios en cuyo capital la Nación o sus entidades descentralizadas posean el 90% o más. </w:t>
      </w:r>
    </w:p>
    <w:p w14:paraId="5190BE21" w14:textId="4C76B1FB" w:rsidR="0078020B" w:rsidRPr="007B59C3" w:rsidRDefault="0078020B" w:rsidP="00624637">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40" w:name="ver_30138909"/>
      <w:bookmarkEnd w:id="40"/>
    </w:p>
    <w:p w14:paraId="38DAC790"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36.</w:t>
      </w:r>
      <w:r w:rsidRPr="007B59C3">
        <w:rPr>
          <w:rFonts w:ascii="Arial" w:hAnsi="Arial" w:cs="Arial"/>
          <w:sz w:val="22"/>
          <w:szCs w:val="22"/>
        </w:rPr>
        <w:t> Los cupos anuales autorizados para asumir compromisos de vigencias futuras no utilizados a 31 de diciembre del año en que se concede la autorización caducan, salvo en los casos previstos en el inciso 2° del artículo 8° de la Ley 819 de 2003. </w:t>
      </w:r>
    </w:p>
    <w:p w14:paraId="3C26B568"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40A254F"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Cuando no fuere posible adelantar en la vigencia fiscal correspondiente los ajustes presupuestales, a que se refiere el inciso 2° del artículo 8° de la Ley 819 de 2003, se requerirá de la reprogramación de los cupos anuales autorizados por parte de la autoridad que expidió la autorización inicial, con el fin de dar continuidad al proceso de selección del contratista. </w:t>
      </w:r>
    </w:p>
    <w:p w14:paraId="044608F7"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DD2A73A" w14:textId="77777777" w:rsidR="0078020B" w:rsidRPr="007B59C3" w:rsidRDefault="0078020B"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registros en el Sistema Integrado de Información Financiera SIIF - Nación deberán corresponder a los cupos efectivamente utilizados. </w:t>
      </w:r>
    </w:p>
    <w:p w14:paraId="0739493F" w14:textId="7D37731E" w:rsidR="00287387" w:rsidRPr="007B59C3" w:rsidRDefault="00287387" w:rsidP="00A07B85">
      <w:pPr>
        <w:pStyle w:val="NormalWeb"/>
        <w:spacing w:before="0" w:beforeAutospacing="0" w:after="0" w:afterAutospacing="0"/>
        <w:jc w:val="center"/>
        <w:rPr>
          <w:rFonts w:ascii="Arial" w:hAnsi="Arial" w:cs="Arial"/>
          <w:b/>
          <w:bCs/>
        </w:rPr>
      </w:pPr>
      <w:r w:rsidRPr="007B59C3">
        <w:rPr>
          <w:rFonts w:ascii="Arial" w:hAnsi="Arial" w:cs="Arial"/>
          <w:b/>
          <w:bCs/>
        </w:rPr>
        <w:br/>
        <w:t>CAPÍTULO V</w:t>
      </w:r>
    </w:p>
    <w:p w14:paraId="3BBBB4D4" w14:textId="16CB457C" w:rsidR="00287387" w:rsidRPr="007B59C3" w:rsidRDefault="00A07B85" w:rsidP="00F47264">
      <w:pPr>
        <w:spacing w:after="0" w:line="240" w:lineRule="auto"/>
        <w:jc w:val="center"/>
        <w:rPr>
          <w:rFonts w:ascii="Arial" w:eastAsia="Times New Roman" w:hAnsi="Arial" w:cs="Arial"/>
          <w:b/>
          <w:bCs/>
          <w:lang w:eastAsia="es-CO"/>
        </w:rPr>
      </w:pPr>
      <w:r w:rsidRPr="007B59C3">
        <w:rPr>
          <w:rFonts w:ascii="Arial" w:eastAsia="Times New Roman" w:hAnsi="Arial" w:cs="Arial"/>
          <w:b/>
          <w:bCs/>
          <w:lang w:eastAsia="es-CO"/>
        </w:rPr>
        <w:t>CLASIFICACIÓN DE LOS GASTOS </w:t>
      </w:r>
    </w:p>
    <w:p w14:paraId="5DAE792A" w14:textId="2644AA1C" w:rsidR="00287387" w:rsidRPr="007B59C3" w:rsidRDefault="00287387" w:rsidP="00624637">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bookmarkStart w:id="41" w:name="ver_30138910"/>
      <w:bookmarkEnd w:id="41"/>
    </w:p>
    <w:p w14:paraId="096B217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Artículo 37. Las apropiaciones incluidas en el presupuesto para la vigencia fiscal de 2018 se clasifican en la siguiente forma: </w:t>
      </w:r>
    </w:p>
    <w:p w14:paraId="6DEEB61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9CC08C9" w14:textId="77777777"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A - FUNCIONAMIENTO </w:t>
      </w:r>
    </w:p>
    <w:p w14:paraId="076D0910" w14:textId="77777777" w:rsidR="00624637" w:rsidRPr="007B59C3" w:rsidRDefault="00624637" w:rsidP="00F47264">
      <w:pPr>
        <w:spacing w:after="0" w:line="240" w:lineRule="auto"/>
        <w:ind w:left="700"/>
        <w:jc w:val="both"/>
        <w:rPr>
          <w:rFonts w:ascii="Arial" w:eastAsia="Times New Roman" w:hAnsi="Arial" w:cs="Arial"/>
          <w:lang w:eastAsia="es-CO"/>
        </w:rPr>
      </w:pPr>
    </w:p>
    <w:p w14:paraId="2379FA09" w14:textId="333EB330"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1. GASTOS DE PERSONAL </w:t>
      </w:r>
    </w:p>
    <w:p w14:paraId="3B1A7112" w14:textId="77777777" w:rsidR="00624637" w:rsidRPr="007B59C3" w:rsidRDefault="00624637" w:rsidP="00F47264">
      <w:pPr>
        <w:spacing w:after="0" w:line="240" w:lineRule="auto"/>
        <w:ind w:left="700"/>
        <w:jc w:val="both"/>
        <w:rPr>
          <w:rFonts w:ascii="Arial" w:eastAsia="Times New Roman" w:hAnsi="Arial" w:cs="Arial"/>
          <w:lang w:eastAsia="es-CO"/>
        </w:rPr>
      </w:pPr>
    </w:p>
    <w:p w14:paraId="1979FE38" w14:textId="7D016F5E"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1.1. SERVICIOS PERSONALES ASOCIADOS A LA NÓMINA </w:t>
      </w:r>
    </w:p>
    <w:p w14:paraId="77D91104" w14:textId="77777777" w:rsidR="00624637" w:rsidRPr="007B59C3" w:rsidRDefault="00624637" w:rsidP="00F47264">
      <w:pPr>
        <w:spacing w:after="0" w:line="240" w:lineRule="auto"/>
        <w:ind w:left="700"/>
        <w:jc w:val="both"/>
        <w:rPr>
          <w:rFonts w:ascii="Arial" w:eastAsia="Times New Roman" w:hAnsi="Arial" w:cs="Arial"/>
          <w:lang w:eastAsia="es-CO"/>
        </w:rPr>
      </w:pPr>
    </w:p>
    <w:p w14:paraId="781A60BD" w14:textId="00708633"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1.1.1. SUELDOS DE PERSONAL DE NÓMINA </w:t>
      </w:r>
    </w:p>
    <w:p w14:paraId="7AD6DA32" w14:textId="77777777" w:rsidR="00624637" w:rsidRPr="007B59C3" w:rsidRDefault="00624637" w:rsidP="00F47264">
      <w:pPr>
        <w:spacing w:after="0" w:line="240" w:lineRule="auto"/>
        <w:ind w:left="700"/>
        <w:jc w:val="both"/>
        <w:rPr>
          <w:rFonts w:ascii="Arial" w:eastAsia="Times New Roman" w:hAnsi="Arial" w:cs="Arial"/>
          <w:lang w:eastAsia="es-CO"/>
        </w:rPr>
      </w:pPr>
    </w:p>
    <w:p w14:paraId="26FE2DEB" w14:textId="5D6EB306"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1.1.2. HORAS EXTRAS, DÍAS FESTIVOS E INDEMNIZACIÓN POR VACACIO</w:t>
      </w:r>
      <w:r w:rsidRPr="007B59C3">
        <w:rPr>
          <w:rFonts w:ascii="Arial" w:eastAsia="Times New Roman" w:hAnsi="Arial" w:cs="Arial"/>
          <w:lang w:eastAsia="es-CO"/>
        </w:rPr>
        <w:softHyphen/>
        <w:t>NES </w:t>
      </w:r>
    </w:p>
    <w:p w14:paraId="358A64F6" w14:textId="77777777" w:rsidR="00624637" w:rsidRPr="007B59C3" w:rsidRDefault="00624637" w:rsidP="00F47264">
      <w:pPr>
        <w:spacing w:after="0" w:line="240" w:lineRule="auto"/>
        <w:ind w:left="700"/>
        <w:jc w:val="both"/>
        <w:rPr>
          <w:rFonts w:ascii="Arial" w:eastAsia="Times New Roman" w:hAnsi="Arial" w:cs="Arial"/>
          <w:lang w:eastAsia="es-CO"/>
        </w:rPr>
      </w:pPr>
    </w:p>
    <w:p w14:paraId="00346292" w14:textId="1F7DBB62"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1.1.3. PRIMA TÉCNICA </w:t>
      </w:r>
    </w:p>
    <w:p w14:paraId="2C43FF07" w14:textId="77777777" w:rsidR="00624637" w:rsidRPr="007B59C3" w:rsidRDefault="00624637" w:rsidP="00F47264">
      <w:pPr>
        <w:spacing w:after="0" w:line="240" w:lineRule="auto"/>
        <w:ind w:left="700"/>
        <w:jc w:val="both"/>
        <w:rPr>
          <w:rFonts w:ascii="Arial" w:eastAsia="Times New Roman" w:hAnsi="Arial" w:cs="Arial"/>
          <w:lang w:eastAsia="es-CO"/>
        </w:rPr>
      </w:pPr>
    </w:p>
    <w:p w14:paraId="74B6387A" w14:textId="194FFA5A"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1.1.4. OTROS GASTOS POR SERVICIOS PERSONALES </w:t>
      </w:r>
    </w:p>
    <w:p w14:paraId="301B5E04" w14:textId="77777777" w:rsidR="00624637" w:rsidRPr="007B59C3" w:rsidRDefault="00624637" w:rsidP="00F47264">
      <w:pPr>
        <w:spacing w:after="0" w:line="240" w:lineRule="auto"/>
        <w:ind w:left="700"/>
        <w:jc w:val="both"/>
        <w:rPr>
          <w:rFonts w:ascii="Arial" w:eastAsia="Times New Roman" w:hAnsi="Arial" w:cs="Arial"/>
          <w:lang w:eastAsia="es-CO"/>
        </w:rPr>
      </w:pPr>
    </w:p>
    <w:p w14:paraId="0DA19E6E" w14:textId="479B6916"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1.2. SERVICIOS PERSONALES INDIRECTOS </w:t>
      </w:r>
    </w:p>
    <w:p w14:paraId="05D67320" w14:textId="77777777" w:rsidR="00624637" w:rsidRPr="007B59C3" w:rsidRDefault="00624637" w:rsidP="00F47264">
      <w:pPr>
        <w:spacing w:after="0" w:line="240" w:lineRule="auto"/>
        <w:ind w:left="700"/>
        <w:jc w:val="both"/>
        <w:rPr>
          <w:rFonts w:ascii="Arial" w:eastAsia="Times New Roman" w:hAnsi="Arial" w:cs="Arial"/>
          <w:lang w:eastAsia="es-CO"/>
        </w:rPr>
      </w:pPr>
    </w:p>
    <w:p w14:paraId="0C479870" w14:textId="24F27DF2"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1.3. CONTRIBUCIONES INHERENTES A LA NÓMINA AL SECTOR PRIVADO Y PÚBLICO </w:t>
      </w:r>
    </w:p>
    <w:p w14:paraId="3FAF780E" w14:textId="77777777" w:rsidR="00624637" w:rsidRPr="007B59C3" w:rsidRDefault="00624637" w:rsidP="00F47264">
      <w:pPr>
        <w:spacing w:after="0" w:line="240" w:lineRule="auto"/>
        <w:ind w:left="700"/>
        <w:jc w:val="both"/>
        <w:rPr>
          <w:rFonts w:ascii="Arial" w:eastAsia="Times New Roman" w:hAnsi="Arial" w:cs="Arial"/>
          <w:lang w:eastAsia="es-CO"/>
        </w:rPr>
      </w:pPr>
    </w:p>
    <w:p w14:paraId="31AFB630" w14:textId="0F0B4DAC"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2. GASTOS GENERALES </w:t>
      </w:r>
    </w:p>
    <w:p w14:paraId="3CB38E96" w14:textId="77777777" w:rsidR="00624637" w:rsidRPr="007B59C3" w:rsidRDefault="00624637" w:rsidP="00F47264">
      <w:pPr>
        <w:spacing w:after="0" w:line="240" w:lineRule="auto"/>
        <w:ind w:left="700"/>
        <w:jc w:val="both"/>
        <w:rPr>
          <w:rFonts w:ascii="Arial" w:eastAsia="Times New Roman" w:hAnsi="Arial" w:cs="Arial"/>
          <w:lang w:eastAsia="es-CO"/>
        </w:rPr>
      </w:pPr>
    </w:p>
    <w:p w14:paraId="3CED1D70" w14:textId="499D903F"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2.1. ADQUISICIÓN DE BIENES Y SERVICIOS </w:t>
      </w:r>
    </w:p>
    <w:p w14:paraId="624B58A0" w14:textId="77777777" w:rsidR="00624637" w:rsidRPr="007B59C3" w:rsidRDefault="00624637" w:rsidP="00F47264">
      <w:pPr>
        <w:spacing w:after="0" w:line="240" w:lineRule="auto"/>
        <w:ind w:left="700"/>
        <w:jc w:val="both"/>
        <w:rPr>
          <w:rFonts w:ascii="Arial" w:eastAsia="Times New Roman" w:hAnsi="Arial" w:cs="Arial"/>
          <w:lang w:eastAsia="es-CO"/>
        </w:rPr>
      </w:pPr>
    </w:p>
    <w:p w14:paraId="6F8F2EE5" w14:textId="4F71F831"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2.2. IMPUESTOS Y MULTAS </w:t>
      </w:r>
    </w:p>
    <w:p w14:paraId="64AE2CC5" w14:textId="77777777" w:rsidR="00624637" w:rsidRPr="007B59C3" w:rsidRDefault="00624637" w:rsidP="00F47264">
      <w:pPr>
        <w:spacing w:after="0" w:line="240" w:lineRule="auto"/>
        <w:ind w:left="700"/>
        <w:jc w:val="both"/>
        <w:rPr>
          <w:rFonts w:ascii="Arial" w:eastAsia="Times New Roman" w:hAnsi="Arial" w:cs="Arial"/>
          <w:lang w:eastAsia="es-CO"/>
        </w:rPr>
      </w:pPr>
    </w:p>
    <w:p w14:paraId="630705E5" w14:textId="7F93D062"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3. TRANSFERENCIAS CORRIENTES </w:t>
      </w:r>
    </w:p>
    <w:p w14:paraId="3E978B42" w14:textId="77777777" w:rsidR="00624637" w:rsidRPr="007B59C3" w:rsidRDefault="00624637" w:rsidP="00F47264">
      <w:pPr>
        <w:spacing w:after="0" w:line="240" w:lineRule="auto"/>
        <w:ind w:left="700"/>
        <w:jc w:val="both"/>
        <w:rPr>
          <w:rFonts w:ascii="Arial" w:eastAsia="Times New Roman" w:hAnsi="Arial" w:cs="Arial"/>
          <w:lang w:eastAsia="es-CO"/>
        </w:rPr>
      </w:pPr>
    </w:p>
    <w:p w14:paraId="1F7A0207" w14:textId="08F8746F"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4. TRANSFERENCIAS DE CAPITAL </w:t>
      </w:r>
    </w:p>
    <w:p w14:paraId="0EB8E85C" w14:textId="77777777" w:rsidR="00624637" w:rsidRPr="007B59C3" w:rsidRDefault="00624637" w:rsidP="00F47264">
      <w:pPr>
        <w:spacing w:after="0" w:line="240" w:lineRule="auto"/>
        <w:ind w:left="700"/>
        <w:jc w:val="both"/>
        <w:rPr>
          <w:rFonts w:ascii="Arial" w:eastAsia="Times New Roman" w:hAnsi="Arial" w:cs="Arial"/>
          <w:lang w:eastAsia="es-CO"/>
        </w:rPr>
      </w:pPr>
    </w:p>
    <w:p w14:paraId="26AC863C" w14:textId="56C64103"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5. GASTOS DE COMERCIALIZACIÓN Y PRODUCCIÓN </w:t>
      </w:r>
    </w:p>
    <w:p w14:paraId="0C843F0A" w14:textId="77777777" w:rsidR="00624637" w:rsidRPr="007B59C3" w:rsidRDefault="00624637" w:rsidP="00F47264">
      <w:pPr>
        <w:spacing w:after="0" w:line="240" w:lineRule="auto"/>
        <w:ind w:left="700"/>
        <w:jc w:val="both"/>
        <w:rPr>
          <w:rFonts w:ascii="Arial" w:eastAsia="Times New Roman" w:hAnsi="Arial" w:cs="Arial"/>
          <w:lang w:eastAsia="es-CO"/>
        </w:rPr>
      </w:pPr>
    </w:p>
    <w:p w14:paraId="43A66E69" w14:textId="66B6C3D9"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B - SERVICIO DE LA DEUDA PÚBLICA </w:t>
      </w:r>
    </w:p>
    <w:p w14:paraId="04F86142" w14:textId="77777777" w:rsidR="00624637" w:rsidRPr="007B59C3" w:rsidRDefault="00624637" w:rsidP="00F47264">
      <w:pPr>
        <w:spacing w:after="0" w:line="240" w:lineRule="auto"/>
        <w:ind w:left="700"/>
        <w:jc w:val="both"/>
        <w:rPr>
          <w:rFonts w:ascii="Arial" w:eastAsia="Times New Roman" w:hAnsi="Arial" w:cs="Arial"/>
          <w:lang w:eastAsia="es-CO"/>
        </w:rPr>
      </w:pPr>
    </w:p>
    <w:p w14:paraId="62E677FA" w14:textId="487328FE" w:rsidR="00287387" w:rsidRPr="007B59C3" w:rsidRDefault="00287387" w:rsidP="00A07B85">
      <w:pPr>
        <w:spacing w:after="0" w:line="240" w:lineRule="auto"/>
        <w:jc w:val="both"/>
        <w:rPr>
          <w:rFonts w:ascii="Arial" w:eastAsia="Times New Roman" w:hAnsi="Arial" w:cs="Arial"/>
          <w:lang w:eastAsia="es-CO"/>
        </w:rPr>
      </w:pPr>
      <w:r w:rsidRPr="007B59C3">
        <w:rPr>
          <w:rFonts w:ascii="Arial" w:eastAsia="Times New Roman" w:hAnsi="Arial" w:cs="Arial"/>
          <w:lang w:eastAsia="es-CO"/>
        </w:rPr>
        <w:t>C - INVERSIÓN </w:t>
      </w:r>
    </w:p>
    <w:p w14:paraId="3E9596C0" w14:textId="77777777" w:rsidR="00287387" w:rsidRPr="007B59C3" w:rsidRDefault="00287387" w:rsidP="00F47264">
      <w:pPr>
        <w:spacing w:after="0" w:line="240" w:lineRule="auto"/>
        <w:jc w:val="both"/>
        <w:rPr>
          <w:rFonts w:ascii="Arial" w:eastAsia="Times New Roman" w:hAnsi="Arial" w:cs="Arial"/>
          <w:lang w:eastAsia="es-CO"/>
        </w:rPr>
      </w:pPr>
    </w:p>
    <w:p w14:paraId="0BC510EE" w14:textId="77B92AE2" w:rsidR="00287387" w:rsidRPr="005E20F8" w:rsidRDefault="00287387" w:rsidP="00AD3686">
      <w:pPr>
        <w:tabs>
          <w:tab w:val="left" w:pos="5775"/>
        </w:tabs>
        <w:spacing w:after="0" w:line="240" w:lineRule="auto"/>
        <w:jc w:val="both"/>
        <w:rPr>
          <w:rFonts w:ascii="Arial" w:eastAsia="Times New Roman" w:hAnsi="Arial" w:cs="Arial"/>
          <w:sz w:val="20"/>
          <w:szCs w:val="20"/>
          <w:lang w:eastAsia="es-CO"/>
        </w:rPr>
      </w:pPr>
      <w:r w:rsidRPr="005E20F8">
        <w:rPr>
          <w:rFonts w:ascii="Arial" w:eastAsia="Times New Roman" w:hAnsi="Arial" w:cs="Arial"/>
          <w:sz w:val="20"/>
          <w:szCs w:val="20"/>
          <w:lang w:eastAsia="es-CO"/>
        </w:rPr>
        <w:t xml:space="preserve">(Ver conceptos: </w:t>
      </w:r>
      <w:hyperlink r:id="rId8" w:history="1">
        <w:r w:rsidRPr="005E20F8">
          <w:rPr>
            <w:rStyle w:val="Hipervnculo"/>
            <w:rFonts w:ascii="Arial" w:eastAsia="Times New Roman" w:hAnsi="Arial" w:cs="Arial"/>
            <w:sz w:val="20"/>
            <w:szCs w:val="20"/>
            <w:lang w:eastAsia="es-CO"/>
          </w:rPr>
          <w:t>420191300000</w:t>
        </w:r>
        <w:r w:rsidR="00330657" w:rsidRPr="005E20F8">
          <w:rPr>
            <w:rStyle w:val="Hipervnculo"/>
            <w:rFonts w:ascii="Arial" w:eastAsia="Times New Roman" w:hAnsi="Arial" w:cs="Arial"/>
            <w:sz w:val="20"/>
            <w:szCs w:val="20"/>
            <w:lang w:eastAsia="es-CO"/>
          </w:rPr>
          <w:t>5089 del 06/08/2019</w:t>
        </w:r>
      </w:hyperlink>
      <w:r w:rsidR="00025BD5" w:rsidRPr="005E20F8">
        <w:rPr>
          <w:rFonts w:ascii="Arial" w:eastAsia="Times New Roman" w:hAnsi="Arial" w:cs="Arial"/>
          <w:sz w:val="20"/>
          <w:szCs w:val="20"/>
          <w:lang w:eastAsia="es-CO"/>
        </w:rPr>
        <w:t>)</w:t>
      </w:r>
      <w:r w:rsidR="00AD3686" w:rsidRPr="005E20F8">
        <w:rPr>
          <w:rFonts w:ascii="Arial" w:eastAsia="Times New Roman" w:hAnsi="Arial" w:cs="Arial"/>
          <w:sz w:val="20"/>
          <w:szCs w:val="20"/>
          <w:lang w:eastAsia="es-CO"/>
        </w:rPr>
        <w:tab/>
      </w:r>
    </w:p>
    <w:p w14:paraId="549E5BE9" w14:textId="77777777" w:rsidR="00287387" w:rsidRPr="007B59C3" w:rsidRDefault="00287387" w:rsidP="00F47264">
      <w:pPr>
        <w:spacing w:after="0" w:line="240" w:lineRule="auto"/>
        <w:jc w:val="both"/>
        <w:rPr>
          <w:rFonts w:ascii="Arial" w:eastAsia="Times New Roman" w:hAnsi="Arial" w:cs="Arial"/>
          <w:lang w:eastAsia="es-CO"/>
        </w:rPr>
      </w:pPr>
    </w:p>
    <w:p w14:paraId="5A38D548" w14:textId="77777777" w:rsidR="00287387" w:rsidRPr="007B59C3" w:rsidRDefault="00287387" w:rsidP="00F47264">
      <w:pPr>
        <w:spacing w:after="0" w:line="240" w:lineRule="auto"/>
        <w:jc w:val="center"/>
        <w:rPr>
          <w:rFonts w:ascii="Arial" w:eastAsia="Times New Roman" w:hAnsi="Arial" w:cs="Arial"/>
          <w:b/>
          <w:bCs/>
          <w:lang w:eastAsia="es-CO"/>
        </w:rPr>
      </w:pPr>
      <w:r w:rsidRPr="007B59C3">
        <w:rPr>
          <w:rFonts w:ascii="Arial" w:eastAsia="Times New Roman" w:hAnsi="Arial" w:cs="Arial"/>
          <w:b/>
          <w:bCs/>
          <w:lang w:eastAsia="es-CO"/>
        </w:rPr>
        <w:t>CAPÍTULO VI </w:t>
      </w:r>
    </w:p>
    <w:p w14:paraId="515B0A9D" w14:textId="0CD7D9EF" w:rsidR="00287387" w:rsidRPr="007B59C3" w:rsidRDefault="00A07B85" w:rsidP="00F47264">
      <w:pPr>
        <w:spacing w:after="0" w:line="240" w:lineRule="auto"/>
        <w:jc w:val="center"/>
        <w:rPr>
          <w:rFonts w:ascii="Arial" w:eastAsia="Times New Roman" w:hAnsi="Arial" w:cs="Arial"/>
          <w:b/>
          <w:bCs/>
          <w:lang w:eastAsia="es-CO"/>
        </w:rPr>
      </w:pPr>
      <w:r w:rsidRPr="007B59C3">
        <w:rPr>
          <w:rFonts w:ascii="Arial" w:eastAsia="Times New Roman" w:hAnsi="Arial" w:cs="Arial"/>
          <w:b/>
          <w:bCs/>
          <w:lang w:eastAsia="es-CO"/>
        </w:rPr>
        <w:t>DEFINICIÓN DE LOS GASTOS </w:t>
      </w:r>
    </w:p>
    <w:p w14:paraId="6CDDC1E3" w14:textId="26FE5F28" w:rsidR="00287387" w:rsidRPr="007B59C3" w:rsidRDefault="00287387" w:rsidP="00025BD5">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bookmarkStart w:id="42" w:name="ver_30138911"/>
      <w:bookmarkEnd w:id="42"/>
    </w:p>
    <w:p w14:paraId="12640BC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Artículo 38. Las apropiaciones incluidas en el presupuesto para la vigencia fiscal de 2018 se definen en la siguiente forma: </w:t>
      </w:r>
    </w:p>
    <w:p w14:paraId="232514A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609552EE" w14:textId="5E441EDE" w:rsidR="00287387" w:rsidRPr="008F1AF6" w:rsidRDefault="00287387" w:rsidP="008F1AF6">
      <w:pPr>
        <w:pStyle w:val="Prrafodelista"/>
        <w:numPr>
          <w:ilvl w:val="0"/>
          <w:numId w:val="1"/>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FUNCIONAMIENTO  </w:t>
      </w:r>
    </w:p>
    <w:p w14:paraId="26066457" w14:textId="77777777" w:rsidR="008F1AF6" w:rsidRPr="008F1AF6" w:rsidRDefault="008F1AF6" w:rsidP="008F1AF6">
      <w:pPr>
        <w:pStyle w:val="Prrafodelista"/>
        <w:spacing w:after="0" w:line="240" w:lineRule="auto"/>
        <w:jc w:val="both"/>
        <w:rPr>
          <w:rFonts w:ascii="Arial" w:eastAsia="Times New Roman" w:hAnsi="Arial" w:cs="Arial"/>
          <w:lang w:eastAsia="es-CO"/>
        </w:rPr>
      </w:pPr>
    </w:p>
    <w:p w14:paraId="5B9B6A9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Son aquellos gastos que tienen por objeto atender las necesidades de los órganos para cumplir a cabalidad con las funciones asignadas en la Constitución Política y la Ley. </w:t>
      </w:r>
    </w:p>
    <w:p w14:paraId="745640C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C5A1B1D" w14:textId="17CEEDAC" w:rsidR="008F1AF6" w:rsidRPr="008F1AF6" w:rsidRDefault="00287387" w:rsidP="008F1AF6">
      <w:pPr>
        <w:pStyle w:val="Prrafodelista"/>
        <w:numPr>
          <w:ilvl w:val="0"/>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GASTOS DE PERSONAL </w:t>
      </w:r>
    </w:p>
    <w:p w14:paraId="2BFF3B01" w14:textId="2993F63C" w:rsidR="00287387" w:rsidRPr="008F1AF6" w:rsidRDefault="00287387" w:rsidP="008F1AF6">
      <w:pPr>
        <w:pStyle w:val="Prrafodelista"/>
        <w:spacing w:after="0" w:line="240" w:lineRule="auto"/>
        <w:jc w:val="both"/>
        <w:rPr>
          <w:rFonts w:ascii="Arial" w:eastAsia="Times New Roman" w:hAnsi="Arial" w:cs="Arial"/>
          <w:lang w:eastAsia="es-CO"/>
        </w:rPr>
      </w:pPr>
      <w:r w:rsidRPr="008F1AF6">
        <w:rPr>
          <w:rFonts w:ascii="Arial" w:eastAsia="Times New Roman" w:hAnsi="Arial" w:cs="Arial"/>
          <w:lang w:eastAsia="es-CO"/>
        </w:rPr>
        <w:t> </w:t>
      </w:r>
    </w:p>
    <w:p w14:paraId="798757D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Corresponden a aquellos gastos que debe hacer el Estado como contraprestación de los servicios que recibe sea por una relación laboral o a través de contratos, los cuales se definen como sigue: </w:t>
      </w:r>
    </w:p>
    <w:p w14:paraId="584117E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43F32F7" w14:textId="3332A300" w:rsidR="00287387" w:rsidRPr="008F1AF6" w:rsidRDefault="00287387" w:rsidP="008F1AF6">
      <w:pPr>
        <w:pStyle w:val="Prrafodelista"/>
        <w:numPr>
          <w:ilvl w:val="1"/>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SERVICIOS PERSONALES ASOCIADOS A LA NÓMINA  </w:t>
      </w:r>
    </w:p>
    <w:p w14:paraId="4BCDDA0B"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1793081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Comprende la remuneración por concepto de sueldos y demás factores salariales legalmente establecidos, de los servidores públicos vinculados a la planta de personal, tales como: </w:t>
      </w:r>
    </w:p>
    <w:p w14:paraId="7EAA5CCD"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68B72DBD" w14:textId="6D124C41" w:rsidR="00287387" w:rsidRPr="008F1AF6" w:rsidRDefault="00287387" w:rsidP="008F1AF6">
      <w:pPr>
        <w:pStyle w:val="Prrafodelista"/>
        <w:numPr>
          <w:ilvl w:val="2"/>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SUELDOS DE PERSONAL DE NÓMINA  </w:t>
      </w:r>
    </w:p>
    <w:p w14:paraId="53F159E3"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5662A2D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Pago de las remuneraciones a los servidores públicos, que incluye: la jornada ordinaria; la jomada nocturna; las jornadas mixtas; el trabajo ordinario en días dominicales y festivos; los incrementos por antigüedad; y la remuneración a que tienen derecho los funcionarios del Ministerio de Defensa y la Policía Nacional a quienes se les confieran comisiones diplomáticas, administrativas, de estudios, de tratamiento médico o especiales al exterior, en forma permanente o transitoria. </w:t>
      </w:r>
    </w:p>
    <w:p w14:paraId="210F1E7A"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C110383" w14:textId="2D438443" w:rsidR="00287387" w:rsidRPr="008F1AF6" w:rsidRDefault="00287387" w:rsidP="008F1AF6">
      <w:pPr>
        <w:pStyle w:val="Prrafodelista"/>
        <w:numPr>
          <w:ilvl w:val="2"/>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HORAS EXTRAS, DÍAS FESTIVOS E INDEMNIZACIÓN POR VACACIONES  </w:t>
      </w:r>
    </w:p>
    <w:p w14:paraId="153855E2"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13C0A696"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Horas extras y días festivos, corresponde a la remuneración al trabajo realizado en horas adicionales a la jornada ordinaria diurna o nocturna, o en días dominicales y festivos. </w:t>
      </w:r>
    </w:p>
    <w:p w14:paraId="60C394D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4A31FFD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Su reconocimiento y pago están sujetos a las limitaciones establecidas en las disposiciones legales vigentes. </w:t>
      </w:r>
    </w:p>
    <w:p w14:paraId="7B304E4A"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07386AC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xml:space="preserve">Indemnización por vacaciones, hace referencia a la compensación en dinero por vacaciones causadas y no disfrutadas que se paga al personal que se desvincula o a quienes, por necesidades del servicio, no pueden tomarlas en tiempo. La afectación de este rubro requiere resolución motivada suscrita por el </w:t>
      </w:r>
      <w:proofErr w:type="gramStart"/>
      <w:r w:rsidRPr="007B59C3">
        <w:rPr>
          <w:rFonts w:ascii="Arial" w:eastAsia="Times New Roman" w:hAnsi="Arial" w:cs="Arial"/>
          <w:lang w:eastAsia="es-CO"/>
        </w:rPr>
        <w:t>Jefe</w:t>
      </w:r>
      <w:proofErr w:type="gramEnd"/>
      <w:r w:rsidRPr="007B59C3">
        <w:rPr>
          <w:rFonts w:ascii="Arial" w:eastAsia="Times New Roman" w:hAnsi="Arial" w:cs="Arial"/>
          <w:lang w:eastAsia="es-CO"/>
        </w:rPr>
        <w:t xml:space="preserve"> del respectivo órgano. </w:t>
      </w:r>
    </w:p>
    <w:p w14:paraId="1A649AAD"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08E9E8A" w14:textId="7C2CBC72" w:rsidR="00287387" w:rsidRPr="008F1AF6" w:rsidRDefault="00287387" w:rsidP="008F1AF6">
      <w:pPr>
        <w:pStyle w:val="Prrafodelista"/>
        <w:numPr>
          <w:ilvl w:val="2"/>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PRIMA TÉCNICA  </w:t>
      </w:r>
    </w:p>
    <w:p w14:paraId="2F7D7CE2"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1A64D6B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xml:space="preserve">Reconocimiento económico a algunos servidores públicos que se pagará </w:t>
      </w:r>
      <w:proofErr w:type="gramStart"/>
      <w:r w:rsidRPr="007B59C3">
        <w:rPr>
          <w:rFonts w:ascii="Arial" w:eastAsia="Times New Roman" w:hAnsi="Arial" w:cs="Arial"/>
          <w:lang w:eastAsia="es-CO"/>
        </w:rPr>
        <w:t>de acuerdo al</w:t>
      </w:r>
      <w:proofErr w:type="gramEnd"/>
      <w:r w:rsidRPr="007B59C3">
        <w:rPr>
          <w:rFonts w:ascii="Arial" w:eastAsia="Times New Roman" w:hAnsi="Arial" w:cs="Arial"/>
          <w:lang w:eastAsia="es-CO"/>
        </w:rPr>
        <w:t xml:space="preserve"> cargo que desempeñe y una vez sea otorgada conforme a los requerimientos legales. </w:t>
      </w:r>
    </w:p>
    <w:p w14:paraId="298F233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3470045" w14:textId="62DB272B" w:rsidR="00287387" w:rsidRPr="008F1AF6" w:rsidRDefault="00287387" w:rsidP="008F1AF6">
      <w:pPr>
        <w:pStyle w:val="Prrafodelista"/>
        <w:numPr>
          <w:ilvl w:val="2"/>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OTROS GASTOS POR SERVICIOS PERSONALES  </w:t>
      </w:r>
    </w:p>
    <w:p w14:paraId="79FC65D2"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05E24A9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Son aquellos gastos por servicios personales asociados a la nómina que no se encuentran bajo las denominaciones anteriores, igualmente, incluyen las remuneraciones especiales del Ministerio de Defensa Nacional y de la Policía Nacional, como lo son las bonificaciones por seguro de vida colectivo, dragoneante, policía militar y guardia presidencial, buena conducta, cuerpo profesional y por licenciamiento, partida alimentación soldados, partida especial de alimentación cobertura de fronteras, primas de instalación y de alojamiento en el exterior, y el auxilio de transporte establecido en la Ley 48 de 1993. </w:t>
      </w:r>
    </w:p>
    <w:p w14:paraId="5554F9B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7FDDB45"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Dentro de los gastos por este concepto se atienden también, entre otros, los siguientes: </w:t>
      </w:r>
    </w:p>
    <w:p w14:paraId="20D1B977"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8C4C414" w14:textId="43946DD1"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GASTOS DE REPRESENTACIÓN  </w:t>
      </w:r>
    </w:p>
    <w:p w14:paraId="3045B2B5" w14:textId="77777777" w:rsidR="008F1AF6" w:rsidRPr="007B59C3" w:rsidRDefault="008F1AF6" w:rsidP="00F47264">
      <w:pPr>
        <w:spacing w:after="0" w:line="240" w:lineRule="auto"/>
        <w:jc w:val="both"/>
        <w:rPr>
          <w:rFonts w:ascii="Arial" w:eastAsia="Times New Roman" w:hAnsi="Arial" w:cs="Arial"/>
          <w:lang w:eastAsia="es-CO"/>
        </w:rPr>
      </w:pPr>
    </w:p>
    <w:p w14:paraId="1FA2EF6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Parte de la remuneración de ciertos servidores públicos que las disposiciones legales han previsto. </w:t>
      </w:r>
    </w:p>
    <w:p w14:paraId="48C849B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46BFF95F" w14:textId="7CE5A40A"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BONIFICACIÓN POR SERVICIOS PRESTADOS  </w:t>
      </w:r>
    </w:p>
    <w:p w14:paraId="10D30F1E" w14:textId="77777777" w:rsidR="008F1AF6" w:rsidRPr="007B59C3" w:rsidRDefault="008F1AF6" w:rsidP="00F47264">
      <w:pPr>
        <w:spacing w:after="0" w:line="240" w:lineRule="auto"/>
        <w:jc w:val="both"/>
        <w:rPr>
          <w:rFonts w:ascii="Arial" w:eastAsia="Times New Roman" w:hAnsi="Arial" w:cs="Arial"/>
          <w:lang w:eastAsia="es-CO"/>
        </w:rPr>
      </w:pPr>
    </w:p>
    <w:p w14:paraId="4DCE84D5"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Pago por cada año continuo de servicios a que tienen derecho los empleados públicos y, según lo contratado, los trabajadores oficiales, equivalente a los porcentajes señalados por las normas legales vigentes sobre la materia, correspondientes a la asignación básica, incrementos por antigüedad y gastos de representación. </w:t>
      </w:r>
    </w:p>
    <w:p w14:paraId="06CAB89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A196C0D" w14:textId="0BF7B291"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SUBSIDIO DE ALIMENTACIÓN  </w:t>
      </w:r>
    </w:p>
    <w:p w14:paraId="388A0EC9" w14:textId="77777777" w:rsidR="008F1AF6" w:rsidRPr="007B59C3" w:rsidRDefault="008F1AF6" w:rsidP="00F47264">
      <w:pPr>
        <w:spacing w:after="0" w:line="240" w:lineRule="auto"/>
        <w:jc w:val="both"/>
        <w:rPr>
          <w:rFonts w:ascii="Arial" w:eastAsia="Times New Roman" w:hAnsi="Arial" w:cs="Arial"/>
          <w:lang w:eastAsia="es-CO"/>
        </w:rPr>
      </w:pPr>
    </w:p>
    <w:p w14:paraId="2C5302B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Pago a los empleados públicos y, según lo contratado, a los trabajadores oficiales de determinados niveles salariales para contribuir a su manutención en la cuantía y condiciones señaladas por la ley. Cuando el órgano suministre la alimentación a sus servidores no habrá lugar a este reconocimiento. </w:t>
      </w:r>
    </w:p>
    <w:p w14:paraId="079C181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0A545278" w14:textId="23661202"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AUXILIO DE TRANSPORTE  </w:t>
      </w:r>
    </w:p>
    <w:p w14:paraId="1DCD9A2A" w14:textId="77777777" w:rsidR="008F1AF6" w:rsidRPr="007B59C3" w:rsidRDefault="008F1AF6" w:rsidP="00F47264">
      <w:pPr>
        <w:spacing w:after="0" w:line="240" w:lineRule="auto"/>
        <w:jc w:val="both"/>
        <w:rPr>
          <w:rFonts w:ascii="Arial" w:eastAsia="Times New Roman" w:hAnsi="Arial" w:cs="Arial"/>
          <w:lang w:eastAsia="es-CO"/>
        </w:rPr>
      </w:pPr>
    </w:p>
    <w:p w14:paraId="5FEC769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Pago a los empleados públicos que por ley tienen derecho y, según lo contratado, a los trabajadores oficiales, en la cuantía y condiciones establecidas para ello. Cuando el órgano suministre el transporte a sus servidores no habrá lugar a este reconocimiento. </w:t>
      </w:r>
    </w:p>
    <w:p w14:paraId="0D8E9D7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33C3F9E" w14:textId="73A00303"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PRIMA DE SERVICIO  </w:t>
      </w:r>
    </w:p>
    <w:p w14:paraId="5CA08E69" w14:textId="77777777" w:rsidR="008F1AF6" w:rsidRPr="007B59C3" w:rsidRDefault="008F1AF6" w:rsidP="00F47264">
      <w:pPr>
        <w:spacing w:after="0" w:line="240" w:lineRule="auto"/>
        <w:jc w:val="both"/>
        <w:rPr>
          <w:rFonts w:ascii="Arial" w:eastAsia="Times New Roman" w:hAnsi="Arial" w:cs="Arial"/>
          <w:lang w:eastAsia="es-CO"/>
        </w:rPr>
      </w:pPr>
    </w:p>
    <w:p w14:paraId="2961524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Pago a que tienen derecho los empleados públicos y, según lo contratado, los trabajadores oficiales, en forma proporcional al tiempo laborado, siempre que hubieren servido en el respectivo órgano por lo menos un semestre. </w:t>
      </w:r>
    </w:p>
    <w:p w14:paraId="159DA13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B3EA2C1" w14:textId="168449F5"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PRIMA DE VACACIONES  </w:t>
      </w:r>
    </w:p>
    <w:p w14:paraId="6C16007C" w14:textId="77777777" w:rsidR="008F1AF6" w:rsidRPr="007B59C3" w:rsidRDefault="008F1AF6" w:rsidP="00F47264">
      <w:pPr>
        <w:spacing w:after="0" w:line="240" w:lineRule="auto"/>
        <w:jc w:val="both"/>
        <w:rPr>
          <w:rFonts w:ascii="Arial" w:eastAsia="Times New Roman" w:hAnsi="Arial" w:cs="Arial"/>
          <w:lang w:eastAsia="es-CO"/>
        </w:rPr>
      </w:pPr>
    </w:p>
    <w:p w14:paraId="0CF6B5E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lastRenderedPageBreak/>
        <w:t>Pago a que tienen derecho los empleados públicos y, según lo contratado, los trabajadores oficiales, en los términos del artículo 28 del Decreto 1045 de 1978. </w:t>
      </w:r>
    </w:p>
    <w:p w14:paraId="6FAD5F6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6932796A" w14:textId="231D9600"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PRIMA DE NAVIDAD  </w:t>
      </w:r>
    </w:p>
    <w:p w14:paraId="411048B4" w14:textId="77777777" w:rsidR="008F1AF6" w:rsidRPr="007B59C3" w:rsidRDefault="008F1AF6" w:rsidP="00F47264">
      <w:pPr>
        <w:spacing w:after="0" w:line="240" w:lineRule="auto"/>
        <w:jc w:val="both"/>
        <w:rPr>
          <w:rFonts w:ascii="Arial" w:eastAsia="Times New Roman" w:hAnsi="Arial" w:cs="Arial"/>
          <w:lang w:eastAsia="es-CO"/>
        </w:rPr>
      </w:pPr>
    </w:p>
    <w:p w14:paraId="5068C6ED"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Pago a que tienen derecho los empleados públicos y, según lo contratado, los trabajadores oficiales, equivalente a un (1) mes de remuneración o liquidado proporcionalmente al tiempo laborado, que se pagará en la primera quincena del mes de diciembre. </w:t>
      </w:r>
    </w:p>
    <w:p w14:paraId="5EA44FC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6094A14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Igualmente, los soldados profesionales tienen derecho a percibir esta prima equivalente al 50% del salario básico devengado en el mes de noviembre del respectivo año más la prima de antigüedad. </w:t>
      </w:r>
    </w:p>
    <w:p w14:paraId="40FB74B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09BA31A2" w14:textId="28C1FEE7"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PRIMAS EXTRAORDINARIAS  </w:t>
      </w:r>
    </w:p>
    <w:p w14:paraId="355CB1C5" w14:textId="77777777" w:rsidR="008F1AF6" w:rsidRPr="007B59C3" w:rsidRDefault="008F1AF6" w:rsidP="00F47264">
      <w:pPr>
        <w:spacing w:after="0" w:line="240" w:lineRule="auto"/>
        <w:jc w:val="both"/>
        <w:rPr>
          <w:rFonts w:ascii="Arial" w:eastAsia="Times New Roman" w:hAnsi="Arial" w:cs="Arial"/>
          <w:lang w:eastAsia="es-CO"/>
        </w:rPr>
      </w:pPr>
    </w:p>
    <w:p w14:paraId="470EC57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 a los pagos por concepto de primas legalmente otorgadas que serán pagaderas únicamente en los términos, condiciones y las veces que se establezcan en su creación. </w:t>
      </w:r>
    </w:p>
    <w:p w14:paraId="1CB9D66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063BA90" w14:textId="401CA1D7"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BONIFICACIÓN ESPECIAL DE RECREACIÓN  </w:t>
      </w:r>
    </w:p>
    <w:p w14:paraId="257995B1" w14:textId="77777777" w:rsidR="008F1AF6" w:rsidRPr="007B59C3" w:rsidRDefault="008F1AF6" w:rsidP="00F47264">
      <w:pPr>
        <w:spacing w:after="0" w:line="240" w:lineRule="auto"/>
        <w:jc w:val="both"/>
        <w:rPr>
          <w:rFonts w:ascii="Arial" w:eastAsia="Times New Roman" w:hAnsi="Arial" w:cs="Arial"/>
          <w:lang w:eastAsia="es-CO"/>
        </w:rPr>
      </w:pPr>
    </w:p>
    <w:p w14:paraId="2CF8EB2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Pago a los empleados públicos y, según lo contratado, a los trabajadores oficiales, equivalente a dos (2) días de la asignación básica mensual que les corresponda en el momento de iniciar el disfrute del respectivo periodo vacacional. </w:t>
      </w:r>
    </w:p>
    <w:p w14:paraId="6462CE0D"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D87A51C" w14:textId="5B844893" w:rsidR="00287387" w:rsidRPr="008F1AF6" w:rsidRDefault="00287387" w:rsidP="008F1AF6">
      <w:pPr>
        <w:pStyle w:val="Prrafodelista"/>
        <w:numPr>
          <w:ilvl w:val="1"/>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SERVICIOS PERSONALES INDIRECTOS  </w:t>
      </w:r>
    </w:p>
    <w:p w14:paraId="261DAD0B"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17D5FB97"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Son gastos destinados a atender la contratación de personas jurídicas y naturales para que presten servicios calificados o profesionales, cuando no puedan ser desarrollados con personal de planta. Así mismo, incluye la remuneración del personal que se vincule en forma ocasional, para desarrollar actividades netamente temporales o para suplir a los servidores públicos en caso de licencias o vacaciones, dicha remuneración cubrirá las prestaciones sociales a que tenga derecho, así como las contribuciones a que haya lugar, tales como:</w:t>
      </w:r>
    </w:p>
    <w:p w14:paraId="07219039" w14:textId="77777777" w:rsidR="00C93414" w:rsidRPr="005E20F8" w:rsidRDefault="00C93414" w:rsidP="00F47264">
      <w:pPr>
        <w:spacing w:after="0" w:line="240" w:lineRule="auto"/>
        <w:jc w:val="both"/>
        <w:rPr>
          <w:rFonts w:ascii="Arial" w:eastAsia="Times New Roman" w:hAnsi="Arial" w:cs="Arial"/>
          <w:sz w:val="20"/>
          <w:szCs w:val="20"/>
          <w:lang w:eastAsia="es-CO"/>
        </w:rPr>
      </w:pPr>
    </w:p>
    <w:p w14:paraId="2DA68F4F" w14:textId="77A89516" w:rsidR="00C93414" w:rsidRPr="005E20F8" w:rsidRDefault="00C93414" w:rsidP="00F47264">
      <w:pPr>
        <w:spacing w:after="0" w:line="240" w:lineRule="auto"/>
        <w:jc w:val="both"/>
        <w:rPr>
          <w:rFonts w:ascii="Arial" w:eastAsia="Times New Roman" w:hAnsi="Arial" w:cs="Arial"/>
          <w:sz w:val="20"/>
          <w:szCs w:val="20"/>
          <w:lang w:eastAsia="es-CO"/>
        </w:rPr>
      </w:pPr>
      <w:r w:rsidRPr="005E20F8">
        <w:rPr>
          <w:rFonts w:ascii="Arial" w:eastAsia="Times New Roman" w:hAnsi="Arial" w:cs="Arial"/>
          <w:sz w:val="20"/>
          <w:szCs w:val="20"/>
          <w:lang w:eastAsia="es-CO"/>
        </w:rPr>
        <w:t xml:space="preserve">(Ver conceptos: </w:t>
      </w:r>
      <w:hyperlink r:id="rId9" w:history="1">
        <w:r w:rsidRPr="005E20F8">
          <w:rPr>
            <w:rStyle w:val="Hipervnculo"/>
            <w:rFonts w:ascii="Arial" w:eastAsia="Times New Roman" w:hAnsi="Arial" w:cs="Arial"/>
            <w:sz w:val="20"/>
            <w:szCs w:val="20"/>
            <w:lang w:eastAsia="es-CO"/>
          </w:rPr>
          <w:t>4201913000005089 del 06/08/2019</w:t>
        </w:r>
      </w:hyperlink>
      <w:r w:rsidR="00025BD5" w:rsidRPr="005E20F8">
        <w:rPr>
          <w:rFonts w:ascii="Arial" w:eastAsia="Times New Roman" w:hAnsi="Arial" w:cs="Arial"/>
          <w:sz w:val="20"/>
          <w:szCs w:val="20"/>
          <w:lang w:eastAsia="es-CO"/>
        </w:rPr>
        <w:t>)</w:t>
      </w:r>
    </w:p>
    <w:p w14:paraId="69D490CE" w14:textId="77777777" w:rsidR="00287387" w:rsidRPr="005E20F8" w:rsidRDefault="00287387" w:rsidP="00F47264">
      <w:pPr>
        <w:spacing w:after="0" w:line="240" w:lineRule="auto"/>
        <w:jc w:val="both"/>
        <w:rPr>
          <w:rFonts w:ascii="Arial" w:eastAsia="Times New Roman" w:hAnsi="Arial" w:cs="Arial"/>
          <w:sz w:val="20"/>
          <w:szCs w:val="20"/>
          <w:lang w:eastAsia="es-CO"/>
        </w:rPr>
      </w:pPr>
      <w:r w:rsidRPr="005E20F8">
        <w:rPr>
          <w:rFonts w:ascii="Arial" w:eastAsia="Times New Roman" w:hAnsi="Arial" w:cs="Arial"/>
          <w:sz w:val="20"/>
          <w:szCs w:val="20"/>
          <w:lang w:eastAsia="es-CO"/>
        </w:rPr>
        <w:t>  </w:t>
      </w:r>
    </w:p>
    <w:p w14:paraId="1AC41724" w14:textId="1117CEF3"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JORNALES  </w:t>
      </w:r>
    </w:p>
    <w:p w14:paraId="596AEECE" w14:textId="77777777" w:rsidR="008F1AF6" w:rsidRPr="007B59C3" w:rsidRDefault="008F1AF6" w:rsidP="00F47264">
      <w:pPr>
        <w:spacing w:after="0" w:line="240" w:lineRule="auto"/>
        <w:jc w:val="both"/>
        <w:rPr>
          <w:rFonts w:ascii="Arial" w:eastAsia="Times New Roman" w:hAnsi="Arial" w:cs="Arial"/>
          <w:lang w:eastAsia="es-CO"/>
        </w:rPr>
      </w:pPr>
    </w:p>
    <w:p w14:paraId="6FB86D8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Salario estipulado por días y pagadero por períodos no mayores de una semana, por el desempeño de actividades netamente transitorias que no pueden ser desarrolladas con personal de planta. Por este rubro se pagarán las prestaciones sociales y las transferencias si legalmente tienen derecho a ellas, previo certificado de disponibilidad presupuestal, expedido por el jefe de presupuesto del órgano o quien haga sus veces. </w:t>
      </w:r>
    </w:p>
    <w:p w14:paraId="114FEA9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41E80643" w14:textId="76584D51"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PERSONAL SUPERNUMERARIO  </w:t>
      </w:r>
    </w:p>
    <w:p w14:paraId="349B1FA0" w14:textId="77777777" w:rsidR="008F1AF6" w:rsidRPr="007B59C3" w:rsidRDefault="008F1AF6" w:rsidP="00F47264">
      <w:pPr>
        <w:spacing w:after="0" w:line="240" w:lineRule="auto"/>
        <w:jc w:val="both"/>
        <w:rPr>
          <w:rFonts w:ascii="Arial" w:eastAsia="Times New Roman" w:hAnsi="Arial" w:cs="Arial"/>
          <w:lang w:eastAsia="es-CO"/>
        </w:rPr>
      </w:pPr>
    </w:p>
    <w:p w14:paraId="7D451CE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Remuneración al personal ocasional que la ley autorice vincular para suplir a los empleados públicos en caso de licencias o vacaciones, o para desarrollar actividades netamente transitorias que no puedan atenderse con personal de planta. Por este rubro se pagarán las prestaciones sociales y las transferencias a que legalmente tengan derecho los supernumerarios. </w:t>
      </w:r>
    </w:p>
    <w:p w14:paraId="5F724DE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F22EF6E" w14:textId="3E191910"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HONORARIOS  </w:t>
      </w:r>
    </w:p>
    <w:p w14:paraId="63E34FC8" w14:textId="77777777" w:rsidR="008F1AF6" w:rsidRPr="007B59C3" w:rsidRDefault="008F1AF6" w:rsidP="00F47264">
      <w:pPr>
        <w:spacing w:after="0" w:line="240" w:lineRule="auto"/>
        <w:jc w:val="both"/>
        <w:rPr>
          <w:rFonts w:ascii="Arial" w:eastAsia="Times New Roman" w:hAnsi="Arial" w:cs="Arial"/>
          <w:lang w:eastAsia="es-CO"/>
        </w:rPr>
      </w:pPr>
    </w:p>
    <w:p w14:paraId="3A48335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Por este rubro se deberán cubrir conforme a los reglamentos, los estipendios a los servicios profesionales, prestados en forma transitoria y esporádica, por personas naturales o jurídicas, para desarrollar actividades relacionadas con la atención de los negocios o el cumplimiento de las funciones a cargo del órgano contratante, cuando las mismas no puedan cumplirse con personal de planta. Por este rubro se podrán pagar los honorarios de los miembros de las Juntas Directivas.</w:t>
      </w:r>
    </w:p>
    <w:p w14:paraId="7EE75FE8" w14:textId="77777777" w:rsidR="00C93414" w:rsidRPr="007B59C3" w:rsidRDefault="00C93414" w:rsidP="00F47264">
      <w:pPr>
        <w:spacing w:after="0" w:line="240" w:lineRule="auto"/>
        <w:jc w:val="both"/>
        <w:rPr>
          <w:rFonts w:ascii="Arial" w:eastAsia="Times New Roman" w:hAnsi="Arial" w:cs="Arial"/>
          <w:lang w:eastAsia="es-CO"/>
        </w:rPr>
      </w:pPr>
    </w:p>
    <w:p w14:paraId="0D57416B" w14:textId="11899EEF" w:rsidR="00C93414" w:rsidRPr="006258EC" w:rsidRDefault="00C93414" w:rsidP="00F47264">
      <w:pPr>
        <w:spacing w:after="0" w:line="240" w:lineRule="auto"/>
        <w:jc w:val="both"/>
        <w:rPr>
          <w:rFonts w:ascii="Arial" w:eastAsia="Times New Roman" w:hAnsi="Arial" w:cs="Arial"/>
          <w:sz w:val="20"/>
          <w:szCs w:val="20"/>
          <w:lang w:eastAsia="es-CO"/>
        </w:rPr>
      </w:pPr>
      <w:r w:rsidRPr="006258EC">
        <w:rPr>
          <w:rFonts w:ascii="Arial" w:eastAsia="Times New Roman" w:hAnsi="Arial" w:cs="Arial"/>
          <w:sz w:val="20"/>
          <w:szCs w:val="20"/>
          <w:lang w:eastAsia="es-CO"/>
        </w:rPr>
        <w:t xml:space="preserve">(Ver conceptos: </w:t>
      </w:r>
      <w:hyperlink r:id="rId10" w:history="1">
        <w:r w:rsidRPr="006258EC">
          <w:rPr>
            <w:rStyle w:val="Hipervnculo"/>
            <w:rFonts w:ascii="Arial" w:eastAsia="Times New Roman" w:hAnsi="Arial" w:cs="Arial"/>
            <w:sz w:val="20"/>
            <w:szCs w:val="20"/>
            <w:lang w:eastAsia="es-CO"/>
          </w:rPr>
          <w:t>4201913000005089 del 06/08/2019</w:t>
        </w:r>
      </w:hyperlink>
      <w:r w:rsidR="009F49A1" w:rsidRPr="006258EC">
        <w:rPr>
          <w:rFonts w:ascii="Arial" w:eastAsia="Times New Roman" w:hAnsi="Arial" w:cs="Arial"/>
          <w:sz w:val="20"/>
          <w:szCs w:val="20"/>
          <w:lang w:eastAsia="es-CO"/>
        </w:rPr>
        <w:t>)</w:t>
      </w:r>
    </w:p>
    <w:p w14:paraId="67755C5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C6477D5" w14:textId="227884C0"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REMUNERACIÓN SERVICIOS TÉCNICOS  </w:t>
      </w:r>
    </w:p>
    <w:p w14:paraId="04896C1B" w14:textId="77777777" w:rsidR="008F1AF6" w:rsidRPr="007B59C3" w:rsidRDefault="008F1AF6" w:rsidP="00F47264">
      <w:pPr>
        <w:spacing w:after="0" w:line="240" w:lineRule="auto"/>
        <w:jc w:val="both"/>
        <w:rPr>
          <w:rFonts w:ascii="Arial" w:eastAsia="Times New Roman" w:hAnsi="Arial" w:cs="Arial"/>
          <w:lang w:eastAsia="es-CO"/>
        </w:rPr>
      </w:pPr>
    </w:p>
    <w:p w14:paraId="5555F46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Pago por servicios calificados a personas naturales o jurídicas que se prestan en forma continua para asuntos propios del órgano, los cuales no pueden ser atendidos con personal de planta o que se requieran conocimientos especializados y están sujetos al régimen contractual vigente.</w:t>
      </w:r>
    </w:p>
    <w:p w14:paraId="5D8D0A73" w14:textId="77777777" w:rsidR="00C93414" w:rsidRPr="006258EC" w:rsidRDefault="00C93414" w:rsidP="00F47264">
      <w:pPr>
        <w:spacing w:after="0" w:line="240" w:lineRule="auto"/>
        <w:jc w:val="both"/>
        <w:rPr>
          <w:rFonts w:ascii="Arial" w:eastAsia="Times New Roman" w:hAnsi="Arial" w:cs="Arial"/>
          <w:sz w:val="20"/>
          <w:szCs w:val="20"/>
          <w:lang w:eastAsia="es-CO"/>
        </w:rPr>
      </w:pPr>
    </w:p>
    <w:p w14:paraId="06D6B61F" w14:textId="486A69F9" w:rsidR="00C93414" w:rsidRPr="006258EC" w:rsidRDefault="00C93414" w:rsidP="00F47264">
      <w:pPr>
        <w:spacing w:after="0" w:line="240" w:lineRule="auto"/>
        <w:jc w:val="both"/>
        <w:rPr>
          <w:rFonts w:ascii="Arial" w:eastAsia="Times New Roman" w:hAnsi="Arial" w:cs="Arial"/>
          <w:sz w:val="20"/>
          <w:szCs w:val="20"/>
          <w:lang w:eastAsia="es-CO"/>
        </w:rPr>
      </w:pPr>
      <w:r w:rsidRPr="006258EC">
        <w:rPr>
          <w:rFonts w:ascii="Arial" w:eastAsia="Times New Roman" w:hAnsi="Arial" w:cs="Arial"/>
          <w:sz w:val="20"/>
          <w:szCs w:val="20"/>
          <w:lang w:eastAsia="es-CO"/>
        </w:rPr>
        <w:t xml:space="preserve">(Ver conceptos: </w:t>
      </w:r>
      <w:hyperlink r:id="rId11" w:history="1">
        <w:r w:rsidRPr="006258EC">
          <w:rPr>
            <w:rStyle w:val="Hipervnculo"/>
            <w:rFonts w:ascii="Arial" w:eastAsia="Times New Roman" w:hAnsi="Arial" w:cs="Arial"/>
            <w:sz w:val="20"/>
            <w:szCs w:val="20"/>
            <w:lang w:eastAsia="es-CO"/>
          </w:rPr>
          <w:t>4201913000005089 del 06/08/2019</w:t>
        </w:r>
      </w:hyperlink>
      <w:r w:rsidR="009F49A1" w:rsidRPr="006258EC">
        <w:rPr>
          <w:rFonts w:ascii="Arial" w:eastAsia="Times New Roman" w:hAnsi="Arial" w:cs="Arial"/>
          <w:sz w:val="20"/>
          <w:szCs w:val="20"/>
          <w:lang w:eastAsia="es-CO"/>
        </w:rPr>
        <w:t>)</w:t>
      </w:r>
    </w:p>
    <w:p w14:paraId="76157CA7"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15C181E" w14:textId="2704FDAF"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HORAS CÁTEDRA  </w:t>
      </w:r>
    </w:p>
    <w:p w14:paraId="0584ED0F" w14:textId="77777777" w:rsidR="008F1AF6" w:rsidRPr="007B59C3" w:rsidRDefault="008F1AF6" w:rsidP="00F47264">
      <w:pPr>
        <w:spacing w:after="0" w:line="240" w:lineRule="auto"/>
        <w:jc w:val="both"/>
        <w:rPr>
          <w:rFonts w:ascii="Arial" w:eastAsia="Times New Roman" w:hAnsi="Arial" w:cs="Arial"/>
          <w:lang w:eastAsia="es-CO"/>
        </w:rPr>
      </w:pPr>
    </w:p>
    <w:p w14:paraId="3515FDB5"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Se pagarán por este rubro, los profesores de cátedra u ocasionales que laboren en instituciones de educación superior a que se refieren los artículos 73 y 74 de la Ley 30 del 28 de diciembre de 1992.</w:t>
      </w:r>
    </w:p>
    <w:p w14:paraId="7EBEA3C9" w14:textId="64C45FDD"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29E5445" w14:textId="363AC01B" w:rsidR="00287387" w:rsidRPr="008F1AF6" w:rsidRDefault="00287387" w:rsidP="008F1AF6">
      <w:pPr>
        <w:pStyle w:val="Prrafodelista"/>
        <w:numPr>
          <w:ilvl w:val="1"/>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CONTRIBUCIONES INHERENTES A LA NÓMINA AL SECTOR PRIVADO Y PÚBLICO  </w:t>
      </w:r>
    </w:p>
    <w:p w14:paraId="704C3283"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3F13DDD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 a las contribuciones legales que debe hacer el órgano como empleador, que tienen como base la nómina del personal de planta, destinadas a entidades del sector privado y público, tales como: Cajas de Compensación Familiar, SENA, ICBF, ESAP, Fondo Nacional de Ahorro, Fondos Administradores de Cesantías y Pensiones, Empresas Promotoras de Salud privadas y públicas, así como las administradoras públicas y privadas de aportes que se destinan para accidentes de trabajo y enfermedad profesional. </w:t>
      </w:r>
    </w:p>
    <w:p w14:paraId="7831736A"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C259735" w14:textId="0617DCC6" w:rsidR="00287387" w:rsidRPr="008F1AF6" w:rsidRDefault="00287387" w:rsidP="008F1AF6">
      <w:pPr>
        <w:pStyle w:val="Prrafodelista"/>
        <w:numPr>
          <w:ilvl w:val="0"/>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GASTOS GENERALES  </w:t>
      </w:r>
    </w:p>
    <w:p w14:paraId="58D53324" w14:textId="77777777" w:rsidR="008F1AF6" w:rsidRPr="008F1AF6" w:rsidRDefault="008F1AF6" w:rsidP="008F1AF6">
      <w:pPr>
        <w:pStyle w:val="Prrafodelista"/>
        <w:spacing w:after="0" w:line="240" w:lineRule="auto"/>
        <w:jc w:val="both"/>
        <w:rPr>
          <w:rFonts w:ascii="Arial" w:eastAsia="Times New Roman" w:hAnsi="Arial" w:cs="Arial"/>
          <w:lang w:eastAsia="es-CO"/>
        </w:rPr>
      </w:pPr>
    </w:p>
    <w:p w14:paraId="69267CB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Son los gastos relacionados con la adquisición de bienes y servicios necesarios para que el órgano cumpla con las funciones asignadas por la Constitución Política y la ley; y con el pago de los impuestos y multas a que estén sometidos legalmente. </w:t>
      </w:r>
    </w:p>
    <w:p w14:paraId="048BFFC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09E05A13" w14:textId="44D26372" w:rsidR="00287387" w:rsidRPr="008F1AF6" w:rsidRDefault="00287387" w:rsidP="008F1AF6">
      <w:pPr>
        <w:pStyle w:val="Prrafodelista"/>
        <w:numPr>
          <w:ilvl w:val="1"/>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ADQUISICIÓN DE BIENES Y SERVICIOS  </w:t>
      </w:r>
    </w:p>
    <w:p w14:paraId="06DF6FD8"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7EEC4A2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 a la compra de bienes muebles destinados a apoyar el desarrollo de las funciones del órgano, a la contratación y el pago a personas jurídicas y naturales por la prestación de un servicio que complementa el desarrollo de las funciones del órgano y permite mantener y proteger los bienes que son de su propiedad o están a su cargo, así como los pagos por concepto de tasas a que estén sujetos los órganos. Dentro de este concepto se encuentran: </w:t>
      </w:r>
    </w:p>
    <w:p w14:paraId="49E52C9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7ED14F1" w14:textId="0918B9CA"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COMPRA DE EQUIPO  </w:t>
      </w:r>
    </w:p>
    <w:p w14:paraId="149C26F8" w14:textId="77777777" w:rsidR="008F1AF6" w:rsidRPr="007B59C3" w:rsidRDefault="008F1AF6" w:rsidP="00F47264">
      <w:pPr>
        <w:spacing w:after="0" w:line="240" w:lineRule="auto"/>
        <w:jc w:val="both"/>
        <w:rPr>
          <w:rFonts w:ascii="Arial" w:eastAsia="Times New Roman" w:hAnsi="Arial" w:cs="Arial"/>
          <w:lang w:eastAsia="es-CO"/>
        </w:rPr>
      </w:pPr>
    </w:p>
    <w:p w14:paraId="5D494B3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Adquisición de bienes tangibles de consumo duradero que deben inventariarse. </w:t>
      </w:r>
    </w:p>
    <w:p w14:paraId="5FD6C1D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4CD8090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lastRenderedPageBreak/>
        <w:t>Por este rubro se debe incluir el software. </w:t>
      </w:r>
    </w:p>
    <w:p w14:paraId="16E0731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BAD2A9A"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xml:space="preserve">La adquisición y/o reposición de vehículos automotores solamente requerirá la autorización previa del </w:t>
      </w:r>
      <w:proofErr w:type="gramStart"/>
      <w:r w:rsidRPr="007B59C3">
        <w:rPr>
          <w:rFonts w:ascii="Arial" w:eastAsia="Times New Roman" w:hAnsi="Arial" w:cs="Arial"/>
          <w:lang w:eastAsia="es-CO"/>
        </w:rPr>
        <w:t>Jefe</w:t>
      </w:r>
      <w:proofErr w:type="gramEnd"/>
      <w:r w:rsidRPr="007B59C3">
        <w:rPr>
          <w:rFonts w:ascii="Arial" w:eastAsia="Times New Roman" w:hAnsi="Arial" w:cs="Arial"/>
          <w:lang w:eastAsia="es-CO"/>
        </w:rPr>
        <w:t xml:space="preserve"> del órgano respectivo. </w:t>
      </w:r>
    </w:p>
    <w:p w14:paraId="7D48349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615FB6A"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Sin perjuicio de lo dispuesto en el inciso anterior, cuando se trate de automotores que requieran protección o blindaje especial, debe contar con el concepto técnico de la Policía Nacional o de la entidad que tenga la competencia para emitir dicho concepto. </w:t>
      </w:r>
    </w:p>
    <w:p w14:paraId="245AEFD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4FAFFF3E" w14:textId="458FAE7E"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MATERIALES Y SUMINISTROS  </w:t>
      </w:r>
    </w:p>
    <w:p w14:paraId="3425ECAB" w14:textId="77777777" w:rsidR="008F1AF6" w:rsidRPr="007B59C3" w:rsidRDefault="008F1AF6" w:rsidP="00F47264">
      <w:pPr>
        <w:spacing w:after="0" w:line="240" w:lineRule="auto"/>
        <w:jc w:val="both"/>
        <w:rPr>
          <w:rFonts w:ascii="Arial" w:eastAsia="Times New Roman" w:hAnsi="Arial" w:cs="Arial"/>
          <w:lang w:eastAsia="es-CO"/>
        </w:rPr>
      </w:pPr>
    </w:p>
    <w:p w14:paraId="2DDFDC3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Adquisición de bienes tangibles e intangibles de consumo final o fungibles que no se deban inventariar por las diferentes dependencias y no sean objeto de devolución. </w:t>
      </w:r>
    </w:p>
    <w:p w14:paraId="000F288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Por este rubro se deben incluir, disquetes, discos compactos, llantas, repuestos y accesorios. </w:t>
      </w:r>
    </w:p>
    <w:p w14:paraId="6091BB7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1D2E0C9" w14:textId="2DF52E3E"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GASTOS IMPREVISTOS  </w:t>
      </w:r>
    </w:p>
    <w:p w14:paraId="31FBDD5C" w14:textId="77777777" w:rsidR="008F1AF6" w:rsidRPr="007B59C3" w:rsidRDefault="008F1AF6" w:rsidP="00F47264">
      <w:pPr>
        <w:spacing w:after="0" w:line="240" w:lineRule="auto"/>
        <w:jc w:val="both"/>
        <w:rPr>
          <w:rFonts w:ascii="Arial" w:eastAsia="Times New Roman" w:hAnsi="Arial" w:cs="Arial"/>
          <w:lang w:eastAsia="es-CO"/>
        </w:rPr>
      </w:pPr>
    </w:p>
    <w:p w14:paraId="22066AD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Erogaciones excepcionales de carácter eventual o fortuito de inaplazable e imprescindible realización para el funcionamiento de los órganos. </w:t>
      </w:r>
    </w:p>
    <w:p w14:paraId="6B3DA28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692035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No podrán imputarse a este rubro gastos suntuarios o correspondientes a conceptos de adquisición de bienes y/o servicios ya definidos, erogaciones periódicas o permanentes, ni utilizarse para completar partidas insuficientes. </w:t>
      </w:r>
    </w:p>
    <w:p w14:paraId="1A9808A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59026B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La afectación de este rubro requiere resolución motivada, suscrita por el jefe del respectivo órgano, previa aprobación y registro de la división de presupuesto o la dependencia que haga sus veces. </w:t>
      </w:r>
    </w:p>
    <w:p w14:paraId="162AEC1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07B0EB02" w14:textId="2667EE49"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OTROS GASTOS GENERALES POR ADQUISICIÓN DE BIENES  </w:t>
      </w:r>
    </w:p>
    <w:p w14:paraId="7C2D3484" w14:textId="77777777" w:rsidR="008F1AF6" w:rsidRPr="007B59C3" w:rsidRDefault="008F1AF6" w:rsidP="00F47264">
      <w:pPr>
        <w:spacing w:after="0" w:line="240" w:lineRule="auto"/>
        <w:jc w:val="both"/>
        <w:rPr>
          <w:rFonts w:ascii="Arial" w:eastAsia="Times New Roman" w:hAnsi="Arial" w:cs="Arial"/>
          <w:lang w:eastAsia="es-CO"/>
        </w:rPr>
      </w:pPr>
    </w:p>
    <w:p w14:paraId="2934505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Corresponden a aquellos gastos generales que no pueden ser clasificados dentro de las definiciones anteriores, autorizados por norma legal vigente, tales como: </w:t>
      </w:r>
    </w:p>
    <w:p w14:paraId="56FBF92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B92CA5A" w14:textId="6D44AF86"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SOSTENIMIENTO DE EMBAJADAS Y CONSULADOS  </w:t>
      </w:r>
    </w:p>
    <w:p w14:paraId="7F0EA661" w14:textId="77777777" w:rsidR="008F1AF6" w:rsidRPr="007B59C3" w:rsidRDefault="008F1AF6" w:rsidP="00F47264">
      <w:pPr>
        <w:spacing w:after="0" w:line="240" w:lineRule="auto"/>
        <w:jc w:val="both"/>
        <w:rPr>
          <w:rFonts w:ascii="Arial" w:eastAsia="Times New Roman" w:hAnsi="Arial" w:cs="Arial"/>
          <w:lang w:eastAsia="es-CO"/>
        </w:rPr>
      </w:pPr>
    </w:p>
    <w:p w14:paraId="6969AF77"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Erogaciones por concepto de papelería y útiles de escritorio, elementos de aseo y demás gastos afines, que resulten necesarios para el funcionamiento de las embajadas y consulados. </w:t>
      </w:r>
    </w:p>
    <w:p w14:paraId="167D611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630288AB" w14:textId="7011DD6F"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SOSTENIMIENTO DE SEMOVIENTES  </w:t>
      </w:r>
    </w:p>
    <w:p w14:paraId="7868D173" w14:textId="77777777" w:rsidR="008F1AF6" w:rsidRPr="007B59C3" w:rsidRDefault="008F1AF6" w:rsidP="00F47264">
      <w:pPr>
        <w:spacing w:after="0" w:line="240" w:lineRule="auto"/>
        <w:jc w:val="both"/>
        <w:rPr>
          <w:rFonts w:ascii="Arial" w:eastAsia="Times New Roman" w:hAnsi="Arial" w:cs="Arial"/>
          <w:lang w:eastAsia="es-CO"/>
        </w:rPr>
      </w:pPr>
    </w:p>
    <w:p w14:paraId="7341F5BD"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xml:space="preserve">Gastos destinados a alimentación, compra de medicamentos, </w:t>
      </w:r>
      <w:proofErr w:type="spellStart"/>
      <w:r w:rsidRPr="007B59C3">
        <w:rPr>
          <w:rFonts w:ascii="Arial" w:eastAsia="Times New Roman" w:hAnsi="Arial" w:cs="Arial"/>
          <w:lang w:eastAsia="es-CO"/>
        </w:rPr>
        <w:t>ameses</w:t>
      </w:r>
      <w:proofErr w:type="spellEnd"/>
      <w:r w:rsidRPr="007B59C3">
        <w:rPr>
          <w:rFonts w:ascii="Arial" w:eastAsia="Times New Roman" w:hAnsi="Arial" w:cs="Arial"/>
          <w:lang w:eastAsia="es-CO"/>
        </w:rPr>
        <w:t>, herraje, atalaje y compra de animales. </w:t>
      </w:r>
    </w:p>
    <w:p w14:paraId="447D49E6"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588C84F" w14:textId="683818CB"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CAPACITACIÓN, BIENESTAR SOCIAL Y ESTÍMULOS  </w:t>
      </w:r>
    </w:p>
    <w:p w14:paraId="4B1C12DD" w14:textId="77777777" w:rsidR="008F1AF6" w:rsidRPr="007B59C3" w:rsidRDefault="008F1AF6" w:rsidP="00F47264">
      <w:pPr>
        <w:spacing w:after="0" w:line="240" w:lineRule="auto"/>
        <w:jc w:val="both"/>
        <w:rPr>
          <w:rFonts w:ascii="Arial" w:eastAsia="Times New Roman" w:hAnsi="Arial" w:cs="Arial"/>
          <w:lang w:eastAsia="es-CO"/>
        </w:rPr>
      </w:pPr>
    </w:p>
    <w:p w14:paraId="3B794AAD"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Erogaciones que tengan por objeto atender las necesidades de capacitación, evaluaciones médicas ocupacionales, bienestar social y estímulos que autoricen las normas legales vigentes. </w:t>
      </w:r>
    </w:p>
    <w:p w14:paraId="3732AFB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E8C6D7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xml:space="preserve">La Unidad de Salud del Ministerio de Defensa Nacional y de la Policía Nacional podrá pagar con cargo a este rubro los gastos de esta naturaleza al personal militar y policial del área asistencial - </w:t>
      </w:r>
      <w:r w:rsidRPr="007B59C3">
        <w:rPr>
          <w:rFonts w:ascii="Arial" w:eastAsia="Times New Roman" w:hAnsi="Arial" w:cs="Arial"/>
          <w:lang w:eastAsia="es-CO"/>
        </w:rPr>
        <w:lastRenderedPageBreak/>
        <w:t>médicos, odontólogos, bacteriólogos, enfermeros, auxiliares de enfermería y psicólogos - que están al servicio del Subsistema de Salud de las Fuerzas Militares y de la Policía Nacional. </w:t>
      </w:r>
    </w:p>
    <w:p w14:paraId="5C4FD0C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D097A18" w14:textId="0F0C9070"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MANTENIMIENTO  </w:t>
      </w:r>
    </w:p>
    <w:p w14:paraId="700DDE98" w14:textId="77777777" w:rsidR="008F1AF6" w:rsidRPr="007B59C3" w:rsidRDefault="008F1AF6" w:rsidP="00F47264">
      <w:pPr>
        <w:spacing w:after="0" w:line="240" w:lineRule="auto"/>
        <w:jc w:val="both"/>
        <w:rPr>
          <w:rFonts w:ascii="Arial" w:eastAsia="Times New Roman" w:hAnsi="Arial" w:cs="Arial"/>
          <w:lang w:eastAsia="es-CO"/>
        </w:rPr>
      </w:pPr>
    </w:p>
    <w:p w14:paraId="6F9DEB1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Los gastos tendientes a la conservación y reparación de bienes muebles e inmuebles. Incluye el costo de los contratos por servicios de vigilancia y aseo. </w:t>
      </w:r>
    </w:p>
    <w:p w14:paraId="184FF13A"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4DE5EFE6" w14:textId="5F21591D"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SERVICIOS PÚBLICOS  </w:t>
      </w:r>
    </w:p>
    <w:p w14:paraId="1D649CF5" w14:textId="77777777" w:rsidR="008F1AF6" w:rsidRPr="007B59C3" w:rsidRDefault="008F1AF6" w:rsidP="00F47264">
      <w:pPr>
        <w:spacing w:after="0" w:line="240" w:lineRule="auto"/>
        <w:jc w:val="both"/>
        <w:rPr>
          <w:rFonts w:ascii="Arial" w:eastAsia="Times New Roman" w:hAnsi="Arial" w:cs="Arial"/>
          <w:lang w:eastAsia="es-CO"/>
        </w:rPr>
      </w:pPr>
    </w:p>
    <w:p w14:paraId="09311C6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Erogaciones por concepto de servicios de acueducto, alcantarillado, recolección de basuras, energía, gas natural, telefonía pública conmutada, telefonía móvil celular, sistemas troncalizados, telefonía satelital, internet, televisión satelital, televisión por cable y servicios al valor agregado. Estas incluyen su instalación y traslado. </w:t>
      </w:r>
    </w:p>
    <w:p w14:paraId="3C1A763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E356EDF" w14:textId="37E61A4D"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ARRENDAMIENTOS  </w:t>
      </w:r>
    </w:p>
    <w:p w14:paraId="118BD7C3" w14:textId="77777777" w:rsidR="008F1AF6" w:rsidRPr="007B59C3" w:rsidRDefault="008F1AF6" w:rsidP="00F47264">
      <w:pPr>
        <w:spacing w:after="0" w:line="240" w:lineRule="auto"/>
        <w:jc w:val="both"/>
        <w:rPr>
          <w:rFonts w:ascii="Arial" w:eastAsia="Times New Roman" w:hAnsi="Arial" w:cs="Arial"/>
          <w:lang w:eastAsia="es-CO"/>
        </w:rPr>
      </w:pPr>
    </w:p>
    <w:p w14:paraId="42EB53E0"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Alquiler de bienes muebles e inmuebles para el adecuado funcionamiento de los órganos. </w:t>
      </w:r>
    </w:p>
    <w:p w14:paraId="58FDA3A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57CDB86" w14:textId="3CE11ADF"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VIÁTICOS Y GASTOS DE VIAJE  </w:t>
      </w:r>
    </w:p>
    <w:p w14:paraId="22D0BE58" w14:textId="77777777" w:rsidR="008F1AF6" w:rsidRPr="007B59C3" w:rsidRDefault="008F1AF6" w:rsidP="00F47264">
      <w:pPr>
        <w:spacing w:after="0" w:line="240" w:lineRule="auto"/>
        <w:jc w:val="both"/>
        <w:rPr>
          <w:rFonts w:ascii="Arial" w:eastAsia="Times New Roman" w:hAnsi="Arial" w:cs="Arial"/>
          <w:lang w:eastAsia="es-CO"/>
        </w:rPr>
      </w:pPr>
    </w:p>
    <w:p w14:paraId="71FE559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Por este rubro se le reconoce a los empleados públicos y, según lo contratado, a los trabajadores oficiales del respectivo órgano, los gastos de alojamiento, alimentación y transporte, cuando previo acto administrativo, deban desempeñar funciones en lugar diferente de su sede habitual de trabajo. </w:t>
      </w:r>
    </w:p>
    <w:p w14:paraId="45260DE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FF0D3A6"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Este rubro también incluye los gastos de traslado de los empleados públicos y sus familias cuando estén autorizados para ello y, según lo contratado, a los trabajadores oficiales. </w:t>
      </w:r>
    </w:p>
    <w:p w14:paraId="34F47AF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21F4D7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No se podrán imputar a este rubro los gastos correspondientes a la movilización dentro del perímetro urbano de cada ciudad, ni viáticos y gastos de viaje a contratistas, salvo que se estipule así en el respectivo contrato. </w:t>
      </w:r>
    </w:p>
    <w:p w14:paraId="25ECD835"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0A2F1F4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Los viáticos solo podrán computarse como factor salarial para la liquidación de cesantías y pensiones cuando se cumplan las condiciones señaladas en la letra i) del artículo 45 del Decreto-ley 1045 de 1978. </w:t>
      </w:r>
    </w:p>
    <w:p w14:paraId="4CCFBF35"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8E73AF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xml:space="preserve">El Departamento Administrativo de la Presidencia de la República podrá pagar con cargo a este rubro los gastos de esta naturaleza al Personal Militar, de Policía, del </w:t>
      </w:r>
      <w:proofErr w:type="spellStart"/>
      <w:r w:rsidRPr="007B59C3">
        <w:rPr>
          <w:rFonts w:ascii="Arial" w:eastAsia="Times New Roman" w:hAnsi="Arial" w:cs="Arial"/>
          <w:lang w:eastAsia="es-CO"/>
        </w:rPr>
        <w:t>Inpec</w:t>
      </w:r>
      <w:proofErr w:type="spellEnd"/>
      <w:r w:rsidRPr="007B59C3">
        <w:rPr>
          <w:rFonts w:ascii="Arial" w:eastAsia="Times New Roman" w:hAnsi="Arial" w:cs="Arial"/>
          <w:lang w:eastAsia="es-CO"/>
        </w:rPr>
        <w:t xml:space="preserve"> a su servicio. </w:t>
      </w:r>
    </w:p>
    <w:p w14:paraId="39CE8A26"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43969AE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Las entidades públicas a las cuales la Unidad Nacional de Protección, o la Policía Nacional presten servicios de protección y seguridad personal a sus funcionarios, podrán cubrir con cargo al rubro de viáticos y gastos de viaje de sus respectivos presupuestos, los gastos causados por los funcionarios que hayan sido designados por aquel para tal fin. </w:t>
      </w:r>
    </w:p>
    <w:p w14:paraId="03C1C4F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BAD4BC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De igual forma la Unidad de Salud del Ministerio de Defensa Nacional, podrá pagar con cargo a este rubro los gastos de esta naturaleza al personal Militar del área asistencial -médicos, odontólogos, bacteriólogos, enfermeros, auxiliares de enfermería y psicólogos - que están al servicio del Subsistema de Salud de las Fuerzas Militares. </w:t>
      </w:r>
    </w:p>
    <w:p w14:paraId="0240352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4432327" w14:textId="3D230DEF"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lastRenderedPageBreak/>
        <w:t>IMPRESOS Y PUBLICACIONES  </w:t>
      </w:r>
    </w:p>
    <w:p w14:paraId="04DA6D1C" w14:textId="77777777" w:rsidR="008F1AF6" w:rsidRPr="007B59C3" w:rsidRDefault="008F1AF6" w:rsidP="00F47264">
      <w:pPr>
        <w:spacing w:after="0" w:line="240" w:lineRule="auto"/>
        <w:jc w:val="both"/>
        <w:rPr>
          <w:rFonts w:ascii="Arial" w:eastAsia="Times New Roman" w:hAnsi="Arial" w:cs="Arial"/>
          <w:lang w:eastAsia="es-CO"/>
        </w:rPr>
      </w:pPr>
    </w:p>
    <w:p w14:paraId="4EA88C26"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Por este rubro se pueden ordenar y pagar los gastos por edición de formas, escritos, publicaciones, revistas y libros, trabajos tipográficos, sellos, autenticaciones, suscripciones, adquisición de revistas y libros, pago de avisos institucionales y videos de televisión. </w:t>
      </w:r>
    </w:p>
    <w:p w14:paraId="33157DD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A88D055" w14:textId="4A987222"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COMUNICACIONES Y TRANSPORTE  </w:t>
      </w:r>
    </w:p>
    <w:p w14:paraId="555F6D93" w14:textId="77777777" w:rsidR="008F1AF6" w:rsidRPr="007B59C3" w:rsidRDefault="008F1AF6" w:rsidP="00F47264">
      <w:pPr>
        <w:spacing w:after="0" w:line="240" w:lineRule="auto"/>
        <w:jc w:val="both"/>
        <w:rPr>
          <w:rFonts w:ascii="Arial" w:eastAsia="Times New Roman" w:hAnsi="Arial" w:cs="Arial"/>
          <w:lang w:eastAsia="es-CO"/>
        </w:rPr>
      </w:pPr>
    </w:p>
    <w:p w14:paraId="4DAD2E0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Se cubre por este concepto aquellos gastos tales como los de mensajería, correos, correo electrónico, beeper, telégrafos, alquiler de líneas, embalaje y acarreo de los elementos. Igualmente incluye el transporte colectivo de los funcionarios del órgano. </w:t>
      </w:r>
    </w:p>
    <w:p w14:paraId="07CCE5D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A9A54A0" w14:textId="48FB7778"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Por este rubro se podrán imputar los gastos de transporte, en el perímetro urbano o intermunicipal de los inspectores de trabajo, con sujeción a las Leyes 23 de 1967 y 47 de 1975; así como de los funcionarios de la Unidad Administrativa Especial - Dirección de Impuestos y Aduanas Nacionales, cuando el desplazamiento deba realizarse a puertos, aeropuertos, almacenes generales de depósito, depósitos habilitados o zonas francas, para las funciones de comercialización, representación externa, investigación disciplinaria, operativa, cobranza, fiscalización, devolución y liquidación de los tributos administrados por la entidad. De la misma manera, se podrán imputar los gastos de transporte de los funcionarios que adelanten funciones operativas para llegar a bordo de los barcos de arribo en el proceso de recuperación de documentos e inspección de mercancías. </w:t>
      </w:r>
    </w:p>
    <w:p w14:paraId="722312FA" w14:textId="77777777" w:rsidR="008F1AF6" w:rsidRPr="007B59C3" w:rsidRDefault="008F1AF6" w:rsidP="00F47264">
      <w:pPr>
        <w:spacing w:after="0" w:line="240" w:lineRule="auto"/>
        <w:jc w:val="both"/>
        <w:rPr>
          <w:rFonts w:ascii="Arial" w:eastAsia="Times New Roman" w:hAnsi="Arial" w:cs="Arial"/>
          <w:lang w:eastAsia="es-CO"/>
        </w:rPr>
      </w:pPr>
    </w:p>
    <w:p w14:paraId="6DAD7110" w14:textId="469BFF99"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GASTOS JUDICIALES  </w:t>
      </w:r>
    </w:p>
    <w:p w14:paraId="69A9774E" w14:textId="77777777" w:rsidR="008F1AF6" w:rsidRPr="007B59C3" w:rsidRDefault="008F1AF6" w:rsidP="00F47264">
      <w:pPr>
        <w:spacing w:after="0" w:line="240" w:lineRule="auto"/>
        <w:jc w:val="both"/>
        <w:rPr>
          <w:rFonts w:ascii="Arial" w:eastAsia="Times New Roman" w:hAnsi="Arial" w:cs="Arial"/>
          <w:lang w:eastAsia="es-CO"/>
        </w:rPr>
      </w:pPr>
    </w:p>
    <w:p w14:paraId="31D7651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Comprende los gastos que los órganos deben realizar para atender tanto la defensa del interés del Estado en los procesos judiciales que cursan en su contra o cuando actúa como demandante, diferentes a los honorarios de los abogados defensores. </w:t>
      </w:r>
    </w:p>
    <w:p w14:paraId="2F4D8A4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4CBDBF3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Por este rubro se atenderán gastos, tales como: fotocopias de expedientes, transmisión de documentos vía fax, traslado de testigos, transporte para efectuar peritajes, y demás costos judiciales relacionados con los procesos. </w:t>
      </w:r>
    </w:p>
    <w:p w14:paraId="265DBED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56FA688" w14:textId="2552ECAA"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SEGUROS  </w:t>
      </w:r>
    </w:p>
    <w:p w14:paraId="794DFCDD" w14:textId="77777777" w:rsidR="008F1AF6" w:rsidRPr="007B59C3" w:rsidRDefault="008F1AF6" w:rsidP="00F47264">
      <w:pPr>
        <w:spacing w:after="0" w:line="240" w:lineRule="auto"/>
        <w:jc w:val="both"/>
        <w:rPr>
          <w:rFonts w:ascii="Arial" w:eastAsia="Times New Roman" w:hAnsi="Arial" w:cs="Arial"/>
          <w:lang w:eastAsia="es-CO"/>
        </w:rPr>
      </w:pPr>
    </w:p>
    <w:p w14:paraId="57549A7A"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 al costo previsto en los contratos o pólizas para amparar los bienes, muebles e inmuebles, de propiedad de la Nación o de los Establecimientos Públicos Nacionales. La administración deberá adoptar las medidas que estime necesarias para garantizar que en caso de siniestro se reconozca la indemnización pertinente. </w:t>
      </w:r>
    </w:p>
    <w:p w14:paraId="63B729E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04CED51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Este incluye las pólizas que amparan los riesgos profesionales, a empleados de manejo, ordenadores y cuentadantes, cuyo valor debe ser proporcional a la responsabilidad de su manejo. </w:t>
      </w:r>
    </w:p>
    <w:p w14:paraId="0DD09A5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6BE8335" w14:textId="3FEA9296"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GASTOS DE OPERACIÓN ADUANERA  </w:t>
      </w:r>
    </w:p>
    <w:p w14:paraId="25065857" w14:textId="77777777" w:rsidR="008F1AF6" w:rsidRPr="007B59C3" w:rsidRDefault="008F1AF6" w:rsidP="00F47264">
      <w:pPr>
        <w:spacing w:after="0" w:line="240" w:lineRule="auto"/>
        <w:jc w:val="both"/>
        <w:rPr>
          <w:rFonts w:ascii="Arial" w:eastAsia="Times New Roman" w:hAnsi="Arial" w:cs="Arial"/>
          <w:lang w:eastAsia="es-CO"/>
        </w:rPr>
      </w:pPr>
    </w:p>
    <w:p w14:paraId="25BC3C2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 a aquellos gastos que, de acuerdo con los artículos 106 y 107 de la Ley 6 de 1992 y 41 del Decreto 2117 de 1992, deba realizar la Unidad Administrativa Especial - Dirección de Impuestos y Aduanas Nacionales por concepto de transporte, cargue, descargue, empaque, inventarios y demás gastos necesarios para el traslado de las mercancías del lugar de aprehensión hasta el sitio donde estas deban ser depositadas. </w:t>
      </w:r>
    </w:p>
    <w:p w14:paraId="415D85D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BE3FD0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lastRenderedPageBreak/>
        <w:t xml:space="preserve">También se atenderán por este rubro los gastos ocasionados por avalúos, análisis de mercancías, peritajes, bodegajes y gastos orientados al alistamiento, preparación, divulgación y realización de la comercialización o disposición de </w:t>
      </w:r>
      <w:proofErr w:type="gramStart"/>
      <w:r w:rsidRPr="007B59C3">
        <w:rPr>
          <w:rFonts w:ascii="Arial" w:eastAsia="Times New Roman" w:hAnsi="Arial" w:cs="Arial"/>
          <w:lang w:eastAsia="es-CO"/>
        </w:rPr>
        <w:t>las mismas</w:t>
      </w:r>
      <w:proofErr w:type="gramEnd"/>
      <w:r w:rsidRPr="007B59C3">
        <w:rPr>
          <w:rFonts w:ascii="Arial" w:eastAsia="Times New Roman" w:hAnsi="Arial" w:cs="Arial"/>
          <w:lang w:eastAsia="es-CO"/>
        </w:rPr>
        <w:t xml:space="preserve"> por medio de la destrucción o donación. </w:t>
      </w:r>
    </w:p>
    <w:p w14:paraId="346F5F7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FAE5B95" w14:textId="7F77BEE5"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OTROS GASTOS GENERALES POR ADQUISICIÓN DE SERVICIOS  </w:t>
      </w:r>
    </w:p>
    <w:p w14:paraId="2FE3475C" w14:textId="77777777" w:rsidR="008F1AF6" w:rsidRPr="007B59C3" w:rsidRDefault="008F1AF6" w:rsidP="00F47264">
      <w:pPr>
        <w:spacing w:after="0" w:line="240" w:lineRule="auto"/>
        <w:jc w:val="both"/>
        <w:rPr>
          <w:rFonts w:ascii="Arial" w:eastAsia="Times New Roman" w:hAnsi="Arial" w:cs="Arial"/>
          <w:lang w:eastAsia="es-CO"/>
        </w:rPr>
      </w:pPr>
    </w:p>
    <w:p w14:paraId="4EFC2690"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Corresponden a aquellos gastos generales que no pueden ser clasificados dentro de las definiciones anteriores, autorizados por norma legal vigente, como los gastos funerarios, los servicios médicos, hospitalarios, auditoria médica y de medicamentos y servicios portuarios y aeroportuarios de las Fuerzas Militares y la Policía Nacional, así como los siguientes: </w:t>
      </w:r>
    </w:p>
    <w:p w14:paraId="3A604E6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BADD649" w14:textId="3D356B1D"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TRANSPORTE DE INTERNOS  </w:t>
      </w:r>
    </w:p>
    <w:p w14:paraId="455B1772" w14:textId="77777777" w:rsidR="008F1AF6" w:rsidRPr="007B59C3" w:rsidRDefault="008F1AF6" w:rsidP="00F47264">
      <w:pPr>
        <w:spacing w:after="0" w:line="240" w:lineRule="auto"/>
        <w:jc w:val="both"/>
        <w:rPr>
          <w:rFonts w:ascii="Arial" w:eastAsia="Times New Roman" w:hAnsi="Arial" w:cs="Arial"/>
          <w:lang w:eastAsia="es-CO"/>
        </w:rPr>
      </w:pPr>
    </w:p>
    <w:p w14:paraId="77027FD0"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Erogaciones por concepto de remisión y el traslado de internos y guardianes encargados de su custodia y, excepcionalmente, de reclusos que recobren su libertad. </w:t>
      </w:r>
    </w:p>
    <w:p w14:paraId="35EE51D6"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2C66193" w14:textId="529F3712"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SOSTENIMIENTO DE EMBAJADAS Y CONSULADOS  </w:t>
      </w:r>
    </w:p>
    <w:p w14:paraId="41109265" w14:textId="77777777" w:rsidR="008F1AF6" w:rsidRPr="007B59C3" w:rsidRDefault="008F1AF6" w:rsidP="00F47264">
      <w:pPr>
        <w:spacing w:after="0" w:line="240" w:lineRule="auto"/>
        <w:jc w:val="both"/>
        <w:rPr>
          <w:rFonts w:ascii="Arial" w:eastAsia="Times New Roman" w:hAnsi="Arial" w:cs="Arial"/>
          <w:lang w:eastAsia="es-CO"/>
        </w:rPr>
      </w:pPr>
    </w:p>
    <w:p w14:paraId="5F9A0E4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Erogaciones por concepto de agua, luz, teléfono, calefacción, gas, remoción de nieve, cafetería y jardinería, servicio de vigilancia, fotocopias, reparaciones locativas, mantenimiento de máquinas y demás gastos afines, que resulten necesarios para el funcionamiento de las embajadas y consulados. </w:t>
      </w:r>
    </w:p>
    <w:p w14:paraId="3422BDB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3D5F6D8" w14:textId="33CCF2E6"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GASTOS RESERVADOS  </w:t>
      </w:r>
    </w:p>
    <w:p w14:paraId="588F42F6" w14:textId="77777777" w:rsidR="008F1AF6" w:rsidRPr="007B59C3" w:rsidRDefault="008F1AF6" w:rsidP="00F47264">
      <w:pPr>
        <w:spacing w:after="0" w:line="240" w:lineRule="auto"/>
        <w:jc w:val="both"/>
        <w:rPr>
          <w:rFonts w:ascii="Arial" w:eastAsia="Times New Roman" w:hAnsi="Arial" w:cs="Arial"/>
          <w:lang w:eastAsia="es-CO"/>
        </w:rPr>
      </w:pPr>
    </w:p>
    <w:p w14:paraId="326B879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Son aquellos que se realizan para la financiación de actividades de inteligencia, contrainteligencia, investigación criminal, protección de testigos e informantes. </w:t>
      </w:r>
    </w:p>
    <w:p w14:paraId="623EBFB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C4DD155"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Igualmente, son gastos reservados los que se realicen para expedir nuevos documentos de identificación para garantizar la identidad de cobertura de los servidores públicos que ejecuten actividades de inteligencia y contrainteligencia. </w:t>
      </w:r>
    </w:p>
    <w:p w14:paraId="70647B66"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9DEE9D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Se podrán realizar gastos reservados para la protección de servidores públicos vinculados a actividades de inteligencia, contrainteligencia y sus familias. </w:t>
      </w:r>
    </w:p>
    <w:p w14:paraId="57BEE68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519FA78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Los gastos reservados podrán realizarse dentro y fuera del país y se ejecutarán a través del presupuesto de funcionamiento o inversión. Se distinguen por su carácter de secreto y porque su programación, control y justificación son especializados. </w:t>
      </w:r>
    </w:p>
    <w:p w14:paraId="74EBE7D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92A53F0" w14:textId="0B08B64E"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APOYO A OPERACIONES MILITARES Y POLICIALES  </w:t>
      </w:r>
    </w:p>
    <w:p w14:paraId="68468721" w14:textId="77777777" w:rsidR="008F1AF6" w:rsidRPr="007B59C3" w:rsidRDefault="008F1AF6" w:rsidP="00F47264">
      <w:pPr>
        <w:spacing w:after="0" w:line="240" w:lineRule="auto"/>
        <w:jc w:val="both"/>
        <w:rPr>
          <w:rFonts w:ascii="Arial" w:eastAsia="Times New Roman" w:hAnsi="Arial" w:cs="Arial"/>
          <w:lang w:eastAsia="es-CO"/>
        </w:rPr>
      </w:pPr>
    </w:p>
    <w:p w14:paraId="07E2EB7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xml:space="preserve">Son erogaciones destinadas a fortalecer el desarrollo de un operativo o plan militar, policial o de policía judicial específico, que para su eficaz cumplimiento requiere la realización de gastos ocasionales de carácter inaplazable, cuya naturaleza imprescindible debe ser declarada por el </w:t>
      </w:r>
      <w:proofErr w:type="gramStart"/>
      <w:r w:rsidRPr="007B59C3">
        <w:rPr>
          <w:rFonts w:ascii="Arial" w:eastAsia="Times New Roman" w:hAnsi="Arial" w:cs="Arial"/>
          <w:lang w:eastAsia="es-CO"/>
        </w:rPr>
        <w:t>Ministro</w:t>
      </w:r>
      <w:proofErr w:type="gramEnd"/>
      <w:r w:rsidRPr="007B59C3">
        <w:rPr>
          <w:rFonts w:ascii="Arial" w:eastAsia="Times New Roman" w:hAnsi="Arial" w:cs="Arial"/>
          <w:lang w:eastAsia="es-CO"/>
        </w:rPr>
        <w:t xml:space="preserve"> de Defensa Nacional, el Comandante General de las Fuerzas Militares, el Director de la Policía o el Fiscal General de la Nación, según el caso. </w:t>
      </w:r>
    </w:p>
    <w:p w14:paraId="276F0BF2"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6A29F7BC" w14:textId="74BAF10D"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DEFENSA HACIENDA PÚBLICA  </w:t>
      </w:r>
    </w:p>
    <w:p w14:paraId="42BE676C" w14:textId="77777777" w:rsidR="008F1AF6" w:rsidRPr="007B59C3" w:rsidRDefault="008F1AF6" w:rsidP="00F47264">
      <w:pPr>
        <w:spacing w:after="0" w:line="240" w:lineRule="auto"/>
        <w:jc w:val="both"/>
        <w:rPr>
          <w:rFonts w:ascii="Arial" w:eastAsia="Times New Roman" w:hAnsi="Arial" w:cs="Arial"/>
          <w:lang w:eastAsia="es-CO"/>
        </w:rPr>
      </w:pPr>
    </w:p>
    <w:p w14:paraId="6711E9A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lastRenderedPageBreak/>
        <w:t>Por este rubro se atenderán los costos correspondientes a peritajes judiciales, administrativos y disciplinarios, costos judiciales, transporte para efectuar peritajes y diligencias judiciales, fotocopias de expedientes necesarias en los procesos e investigaciones, publicaciones acerca de remates programados y deudores morosos emplazados, y demás erogaciones a que se refiere el artículo 53 de la Ley 6 de 1992 y el artículo 696-1 del Estatuto Tributario. </w:t>
      </w:r>
    </w:p>
    <w:p w14:paraId="353E476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3146CF34" w14:textId="4DB370ED" w:rsidR="00287387" w:rsidRPr="008F1AF6" w:rsidRDefault="00287387" w:rsidP="008F1AF6">
      <w:pPr>
        <w:pStyle w:val="Prrafodelista"/>
        <w:numPr>
          <w:ilvl w:val="1"/>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IMPUESTOS Y MULTAS  </w:t>
      </w:r>
    </w:p>
    <w:p w14:paraId="18BAB4B6" w14:textId="77777777" w:rsidR="008F1AF6" w:rsidRPr="008F1AF6" w:rsidRDefault="008F1AF6" w:rsidP="008F1AF6">
      <w:pPr>
        <w:pStyle w:val="Prrafodelista"/>
        <w:spacing w:after="0" w:line="240" w:lineRule="auto"/>
        <w:ind w:left="1080"/>
        <w:jc w:val="both"/>
        <w:rPr>
          <w:rFonts w:ascii="Arial" w:eastAsia="Times New Roman" w:hAnsi="Arial" w:cs="Arial"/>
          <w:lang w:eastAsia="es-CO"/>
        </w:rPr>
      </w:pPr>
    </w:p>
    <w:p w14:paraId="0487D6FC"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Comprende el impuesto sobre la renta y demás tributos, multas y contribuciones a que estén sujetos los órganos. </w:t>
      </w:r>
    </w:p>
    <w:p w14:paraId="6A4F33E5"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B86DACA" w14:textId="0CE1AD00" w:rsidR="00287387" w:rsidRPr="008F1AF6" w:rsidRDefault="00287387" w:rsidP="008F1AF6">
      <w:pPr>
        <w:pStyle w:val="Prrafodelista"/>
        <w:numPr>
          <w:ilvl w:val="0"/>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TRANSFERENCIAS CORRIENTES  </w:t>
      </w:r>
    </w:p>
    <w:p w14:paraId="5D75D7B9" w14:textId="77777777" w:rsidR="008F1AF6" w:rsidRPr="008F1AF6" w:rsidRDefault="008F1AF6" w:rsidP="008F1AF6">
      <w:pPr>
        <w:pStyle w:val="Prrafodelista"/>
        <w:spacing w:after="0" w:line="240" w:lineRule="auto"/>
        <w:jc w:val="both"/>
        <w:rPr>
          <w:rFonts w:ascii="Arial" w:eastAsia="Times New Roman" w:hAnsi="Arial" w:cs="Arial"/>
          <w:lang w:eastAsia="es-CO"/>
        </w:rPr>
      </w:pPr>
    </w:p>
    <w:p w14:paraId="7F84683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xml:space="preserve">Son recursos que transfieren los órganos a entidades nacionales o internacionales, públicas o privadas, con fundamento en un mandato legal. De igual forma, involucra las apropiaciones destinadas a la previsión y seguridad social, cuando el órgano asume directamente la atención de </w:t>
      </w:r>
      <w:proofErr w:type="gramStart"/>
      <w:r w:rsidRPr="007B59C3">
        <w:rPr>
          <w:rFonts w:ascii="Arial" w:eastAsia="Times New Roman" w:hAnsi="Arial" w:cs="Arial"/>
          <w:lang w:eastAsia="es-CO"/>
        </w:rPr>
        <w:t>la misma</w:t>
      </w:r>
      <w:proofErr w:type="gramEnd"/>
      <w:r w:rsidRPr="007B59C3">
        <w:rPr>
          <w:rFonts w:ascii="Arial" w:eastAsia="Times New Roman" w:hAnsi="Arial" w:cs="Arial"/>
          <w:lang w:eastAsia="es-CO"/>
        </w:rPr>
        <w:t>. </w:t>
      </w:r>
    </w:p>
    <w:p w14:paraId="159F41D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9AD23E1"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La Dirección General del Presupuesto Público Nacional definirá en el Plan de Cuentas la desagregación a que haya lugar. </w:t>
      </w:r>
    </w:p>
    <w:p w14:paraId="22463B9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B69DDCF" w14:textId="31751248" w:rsidR="00287387" w:rsidRPr="008F1AF6" w:rsidRDefault="00287387" w:rsidP="008F1AF6">
      <w:pPr>
        <w:pStyle w:val="Prrafodelista"/>
        <w:numPr>
          <w:ilvl w:val="0"/>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TRANSFERENCIAS DE CAPITAL  </w:t>
      </w:r>
    </w:p>
    <w:p w14:paraId="468683A4" w14:textId="77777777" w:rsidR="008F1AF6" w:rsidRPr="008F1AF6" w:rsidRDefault="008F1AF6" w:rsidP="008F1AF6">
      <w:pPr>
        <w:pStyle w:val="Prrafodelista"/>
        <w:spacing w:after="0" w:line="240" w:lineRule="auto"/>
        <w:jc w:val="both"/>
        <w:rPr>
          <w:rFonts w:ascii="Arial" w:eastAsia="Times New Roman" w:hAnsi="Arial" w:cs="Arial"/>
          <w:lang w:eastAsia="es-CO"/>
        </w:rPr>
      </w:pPr>
    </w:p>
    <w:p w14:paraId="276F3DF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 a aportes a órganos y entidades para gastos de capital y la capitalización del ente receptor. </w:t>
      </w:r>
    </w:p>
    <w:p w14:paraId="71AA136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4B790B1" w14:textId="4008C466" w:rsidR="00287387" w:rsidRPr="008F1AF6" w:rsidRDefault="00287387" w:rsidP="008F1AF6">
      <w:pPr>
        <w:pStyle w:val="Prrafodelista"/>
        <w:numPr>
          <w:ilvl w:val="0"/>
          <w:numId w:val="2"/>
        </w:numPr>
        <w:spacing w:after="0" w:line="240" w:lineRule="auto"/>
        <w:jc w:val="both"/>
        <w:rPr>
          <w:rFonts w:ascii="Arial" w:eastAsia="Times New Roman" w:hAnsi="Arial" w:cs="Arial"/>
          <w:lang w:eastAsia="es-CO"/>
        </w:rPr>
      </w:pPr>
      <w:r w:rsidRPr="008F1AF6">
        <w:rPr>
          <w:rFonts w:ascii="Arial" w:eastAsia="Times New Roman" w:hAnsi="Arial" w:cs="Arial"/>
          <w:lang w:eastAsia="es-CO"/>
        </w:rPr>
        <w:t>GASTOS DE COMERCIALIZACIÓN Y PRODUCCIÓN  </w:t>
      </w:r>
    </w:p>
    <w:p w14:paraId="28257511" w14:textId="77777777" w:rsidR="008F1AF6" w:rsidRPr="008F1AF6" w:rsidRDefault="008F1AF6" w:rsidP="008F1AF6">
      <w:pPr>
        <w:pStyle w:val="Prrafodelista"/>
        <w:spacing w:after="0" w:line="240" w:lineRule="auto"/>
        <w:jc w:val="both"/>
        <w:rPr>
          <w:rFonts w:ascii="Arial" w:eastAsia="Times New Roman" w:hAnsi="Arial" w:cs="Arial"/>
          <w:lang w:eastAsia="es-CO"/>
        </w:rPr>
      </w:pPr>
    </w:p>
    <w:p w14:paraId="31369F5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Corresponde a aquellos gastos que realizan los órganos para adquirir bienes, servicios e insumos que participan directamente en el proceso de producción o comercialización. </w:t>
      </w:r>
    </w:p>
    <w:p w14:paraId="178C43B9"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B0EC5A1" w14:textId="7C650259"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B- SERVICIO DE LA DEUDA  </w:t>
      </w:r>
    </w:p>
    <w:p w14:paraId="4A180931" w14:textId="77777777" w:rsidR="008F1AF6" w:rsidRPr="007B59C3" w:rsidRDefault="008F1AF6" w:rsidP="00F47264">
      <w:pPr>
        <w:spacing w:after="0" w:line="240" w:lineRule="auto"/>
        <w:jc w:val="both"/>
        <w:rPr>
          <w:rFonts w:ascii="Arial" w:eastAsia="Times New Roman" w:hAnsi="Arial" w:cs="Arial"/>
          <w:lang w:eastAsia="es-CO"/>
        </w:rPr>
      </w:pPr>
    </w:p>
    <w:p w14:paraId="00C09EE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Los gastos por concepto del servicio de la deuda pública tanto interna como externa tienen por objeto atender el cumplimiento de las obligaciones contractuales correspondientes al pago de capital, los intereses, las comisiones, y los imprevistos originados en operaciones de crédito público que incluyen los gastos necesarios para la consecución de los créditos externos, realizadas conforme a la ley. </w:t>
      </w:r>
    </w:p>
    <w:p w14:paraId="789C256E"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1954EB4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Los rendimientos que devenguen los títulos de Tesorería clase A y B se atenderán con cargo al Presupuesto Nacional. </w:t>
      </w:r>
    </w:p>
    <w:p w14:paraId="69D364B3"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6DCB19AA" w14:textId="17257631" w:rsidR="00287387"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C- INVERSIÓN  </w:t>
      </w:r>
    </w:p>
    <w:p w14:paraId="13340407" w14:textId="77777777" w:rsidR="008F1AF6" w:rsidRPr="007B59C3" w:rsidRDefault="008F1AF6" w:rsidP="00F47264">
      <w:pPr>
        <w:spacing w:after="0" w:line="240" w:lineRule="auto"/>
        <w:jc w:val="both"/>
        <w:rPr>
          <w:rFonts w:ascii="Arial" w:eastAsia="Times New Roman" w:hAnsi="Arial" w:cs="Arial"/>
          <w:lang w:eastAsia="es-CO"/>
        </w:rPr>
      </w:pPr>
    </w:p>
    <w:p w14:paraId="23A48B84"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Son aquellas erogaciones susceptibles de causar réditos o de ser de algún modo económicamente productivas, o que tengan cuerpo de bienes de utilización perdurable, llamados también de capital por oposición a los de funcionamiento, que se hayan destinado por lo común a extinguirse con su empleo. Asimismo, aquellos gastos destinados a crear infraestructura social. </w:t>
      </w:r>
    </w:p>
    <w:p w14:paraId="7A890B0F"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767A42EB"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lastRenderedPageBreak/>
        <w:t>La característica fundamental de este gasto debe ser que su asignación permita acrecentar la capacidad de producción y productividad en el campo de la estructura física, económica y social. </w:t>
      </w:r>
    </w:p>
    <w:p w14:paraId="4B6636F8"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  </w:t>
      </w:r>
    </w:p>
    <w:p w14:paraId="2B579CD7" w14:textId="77777777" w:rsidR="00287387" w:rsidRPr="007B59C3" w:rsidRDefault="00287387" w:rsidP="00F47264">
      <w:pPr>
        <w:spacing w:after="0" w:line="240" w:lineRule="auto"/>
        <w:jc w:val="both"/>
        <w:rPr>
          <w:rFonts w:ascii="Arial" w:eastAsia="Times New Roman" w:hAnsi="Arial" w:cs="Arial"/>
          <w:lang w:eastAsia="es-CO"/>
        </w:rPr>
      </w:pPr>
      <w:r w:rsidRPr="007B59C3">
        <w:rPr>
          <w:rFonts w:ascii="Arial" w:eastAsia="Times New Roman" w:hAnsi="Arial" w:cs="Arial"/>
          <w:lang w:eastAsia="es-CO"/>
        </w:rPr>
        <w:t>Las inversiones que estén financiadas con recursos del crédito externo, para poder ejecutarse, deberán tener el recurso incorporado en el Presupuesto, tener aprobación de la Dirección General de Crédito Público y Tesoro Nacional y someterse a los procedimientos de contratación administrativa. </w:t>
      </w:r>
    </w:p>
    <w:p w14:paraId="5B28A84A" w14:textId="4916A920" w:rsidR="00A76441" w:rsidRPr="007B59C3" w:rsidRDefault="00A76441" w:rsidP="00F47264">
      <w:pPr>
        <w:spacing w:after="0" w:line="240" w:lineRule="auto"/>
        <w:jc w:val="both"/>
        <w:rPr>
          <w:rFonts w:ascii="Arial" w:hAnsi="Arial" w:cs="Arial"/>
        </w:rPr>
      </w:pPr>
    </w:p>
    <w:p w14:paraId="1293926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39.</w:t>
      </w:r>
      <w:r w:rsidRPr="007B59C3">
        <w:rPr>
          <w:rFonts w:ascii="Arial" w:hAnsi="Arial" w:cs="Arial"/>
          <w:sz w:val="22"/>
          <w:szCs w:val="22"/>
        </w:rPr>
        <w:t> Los conceptos de gastos no definidos anteriormente que figuren en este presupuesto sólo podrán afectarse para los fines propios correspondientes a su denominación conforme al respectivo órgano con fundamento en norma legal. </w:t>
      </w:r>
    </w:p>
    <w:p w14:paraId="42650639" w14:textId="77777777" w:rsidR="00F47264" w:rsidRPr="007B59C3" w:rsidRDefault="00F47264" w:rsidP="00F47264">
      <w:pPr>
        <w:pStyle w:val="NormalWeb"/>
        <w:spacing w:before="0" w:beforeAutospacing="0" w:after="0" w:afterAutospacing="0"/>
        <w:jc w:val="center"/>
        <w:rPr>
          <w:rFonts w:ascii="Arial" w:hAnsi="Arial" w:cs="Arial"/>
          <w:sz w:val="22"/>
          <w:szCs w:val="22"/>
        </w:rPr>
      </w:pPr>
      <w:r w:rsidRPr="007B59C3">
        <w:rPr>
          <w:rFonts w:ascii="Arial" w:hAnsi="Arial" w:cs="Arial"/>
          <w:sz w:val="22"/>
          <w:szCs w:val="22"/>
        </w:rPr>
        <w:t>  </w:t>
      </w:r>
    </w:p>
    <w:p w14:paraId="38AC97C1" w14:textId="77777777" w:rsidR="00F47264" w:rsidRPr="007B59C3" w:rsidRDefault="00F47264" w:rsidP="00F47264">
      <w:pPr>
        <w:pStyle w:val="NormalWeb"/>
        <w:spacing w:before="0" w:beforeAutospacing="0" w:after="0" w:afterAutospacing="0"/>
        <w:jc w:val="center"/>
        <w:rPr>
          <w:rFonts w:ascii="Arial" w:hAnsi="Arial" w:cs="Arial"/>
          <w:b/>
          <w:bCs/>
          <w:sz w:val="22"/>
          <w:szCs w:val="22"/>
        </w:rPr>
      </w:pPr>
      <w:r w:rsidRPr="007B59C3">
        <w:rPr>
          <w:rFonts w:ascii="Arial" w:hAnsi="Arial" w:cs="Arial"/>
          <w:b/>
          <w:bCs/>
          <w:sz w:val="22"/>
          <w:szCs w:val="22"/>
        </w:rPr>
        <w:t>CAPÍTULO VII </w:t>
      </w:r>
    </w:p>
    <w:p w14:paraId="50469D94" w14:textId="633DA978" w:rsidR="00F47264" w:rsidRPr="007B59C3" w:rsidRDefault="008F1AF6" w:rsidP="00F47264">
      <w:pPr>
        <w:pStyle w:val="NormalWeb"/>
        <w:spacing w:before="0" w:beforeAutospacing="0" w:after="0" w:afterAutospacing="0"/>
        <w:jc w:val="center"/>
        <w:rPr>
          <w:rFonts w:ascii="Arial" w:hAnsi="Arial" w:cs="Arial"/>
          <w:b/>
          <w:bCs/>
          <w:sz w:val="22"/>
          <w:szCs w:val="22"/>
        </w:rPr>
      </w:pPr>
      <w:r w:rsidRPr="007B59C3">
        <w:rPr>
          <w:rStyle w:val="Textoennegrita"/>
          <w:rFonts w:ascii="Arial" w:hAnsi="Arial" w:cs="Arial"/>
          <w:sz w:val="22"/>
          <w:szCs w:val="22"/>
        </w:rPr>
        <w:t>DISPOSICIONES VARIAS</w:t>
      </w:r>
      <w:r w:rsidRPr="007B59C3">
        <w:rPr>
          <w:rFonts w:ascii="Arial" w:hAnsi="Arial" w:cs="Arial"/>
          <w:b/>
          <w:bCs/>
          <w:sz w:val="22"/>
          <w:szCs w:val="22"/>
        </w:rPr>
        <w:t> </w:t>
      </w:r>
    </w:p>
    <w:p w14:paraId="79C8735E" w14:textId="0FF5099A" w:rsidR="00F47264" w:rsidRPr="007B59C3" w:rsidRDefault="00F47264" w:rsidP="009F49A1">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43" w:name="ver_30138913"/>
      <w:bookmarkEnd w:id="43"/>
    </w:p>
    <w:p w14:paraId="19FEE73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40.</w:t>
      </w:r>
      <w:r w:rsidRPr="007B59C3">
        <w:rPr>
          <w:rFonts w:ascii="Arial" w:hAnsi="Arial" w:cs="Arial"/>
          <w:sz w:val="22"/>
          <w:szCs w:val="22"/>
        </w:rPr>
        <w:t> El servidor público que reciba una orden de embargo sobre los recursos incorporados en el Presupuesto General de la Nación, incluidas las transferencias que hace la Nación a las entidades territoriales, está obligado a efectuar los trámites correspondientes para solicitar su desembargo. Para este efecto, solicitará al jefe de la sección presupuestal donde se encuentren incorporados los recursos objeto de la medida cautelar la certificación de inembargabilidad. Esta función podrá ser delegada en los términos del artículo 110 del Estatuto Orgánico del Presupuesto. </w:t>
      </w:r>
    </w:p>
    <w:p w14:paraId="62FA065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CD343F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solicitud debe indicar el tipo de proceso, las partes involucradas, el despacho judicial que profirió las medidas cautelares y el origen de los recursos que fueron embargados. </w:t>
      </w:r>
    </w:p>
    <w:p w14:paraId="3FE3A30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AF19816" w14:textId="77777777" w:rsidR="00F47264" w:rsidRPr="007B59C3" w:rsidRDefault="00F47264" w:rsidP="008F1AF6">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En los mismos términos el Representante Legal de las entidades descentralizadas que administran recursos de la seguridad social certificará la inembargabilidad de estos recursos en los términos previstos en el artículo 63 de la Constitución Política en concordancia con el artículo 134 de la Ley 100 de 1993 y el artículo 25 de la Ley 1751 de 2015. </w:t>
      </w:r>
    </w:p>
    <w:p w14:paraId="406B1D54" w14:textId="39E73135" w:rsidR="00F47264" w:rsidRPr="007B59C3" w:rsidRDefault="00F47264" w:rsidP="009F49A1">
      <w:pPr>
        <w:pStyle w:val="NormalWeb"/>
        <w:spacing w:before="0" w:beforeAutospacing="0" w:after="0" w:afterAutospacing="0"/>
        <w:rPr>
          <w:rFonts w:ascii="Arial" w:hAnsi="Arial" w:cs="Arial"/>
          <w:sz w:val="22"/>
          <w:szCs w:val="22"/>
        </w:rPr>
      </w:pPr>
      <w:r w:rsidRPr="007B59C3">
        <w:rPr>
          <w:rFonts w:ascii="Arial" w:hAnsi="Arial" w:cs="Arial"/>
          <w:sz w:val="22"/>
          <w:szCs w:val="22"/>
        </w:rPr>
        <w:t>  </w:t>
      </w:r>
      <w:bookmarkStart w:id="44" w:name="ver_30138914"/>
      <w:bookmarkEnd w:id="44"/>
    </w:p>
    <w:p w14:paraId="685105C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41.</w:t>
      </w:r>
      <w:r w:rsidRPr="007B59C3">
        <w:rPr>
          <w:rFonts w:ascii="Arial" w:hAnsi="Arial" w:cs="Arial"/>
          <w:sz w:val="22"/>
          <w:szCs w:val="22"/>
        </w:rPr>
        <w:t> Los órganos a que se refiere el artículo 3° del presente decreto pagarán los fallos de tutela con cargo al rubro que corresponda a la naturaleza del negocio fallado, igualmente, los contratos de transacción se imputarán con cargo al rubro afectado inicialmente con el respectivo compromiso. </w:t>
      </w:r>
    </w:p>
    <w:p w14:paraId="0758144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90E2E2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Para pagarlos, en primer lugar, se deben efectuar los traslados presupuéstales requeridos, con cargo a los saldos de apropiación disponibles durante la vigencia fiscal en curso. </w:t>
      </w:r>
    </w:p>
    <w:p w14:paraId="100E340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BEF263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Los establecimientos públicos deben atender las providencias que se profieran en su contra, en primer </w:t>
      </w:r>
      <w:proofErr w:type="gramStart"/>
      <w:r w:rsidRPr="007B59C3">
        <w:rPr>
          <w:rFonts w:ascii="Arial" w:hAnsi="Arial" w:cs="Arial"/>
          <w:sz w:val="22"/>
          <w:szCs w:val="22"/>
        </w:rPr>
        <w:t>lugar</w:t>
      </w:r>
      <w:proofErr w:type="gramEnd"/>
      <w:r w:rsidRPr="007B59C3">
        <w:rPr>
          <w:rFonts w:ascii="Arial" w:hAnsi="Arial" w:cs="Arial"/>
          <w:sz w:val="22"/>
          <w:szCs w:val="22"/>
        </w:rPr>
        <w:t xml:space="preserve"> con recursos propios realizando previamente las operaciones presupuéstales a que haya lugar. </w:t>
      </w:r>
    </w:p>
    <w:p w14:paraId="709B04B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610EBC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Con cargo a las apropiaciones del rubro sentencias y conciliaciones, se podrán pagar todos los gastos originados en los tribunales de arbitramento, así como las cauciones o garantías bancadas o de compañía de seguros que se requieran en procesos judiciales. </w:t>
      </w:r>
    </w:p>
    <w:p w14:paraId="5D3F40F7" w14:textId="3A64FA5D" w:rsidR="00F47264" w:rsidRPr="007B59C3" w:rsidRDefault="00F47264" w:rsidP="009F49A1">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45" w:name="ver_30138915"/>
      <w:bookmarkEnd w:id="45"/>
    </w:p>
    <w:p w14:paraId="5EAC1EE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42.</w:t>
      </w:r>
      <w:r w:rsidRPr="007B59C3">
        <w:rPr>
          <w:rFonts w:ascii="Arial" w:hAnsi="Arial" w:cs="Arial"/>
          <w:sz w:val="22"/>
          <w:szCs w:val="22"/>
        </w:rPr>
        <w:t xml:space="preserve"> La Fiscalía General de la Nación, la Policía Nacional, el Ejército Nacional, la Armada Nacional, la Fuerza Aérea y la Unidad Nacional de Protección, deben cubrir con cargo a sus </w:t>
      </w:r>
      <w:r w:rsidRPr="007B59C3">
        <w:rPr>
          <w:rFonts w:ascii="Arial" w:hAnsi="Arial" w:cs="Arial"/>
          <w:sz w:val="22"/>
          <w:szCs w:val="22"/>
        </w:rPr>
        <w:lastRenderedPageBreak/>
        <w:t>respectivos presupuestos, los gastos del personal vinculado a dichos órganos y que conforman los Grupos de Acción Unificada por la Libertad Personal (Gaula), a que se refiere la Ley 282 de 1996. </w:t>
      </w:r>
    </w:p>
    <w:p w14:paraId="0C2AF96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7AE008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La Unidad Nacional de Protección o la Policía Nacional deberán cubrir, con cargo al rubro de viáticos y gastos de viaje de sus respectivos presupuestos, los gastos causados por los funcionarios que hayan sido asignados al Congreso de la República para prestar los servicios de protección y seguridad personal a sus miembros o a esta Institución. </w:t>
      </w:r>
    </w:p>
    <w:p w14:paraId="4D4D5589" w14:textId="131E18E0" w:rsidR="00F47264" w:rsidRPr="007B59C3" w:rsidRDefault="00F47264" w:rsidP="008F1AF6">
      <w:pPr>
        <w:pStyle w:val="NormalWeb"/>
        <w:spacing w:before="0" w:beforeAutospacing="0" w:after="0" w:afterAutospacing="0"/>
        <w:jc w:val="both"/>
        <w:rPr>
          <w:rFonts w:ascii="Arial" w:hAnsi="Arial" w:cs="Arial"/>
        </w:rPr>
      </w:pPr>
      <w:r w:rsidRPr="007B59C3">
        <w:rPr>
          <w:rFonts w:ascii="Arial" w:hAnsi="Arial" w:cs="Arial"/>
          <w:sz w:val="22"/>
          <w:szCs w:val="22"/>
        </w:rPr>
        <w:t>  </w:t>
      </w:r>
      <w:bookmarkStart w:id="46" w:name="ver_30138916"/>
      <w:bookmarkEnd w:id="46"/>
    </w:p>
    <w:p w14:paraId="2AD7417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43.</w:t>
      </w:r>
      <w:r w:rsidRPr="007B59C3">
        <w:rPr>
          <w:rFonts w:ascii="Arial" w:hAnsi="Arial" w:cs="Arial"/>
          <w:sz w:val="22"/>
          <w:szCs w:val="22"/>
        </w:rPr>
        <w:t> Las obligaciones por concepto de servicios médico-asistenciales, servicios públicos domiciliarios, gastos de operación aduanera, comunicaciones, transporte y contribuciones inherentes a la nómina, causados en el último bimestre de 2017, se pueden pagar con cargo a las apropiaciones de la vigencia fiscal de 2018. </w:t>
      </w:r>
    </w:p>
    <w:p w14:paraId="1EF80E4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D48D10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Las vacaciones, la prima de vacaciones, la indemnización a las mismas, la bonificación por recreación, las cesantías, las pensiones, gastos de inhumación, los impuestos, la tarifa de control fiscal, y contribuciones a organismos internacionales, se pueden pagar con cargo al presupuesto vigente cualquiera que sea el año de su causación. Los órganos que hacen parte del Presupuesto General de la Nación podrán pagar, con cargo al presupuesto vigente, las obligaciones recibidas de las entidades liquidadas que fueron causadas por las mismas, correspondientes a servicios públicos domiciliarios y contribuciones inherentes a la nómina, cualquiera que sea el año de su causación, afectando el rubro que les dio origen. </w:t>
      </w:r>
    </w:p>
    <w:p w14:paraId="13F1D586" w14:textId="12EC849B"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47" w:name="ver_30138917"/>
      <w:bookmarkEnd w:id="47"/>
    </w:p>
    <w:p w14:paraId="3F9943D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44.</w:t>
      </w:r>
      <w:r w:rsidRPr="007B59C3">
        <w:rPr>
          <w:rFonts w:ascii="Arial" w:hAnsi="Arial" w:cs="Arial"/>
          <w:sz w:val="22"/>
          <w:szCs w:val="22"/>
        </w:rPr>
        <w:t> </w:t>
      </w:r>
      <w:proofErr w:type="spellStart"/>
      <w:r w:rsidRPr="007B59C3">
        <w:rPr>
          <w:rFonts w:ascii="Arial" w:hAnsi="Arial" w:cs="Arial"/>
          <w:sz w:val="22"/>
          <w:szCs w:val="22"/>
        </w:rPr>
        <w:t>Autorízase</w:t>
      </w:r>
      <w:proofErr w:type="spellEnd"/>
      <w:r w:rsidRPr="007B59C3">
        <w:rPr>
          <w:rFonts w:ascii="Arial" w:hAnsi="Arial" w:cs="Arial"/>
          <w:sz w:val="22"/>
          <w:szCs w:val="22"/>
        </w:rPr>
        <w:t xml:space="preserve"> a la Nación y sus entidades descentralizadas, para efectuar cruces de cuentas entre sí, con entidades territoriales y sus descentralizadas y con las empresas de servicios públicos con participación estatal, sobre las obligaciones que recíprocamente tengan causadas. Para estos efectos se requerirá acuerdo previo entre las partes. Estas operaciones deben reflejarse en el presupuesto, conservando únicamente la destinación para la cual fueron programadas las apropiaciones respectivas. En el caso de las obligaciones de origen legal que tenga la Nación y sus entidades descentralizadas para con otros órganos públicos, se deben tener en cuenta, para efectos de estas compensaciones, las transferencias y aportes, a cualquier título, que las primeras hayan efectuado a las últimas en cualquier vigencia fiscal. Si quedare algún saldo en contra de la Nación, esta podrá sufragarlo a través de títulos de deuda pública, sin que implique operación presupuestal alguna. Cuando concurran las calidades de acreedor y deudor en una misma persona, como consecuencia de un proceso de liquidación o privatización de órganos nacionales de derecho público, se compensarán las cuentas, sin operación presupuestal alguna. </w:t>
      </w:r>
    </w:p>
    <w:p w14:paraId="2F3BA65C" w14:textId="6399A3C0"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48" w:name="ver_30138918"/>
      <w:bookmarkEnd w:id="48"/>
    </w:p>
    <w:p w14:paraId="1E69D1A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45.</w:t>
      </w:r>
      <w:r w:rsidRPr="007B59C3">
        <w:rPr>
          <w:rFonts w:ascii="Arial" w:hAnsi="Arial" w:cs="Arial"/>
          <w:sz w:val="22"/>
          <w:szCs w:val="22"/>
        </w:rPr>
        <w:t xml:space="preserve"> El porcentaje de la cesión del impuesto a las ventas asignado a las cajas departamentales de previsión y al Fondo de Prestaciones Sociales del Magisterio, con destino al pago de las cesantías definitivas y pensiones del personal docente nacionalizado, continuará </w:t>
      </w:r>
      <w:proofErr w:type="gramStart"/>
      <w:r w:rsidRPr="007B59C3">
        <w:rPr>
          <w:rFonts w:ascii="Arial" w:hAnsi="Arial" w:cs="Arial"/>
          <w:sz w:val="22"/>
          <w:szCs w:val="22"/>
        </w:rPr>
        <w:t>pagándose tomando</w:t>
      </w:r>
      <w:proofErr w:type="gramEnd"/>
      <w:r w:rsidRPr="007B59C3">
        <w:rPr>
          <w:rFonts w:ascii="Arial" w:hAnsi="Arial" w:cs="Arial"/>
          <w:sz w:val="22"/>
          <w:szCs w:val="22"/>
        </w:rPr>
        <w:t xml:space="preserve"> como base los convenios suscritos en virtud de lo dispuesto en la Ley 91 de 1989. </w:t>
      </w:r>
    </w:p>
    <w:p w14:paraId="760BE39E" w14:textId="350646B5"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49" w:name="ver_30138919"/>
      <w:bookmarkEnd w:id="49"/>
    </w:p>
    <w:p w14:paraId="4128145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46.</w:t>
      </w:r>
      <w:r w:rsidRPr="007B59C3">
        <w:rPr>
          <w:rFonts w:ascii="Arial" w:hAnsi="Arial" w:cs="Arial"/>
          <w:sz w:val="22"/>
          <w:szCs w:val="22"/>
        </w:rPr>
        <w:t> La ejecución de los recursos que se giran al Fondo Nacional de Pensiones de las Entidades Territoriales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con cargo al Presupuesto General de la Nación, se realizará por medio de resolución expedida por el Ministerio de Hacienda y Crédito Público, ordenando el giro de los recursos. Si no fuere posible realizar el giro de los recursos a las administradoras del Fondo, bastará para el mismo efecto, que por dicha resolución se disponga la administración de </w:t>
      </w:r>
      <w:proofErr w:type="gramStart"/>
      <w:r w:rsidRPr="007B59C3">
        <w:rPr>
          <w:rFonts w:ascii="Arial" w:hAnsi="Arial" w:cs="Arial"/>
          <w:sz w:val="22"/>
          <w:szCs w:val="22"/>
        </w:rPr>
        <w:t>los mismos</w:t>
      </w:r>
      <w:proofErr w:type="gramEnd"/>
      <w:r w:rsidRPr="007B59C3">
        <w:rPr>
          <w:rFonts w:ascii="Arial" w:hAnsi="Arial" w:cs="Arial"/>
          <w:sz w:val="22"/>
          <w:szCs w:val="22"/>
        </w:rPr>
        <w:t xml:space="preserve"> por parte de la Dirección General de Crédito Público y Tesoro Nacional del Ministerio de Hacienda y Crédito Público a través de una cuenta especial, mientras los recursos puedan ser efectivamente entregados. </w:t>
      </w:r>
    </w:p>
    <w:p w14:paraId="39A135D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  </w:t>
      </w:r>
    </w:p>
    <w:p w14:paraId="789AF94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recursos serán girados con la periodicidad que disponga el Gobierno nacional. En el evento en que los recursos no se hayan distribuido en su totalidad entre las entidades territoriales, los no distribuidos se podrán girar a una cuenta del Fondo, administrada de la misma manera que los demás recursos del Fondo, como recursos por abonar a las cuentas correspondientes de las entidades territoriales. </w:t>
      </w:r>
    </w:p>
    <w:p w14:paraId="6C591A6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15637D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Para efectos de realizar la verificación de las condiciones a las que hace referencia el parágrafo 3° del artículo 2° de la Ley 549 de 1999, el Gobierno nacional determinará las condiciones sustanciales que deben acreditarse, los documentos que deben remitirse para el efecto, y el procedimiento con que la misma se realizará. Mientras se producen las verificaciones, se girarán los recursos en la forma prevista en el inciso anterior. </w:t>
      </w:r>
    </w:p>
    <w:p w14:paraId="53A8C78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CFCA95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Cuando se establezca que la realidad no corresponde con lo que se acreditó, se descontarán los recursos correspondientes, para efectos de ser redistribuidos, sin que dicha nueva distribución constituya un nuevo acto de ejecución presupuestal. </w:t>
      </w:r>
    </w:p>
    <w:p w14:paraId="20037091" w14:textId="7FD9397E"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0" w:name="ver_30138920"/>
      <w:bookmarkEnd w:id="50"/>
    </w:p>
    <w:p w14:paraId="3F02369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47.</w:t>
      </w:r>
      <w:r w:rsidRPr="007B59C3">
        <w:rPr>
          <w:rFonts w:ascii="Arial" w:hAnsi="Arial" w:cs="Arial"/>
          <w:sz w:val="22"/>
          <w:szCs w:val="22"/>
        </w:rPr>
        <w:t xml:space="preserve"> Sin perjuicio de lo establecido en las normas vigentes para el pago de la deuda correspondiente al pasivo pensional de las entidades territoriales con el </w:t>
      </w:r>
      <w:proofErr w:type="spellStart"/>
      <w:r w:rsidRPr="007B59C3">
        <w:rPr>
          <w:rFonts w:ascii="Arial" w:hAnsi="Arial" w:cs="Arial"/>
          <w:sz w:val="22"/>
          <w:szCs w:val="22"/>
        </w:rPr>
        <w:t>Fomag</w:t>
      </w:r>
      <w:proofErr w:type="spellEnd"/>
      <w:r w:rsidRPr="007B59C3">
        <w:rPr>
          <w:rFonts w:ascii="Arial" w:hAnsi="Arial" w:cs="Arial"/>
          <w:sz w:val="22"/>
          <w:szCs w:val="22"/>
        </w:rPr>
        <w:t xml:space="preserve"> y de los recursos asignados en el Presupuesto General de la Nación, durante la vigencia fiscal 2018 y en cumplimiento del parágrafo 2° del artículo 18 de la Ley 715 de 2001, el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deberá girar al </w:t>
      </w:r>
      <w:proofErr w:type="spellStart"/>
      <w:r w:rsidRPr="007B59C3">
        <w:rPr>
          <w:rFonts w:ascii="Arial" w:hAnsi="Arial" w:cs="Arial"/>
          <w:sz w:val="22"/>
          <w:szCs w:val="22"/>
        </w:rPr>
        <w:t>Fomag</w:t>
      </w:r>
      <w:proofErr w:type="spellEnd"/>
      <w:r w:rsidRPr="007B59C3">
        <w:rPr>
          <w:rFonts w:ascii="Arial" w:hAnsi="Arial" w:cs="Arial"/>
          <w:sz w:val="22"/>
          <w:szCs w:val="22"/>
        </w:rPr>
        <w:t xml:space="preserve"> como amortización de la deuda pensional de los entes territoriales los recursos acumulados por cada una de ellas en el sector Educación del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sólo teniendo en cuenta el valor del pasivo pensional registrado en el Sistema de Información del Fondo y las necesidades de financiamiento de la nómina de pensionados que determine el Ministerio de Hacienda y Crédito Público. Para el efecto, el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podrá trasladar recursos excedentes del sector propósito general de cada entidad territorial al sector educación, cuando no cuenten con los recursos suficientes para atender sus pasivos pensiónales en dicho sector. </w:t>
      </w:r>
    </w:p>
    <w:p w14:paraId="52F4A5A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E84DCD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En caso de que por efecto de la actualización de los cálculos actuariales de las entidades territoriales resulten giros superiores al pasivo pensional, estos serán abonados en la vigencia fiscal siguiente a favor de la Entidad Territorial. </w:t>
      </w:r>
    </w:p>
    <w:p w14:paraId="1A196C7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C62DFD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El </w:t>
      </w:r>
      <w:proofErr w:type="spellStart"/>
      <w:r w:rsidRPr="007B59C3">
        <w:rPr>
          <w:rFonts w:ascii="Arial" w:hAnsi="Arial" w:cs="Arial"/>
          <w:sz w:val="22"/>
          <w:szCs w:val="22"/>
        </w:rPr>
        <w:t>Fomag</w:t>
      </w:r>
      <w:proofErr w:type="spellEnd"/>
      <w:r w:rsidRPr="007B59C3">
        <w:rPr>
          <w:rFonts w:ascii="Arial" w:hAnsi="Arial" w:cs="Arial"/>
          <w:sz w:val="22"/>
          <w:szCs w:val="22"/>
        </w:rPr>
        <w:t xml:space="preserve"> informará de estas operaciones a las entidades territoriales para su correspondiente registro presupuestal y contabilización. </w:t>
      </w:r>
    </w:p>
    <w:p w14:paraId="06375C69" w14:textId="28EFAB43"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1" w:name="ver_30138921"/>
      <w:bookmarkEnd w:id="51"/>
    </w:p>
    <w:p w14:paraId="14E0E48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48.</w:t>
      </w:r>
      <w:r w:rsidRPr="007B59C3">
        <w:rPr>
          <w:rFonts w:ascii="Arial" w:hAnsi="Arial" w:cs="Arial"/>
          <w:sz w:val="22"/>
          <w:szCs w:val="22"/>
        </w:rPr>
        <w:t xml:space="preserve"> En cumplimiento de lo dispuesto, por la Ley 643 de 2001 para el caso de los municipios y por la Ley 1753 de 2015 para todas las entidades territoriales, el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deberá efectuar el giro de recursos acumulados en el sector salud a 31 de diciembre de 2017, a la Administradora de los Recursos del Sistema General de Seguridad Social en Salud (Adres), correspondiente a las entidades territoriales para las cuales, a esa misma fecha de corte, se haya determinado la no existencia de pasivos pensiónales del sector salud o que los mismos se encuentren totalmente financiados, de acuerdo con el registro en el Sistema de Información del </w:t>
      </w:r>
      <w:proofErr w:type="spellStart"/>
      <w:r w:rsidRPr="007B59C3">
        <w:rPr>
          <w:rFonts w:ascii="Arial" w:hAnsi="Arial" w:cs="Arial"/>
          <w:sz w:val="22"/>
          <w:szCs w:val="22"/>
        </w:rPr>
        <w:t>Fonpet</w:t>
      </w:r>
      <w:proofErr w:type="spellEnd"/>
      <w:r w:rsidRPr="007B59C3">
        <w:rPr>
          <w:rFonts w:ascii="Arial" w:hAnsi="Arial" w:cs="Arial"/>
          <w:sz w:val="22"/>
          <w:szCs w:val="22"/>
        </w:rPr>
        <w:t>, según los requerimientos de cofinanciación del gasto corriente del régimen subsidiado y la programación de caja, que establezca el Ministerio de Hacienda y Crédito Público. Las entidades territoriales registrarán presupuestalmente sin situación de fondos estas operaciones y realizarán el respectivo registro contable con base en la información que suministre el Ministerio de Hacienda y Crédito Público. </w:t>
      </w:r>
    </w:p>
    <w:p w14:paraId="75E198B3" w14:textId="01F14C8C"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2" w:name="ver_30138922"/>
      <w:bookmarkEnd w:id="52"/>
    </w:p>
    <w:p w14:paraId="6AAC05D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lastRenderedPageBreak/>
        <w:t>Artículo 49.</w:t>
      </w:r>
      <w:r w:rsidRPr="007B59C3">
        <w:rPr>
          <w:rFonts w:ascii="Arial" w:hAnsi="Arial" w:cs="Arial"/>
          <w:sz w:val="22"/>
          <w:szCs w:val="22"/>
        </w:rPr>
        <w:t xml:space="preserve"> Los retiros de recursos de las cuentas de las entidades territoriales en el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para el pago de bonos pensiónales o cuotas partes de bonos pensiónales y cuotas partes pensiónales, se efectuarán de conformidad con la normativa vigente, sin que la entidad territorial requiera acreditar previamente la incorporación en su presupuesto. Durante la vigencia tales entidades territoriales deberán realizar la incorporación presupuestal y el registro contable de los pagos que por estos conceptos sean realizados por el </w:t>
      </w:r>
      <w:proofErr w:type="spellStart"/>
      <w:r w:rsidRPr="007B59C3">
        <w:rPr>
          <w:rFonts w:ascii="Arial" w:hAnsi="Arial" w:cs="Arial"/>
          <w:sz w:val="22"/>
          <w:szCs w:val="22"/>
        </w:rPr>
        <w:t>Fonpet</w:t>
      </w:r>
      <w:proofErr w:type="spellEnd"/>
      <w:r w:rsidRPr="007B59C3">
        <w:rPr>
          <w:rFonts w:ascii="Arial" w:hAnsi="Arial" w:cs="Arial"/>
          <w:sz w:val="22"/>
          <w:szCs w:val="22"/>
        </w:rPr>
        <w:t>. </w:t>
      </w:r>
    </w:p>
    <w:p w14:paraId="6468B17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F6E04F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Para el caso de mesadas pensiónales, por solicitud de las entidades territoriales el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podrá girar recursos para el pago de nómina de pensionados de la administración central territorial, hasta por el monto total del valor apropiado para pago de mesadas pensiónales por las entidades territoriales para dicha vigencia aplicando el porcentaje de cubrimiento del pasivo pensional del sector propósito general sobre dicho valor. </w:t>
      </w:r>
    </w:p>
    <w:p w14:paraId="5AC0670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23DF48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 previsto en el presente artículo se efectuará para las entidades territoriales que cumplan los requisitos establecidos en la Ley 549 de 1999 y demás normas vigentes, de acuerdo con las instrucciones y la información que suministre el Ministerio de Hacienda y Crédito Público. </w:t>
      </w:r>
    </w:p>
    <w:p w14:paraId="63F748CA" w14:textId="27C6990D"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3" w:name="ver_30138923"/>
      <w:bookmarkEnd w:id="53"/>
    </w:p>
    <w:p w14:paraId="20B06BF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50.</w:t>
      </w:r>
      <w:r w:rsidRPr="007B59C3">
        <w:rPr>
          <w:rFonts w:ascii="Arial" w:hAnsi="Arial" w:cs="Arial"/>
          <w:sz w:val="22"/>
          <w:szCs w:val="22"/>
        </w:rPr>
        <w:t> Las entidades estatales podrán constituir mediante patrimonio autónomo los fondos a que se refiere el artículo 107 de la Ley 42 de 1993. Los recursos que se coloquen en dichos fondos ampararán los bienes del Estado cuando los estudios técnicos indiquen que es más conveniente la cobertura de los riesgos con reservas públicas que con seguros comerciales. </w:t>
      </w:r>
    </w:p>
    <w:p w14:paraId="2B29A80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81F3C0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Cuando los estudios técnicos permitan establecer que determinados bienes no son asegurables o que su aseguramiento implica costos de tal naturaleza que la relación costo-beneficio del aseguramiento es negativa, o que los recursos para autoprotección mediante fondos de aseguramiento son de tal magnitud que no es posible o conveniente su uso para tal fin, se podrá asumir el riesgo frente a estos bienes y no asegurarlos ni ampararlos con fondos de aseguramiento. </w:t>
      </w:r>
    </w:p>
    <w:p w14:paraId="614FAB1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8629E3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También podrán contratar un seguro de responsabilidad civil para servidores públicos, mediante el cual se ampare la responsabilidad de </w:t>
      </w:r>
      <w:proofErr w:type="gramStart"/>
      <w:r w:rsidRPr="007B59C3">
        <w:rPr>
          <w:rFonts w:ascii="Arial" w:hAnsi="Arial" w:cs="Arial"/>
          <w:sz w:val="22"/>
          <w:szCs w:val="22"/>
        </w:rPr>
        <w:t>los mismos</w:t>
      </w:r>
      <w:proofErr w:type="gramEnd"/>
      <w:r w:rsidRPr="007B59C3">
        <w:rPr>
          <w:rFonts w:ascii="Arial" w:hAnsi="Arial" w:cs="Arial"/>
          <w:sz w:val="22"/>
          <w:szCs w:val="22"/>
        </w:rPr>
        <w:t xml:space="preserve"> por actos o hechos no dolosos ocurridos en ejercicio de sus funciones, y los gastos de defensa en materia disciplinaria, penal y fiscal que deban realizar; estos últimos gastos los podrán pagar las entidades, siempre y cuando exista decisión definitiva que exonere de toda responsabilidad y no sea condenada la contraparte a las costas del proceso. </w:t>
      </w:r>
    </w:p>
    <w:p w14:paraId="0A5B90A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5C9EC4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Esta disposición será aplicada en las mismas condiciones a los Superintendentes, así como a las Empresas Industriales y Comerciales del Estado y a las Sociedades de Economía Mixta asimiladas a estas. </w:t>
      </w:r>
    </w:p>
    <w:p w14:paraId="11E22EF3" w14:textId="3BC25D65"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4" w:name="ver_30138924"/>
      <w:bookmarkEnd w:id="54"/>
    </w:p>
    <w:p w14:paraId="2D2FDA4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51.</w:t>
      </w:r>
      <w:r w:rsidRPr="007B59C3">
        <w:rPr>
          <w:rFonts w:ascii="Arial" w:hAnsi="Arial" w:cs="Arial"/>
          <w:sz w:val="22"/>
          <w:szCs w:val="22"/>
        </w:rPr>
        <w:t> En virtud de la autonomía consagrada en el artículo 69 de la Constitución Política, las universidades estatales pagarán las sentencias o fallos proferidos en contra de la Nación con los recursos asignados por parte de esta, en cumplimiento del artículo 86 de la Ley 30 de 1992. </w:t>
      </w:r>
    </w:p>
    <w:p w14:paraId="5BA448E5" w14:textId="2D32C7F6"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5" w:name="ver_30138925"/>
      <w:bookmarkEnd w:id="55"/>
    </w:p>
    <w:p w14:paraId="488D680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52.</w:t>
      </w:r>
      <w:r w:rsidRPr="007B59C3">
        <w:rPr>
          <w:rFonts w:ascii="Arial" w:hAnsi="Arial" w:cs="Arial"/>
          <w:sz w:val="22"/>
          <w:szCs w:val="22"/>
        </w:rPr>
        <w:t> Con los ingresos corrientes y excedentes de la Subcuenta de Solidaridad del Fondo de Solidaridad Pensional se podrán financiar programas de la Subcuenta de Subsistencia de dicho Fondo, para la protección de las personas en estado de indigencia o de pobreza extrema, en los términos del Decreto 3771 de 2007 y las normas que lo modifiquen o adicionen. </w:t>
      </w:r>
    </w:p>
    <w:p w14:paraId="5B13778A" w14:textId="1F0264EA"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6" w:name="ver_30138926"/>
      <w:bookmarkEnd w:id="56"/>
    </w:p>
    <w:p w14:paraId="14DDD39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lastRenderedPageBreak/>
        <w:t>Artículo 53.</w:t>
      </w:r>
      <w:r w:rsidRPr="007B59C3">
        <w:rPr>
          <w:rFonts w:ascii="Arial" w:hAnsi="Arial" w:cs="Arial"/>
          <w:sz w:val="22"/>
          <w:szCs w:val="22"/>
        </w:rPr>
        <w:t> El Consejo Superior de la Judicatura y la Fiscalía General de la Nación podrán sustituir inmuebles de su propiedad, por obras necesarias para la adquisición, terminación, adecuación y dotación de su infraestructura, sin operación presupuestal alguna. </w:t>
      </w:r>
    </w:p>
    <w:p w14:paraId="66BB4B1A" w14:textId="752C3E62"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7" w:name="ver_30138927"/>
      <w:bookmarkEnd w:id="57"/>
    </w:p>
    <w:p w14:paraId="3A3D1F7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54.</w:t>
      </w:r>
      <w:r w:rsidRPr="007B59C3">
        <w:rPr>
          <w:rFonts w:ascii="Arial" w:hAnsi="Arial" w:cs="Arial"/>
          <w:sz w:val="22"/>
          <w:szCs w:val="22"/>
        </w:rPr>
        <w:t> Con el fin de financiar el Sistema General de Seguridad Social en Salud, en cumplimiento de lo dispuesto en el artículo 48 de la Constitución Política y el artículo 9° de la Ley 1122 de 2007, para la vigencia 2018 se presupuestarán en el Presupuesto General de la Nación los ingresos corrientes y excedentes de: </w:t>
      </w:r>
    </w:p>
    <w:p w14:paraId="55ED6EE6"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10C456C2" w14:textId="77777777" w:rsidR="00F47264" w:rsidRPr="007B59C3" w:rsidRDefault="00F47264" w:rsidP="008F1AF6">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1. Los recursos del </w:t>
      </w:r>
      <w:proofErr w:type="spellStart"/>
      <w:r w:rsidRPr="007B59C3">
        <w:rPr>
          <w:rFonts w:ascii="Arial" w:hAnsi="Arial" w:cs="Arial"/>
          <w:sz w:val="22"/>
          <w:szCs w:val="22"/>
        </w:rPr>
        <w:t>Fonsat</w:t>
      </w:r>
      <w:proofErr w:type="spellEnd"/>
      <w:r w:rsidRPr="007B59C3">
        <w:rPr>
          <w:rFonts w:ascii="Arial" w:hAnsi="Arial" w:cs="Arial"/>
          <w:sz w:val="22"/>
          <w:szCs w:val="22"/>
        </w:rPr>
        <w:t xml:space="preserve"> creado por el Decreto-ley 1032 de 1991; </w:t>
      </w:r>
    </w:p>
    <w:p w14:paraId="21EE7FF7" w14:textId="77777777" w:rsidR="009A2635" w:rsidRDefault="00F47264" w:rsidP="009A2635">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7463F7C2" w14:textId="64F18E57" w:rsidR="00F47264" w:rsidRPr="007B59C3" w:rsidRDefault="00F47264" w:rsidP="009A263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2. Los recursos correspondientes a la contribución equivalente al 50% del valor de la prima anual establecida para el Seguro Obligatorio de Accidentes de Tránsito (SOAT) que se cobra en adición a ella. </w:t>
      </w:r>
    </w:p>
    <w:p w14:paraId="3A24C22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F38B1E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Previa cobertura de los riesgos amparados con cargo a los recursos de los numerales 1 y 2 del presente artículo, se financiará, con cargo a dichos recursos la Sostenibilidad y Afiliación de la Población Pobre y Vulnerable asegurada a través del Régimen Subsidiado; una vez se tenga garantizado el aseguramiento, se podrán destinar recursos a financiar otros programas de salud pública. </w:t>
      </w:r>
    </w:p>
    <w:p w14:paraId="2D0CAD3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A5D5AA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También podrán ser financiados con dichos recursos, en el marco de lo dispuesto por el artículo 337 de la Constitución Política y los tratados e instrumentos internacionales vigentes, los valores que se determinen en cabeza del Estado colombiano por las atenciones iniciales de urgencia que sean prestadas a los nacionales colombianos en el territorio extranjero de zonas de frontera con Colombia, al igual que las atenciones iniciales de urgencia prestadas en el territorio colombiano a los nacionales de los países fronterizos, de conformidad con la reglamentación que para el efecto expida el Gobierno nacional. </w:t>
      </w:r>
    </w:p>
    <w:p w14:paraId="4A6BFD2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BDABED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excedentes de los recursos de los numerales 1 y 2 del presente artículo, con corte a 31 de diciembre de 2017, serán incorporados en el presupuesto de la Administradora de los Recursos del Sistema General de Seguridad Social en Salud (Adres), y se destinarán a la financiación del aseguramiento en salud. </w:t>
      </w:r>
    </w:p>
    <w:p w14:paraId="031478AE" w14:textId="46B3E921"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8" w:name="ver_30138928"/>
      <w:bookmarkEnd w:id="58"/>
    </w:p>
    <w:p w14:paraId="43665EE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55.</w:t>
      </w:r>
      <w:r w:rsidRPr="007B59C3">
        <w:rPr>
          <w:rFonts w:ascii="Arial" w:hAnsi="Arial" w:cs="Arial"/>
          <w:sz w:val="22"/>
          <w:szCs w:val="22"/>
        </w:rPr>
        <w:t> Las entidades responsables de la Reparación Integral a la Población Víctima del conflicto armado, del orden nacional, darán prioridad en la ejecución de sus respectivos presupuestos, a la atención de dicha población y en especial a la población en situación de desplazamiento forzado, en cumplimiento de la Ley 1448 de 2011 y a lo ordenado por la Corte Constitucional en la Sentencia T-025 de 2004 y sus Autos de Seguimiento. </w:t>
      </w:r>
    </w:p>
    <w:p w14:paraId="49540E3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8B25D0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Estas entidades deberán atender prioritariamente todas las solicitudes de Ayuda Humanitaria de Emergencia y Transición constituyendo esta un título de gasto prevalente sobre las demás obligaciones de la entidad. </w:t>
      </w:r>
    </w:p>
    <w:p w14:paraId="108527E1" w14:textId="0536B0BD"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59" w:name="ver_30138929"/>
      <w:bookmarkEnd w:id="59"/>
    </w:p>
    <w:p w14:paraId="5F57907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56.</w:t>
      </w:r>
      <w:r w:rsidRPr="007B59C3">
        <w:rPr>
          <w:rFonts w:ascii="Arial" w:hAnsi="Arial" w:cs="Arial"/>
          <w:sz w:val="22"/>
          <w:szCs w:val="22"/>
        </w:rPr>
        <w:t xml:space="preserve"> Las entidades encargadas de ejecutar la política de víctimas de que trata la Ley 1448 de 2011, especificarán en el Sistema Integrado de Información Financiera SIIF-Nación, en el Sistema Unificado de inversiones y Finanzas Públicas (SUIFP), y en los demás aplicativos que para este propósito el Ministerio de Hacienda y Crédito Público y el Departamento Nacional de Planeación desarrolle, los rubros que dentro de su presupuesto tienen como destino beneficiar a la población víctima, así como los derechos a los que contribuye para su goce efectivo. A fin de </w:t>
      </w:r>
      <w:r w:rsidRPr="007B59C3">
        <w:rPr>
          <w:rFonts w:ascii="Arial" w:hAnsi="Arial" w:cs="Arial"/>
          <w:sz w:val="22"/>
          <w:szCs w:val="22"/>
        </w:rPr>
        <w:lastRenderedPageBreak/>
        <w:t>verificar los avances en la implementación de la Ley 1448 de 2011, remitirán a la Unidad para la Atención y Reparación Integral a las Víctimas los listados de la población beneficiada de las medidas de atención, asistencia y reparación integral previstas para la población víctima del conflicto armado. </w:t>
      </w:r>
    </w:p>
    <w:p w14:paraId="565B3F7A" w14:textId="582E1637"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0" w:name="ver_30138930"/>
      <w:bookmarkEnd w:id="60"/>
    </w:p>
    <w:p w14:paraId="059F031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57.</w:t>
      </w:r>
      <w:r w:rsidRPr="007B59C3">
        <w:rPr>
          <w:rFonts w:ascii="Arial" w:hAnsi="Arial" w:cs="Arial"/>
          <w:sz w:val="22"/>
          <w:szCs w:val="22"/>
        </w:rPr>
        <w:t> En el marco de los principios de concurrencia, complementariedad y subsidiariedad, la Unidad de Atención y Reparación Integral a las Víctimas podrá con cargo al proyecto denominado “Apoyo a entidades territoriales a través de la cofinanciación para la asistencia, atención y reparación integral a las víctimas del desplazamiento forzado a nivel nacional”, cofinanciar iniciativas integrales de atención a la población desplazada que se adelanten por parte de las entidades territoriales. </w:t>
      </w:r>
    </w:p>
    <w:p w14:paraId="3D624A21" w14:textId="5DBFD028"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1" w:name="ver_30138931"/>
      <w:bookmarkEnd w:id="61"/>
    </w:p>
    <w:p w14:paraId="7EC297B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58.</w:t>
      </w:r>
      <w:r w:rsidRPr="007B59C3">
        <w:rPr>
          <w:rFonts w:ascii="Arial" w:hAnsi="Arial" w:cs="Arial"/>
          <w:sz w:val="22"/>
          <w:szCs w:val="22"/>
        </w:rPr>
        <w:t> Bajo la coordinación de la Unidad para la Atención y Reparación Integral a las Victimas y el Departamento Nacional de Planeación, los órganos que integran el Presupuesto General de la Nación encargados de las iniciativas en el marco de la política pública de asistencia, atención y reparación integral a la población víctima, adelantarán la focalización y municipalización indicativa del gasto de inversión destinado a dicha población, en concordancia con la Ley 1448 de 2011 y la reglamentación vigente. </w:t>
      </w:r>
    </w:p>
    <w:p w14:paraId="0A4375D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90C86A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focalización y municipalización indicativas se realizarás teniendo en cuenta las características heterogéneas y las capacidades institucionales de las entidades territoriales, las necesidades identificadas y la ubicación de la población víctima, así como las intervenciones en los procesos territoriales en materia de retornos, reubicaciones, reparaciones colectivas, fallos de restitución, entre otros, con el objeto de procurar la garantía del goce efectivo de sus derechos. </w:t>
      </w:r>
    </w:p>
    <w:p w14:paraId="40A2C0D0" w14:textId="130AE958"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2" w:name="ver_30138932"/>
      <w:bookmarkEnd w:id="62"/>
    </w:p>
    <w:p w14:paraId="3ECBC91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59.</w:t>
      </w:r>
      <w:r w:rsidRPr="007B59C3">
        <w:rPr>
          <w:rFonts w:ascii="Arial" w:hAnsi="Arial" w:cs="Arial"/>
          <w:sz w:val="22"/>
          <w:szCs w:val="22"/>
        </w:rPr>
        <w:t xml:space="preserve"> Los recursos del Fondo para la Rehabilitación, Inversión y Lucha contra el Crimen Organizado (Frisco), en la presente vigencia fiscal serán transferidos a la Nación, y girados por la Sociedad de Activos Especiales S.A.E. S.A.S., a la Dirección General de Crédito Público y Tesoro Nacional del Ministerio de Hacienda y Crédito Público, para reintegrar los recursos que la Nación ha girado, de acuerdo con lo establecido en los Documentos </w:t>
      </w:r>
      <w:proofErr w:type="spellStart"/>
      <w:r w:rsidRPr="007B59C3">
        <w:rPr>
          <w:rFonts w:ascii="Arial" w:hAnsi="Arial" w:cs="Arial"/>
          <w:sz w:val="22"/>
          <w:szCs w:val="22"/>
        </w:rPr>
        <w:t>Conpes</w:t>
      </w:r>
      <w:proofErr w:type="spellEnd"/>
      <w:r w:rsidRPr="007B59C3">
        <w:rPr>
          <w:rFonts w:ascii="Arial" w:hAnsi="Arial" w:cs="Arial"/>
          <w:sz w:val="22"/>
          <w:szCs w:val="22"/>
        </w:rPr>
        <w:t xml:space="preserve"> 3412 de 2006, 3476 de 2007 y 3575 de 2009. </w:t>
      </w:r>
    </w:p>
    <w:p w14:paraId="7AE2DA62" w14:textId="692BFDA1"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3" w:name="ver_30138933"/>
      <w:bookmarkEnd w:id="63"/>
    </w:p>
    <w:p w14:paraId="6BE0E88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60.</w:t>
      </w:r>
      <w:r w:rsidRPr="007B59C3">
        <w:rPr>
          <w:rFonts w:ascii="Arial" w:hAnsi="Arial" w:cs="Arial"/>
          <w:sz w:val="22"/>
          <w:szCs w:val="22"/>
        </w:rPr>
        <w:t> Los hogares beneficiarios del subsidio familiar de vivienda podrán aplicar este subsidio en cualquier parte del país o modalidad de solución de vivienda, tanto en zona urbana como rural, independiente de la modalidad a la cual se postuló o asignó, siempre y cuando sean población desplazada y no se encuentren vinculados a planes de vivienda elegibles destinados a esta población. La población desplazada perteneciente a comunidades indígenas, comunidades negras y afrocolombianas podrán aplicar los subsidios para adquirir, construir o mejorar soluciones de vivienda en propiedades colectivas, conforme a los mandatos constitucionales y legales, tradiciones y sistemas de derecho propio de cada comunidad. </w:t>
      </w:r>
    </w:p>
    <w:p w14:paraId="539107B8" w14:textId="340B7309"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4" w:name="ver_30138934"/>
      <w:bookmarkEnd w:id="64"/>
    </w:p>
    <w:p w14:paraId="7DE210A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61.</w:t>
      </w:r>
      <w:r w:rsidRPr="007B59C3">
        <w:rPr>
          <w:rFonts w:ascii="Arial" w:hAnsi="Arial" w:cs="Arial"/>
          <w:sz w:val="22"/>
          <w:szCs w:val="22"/>
        </w:rPr>
        <w:t> 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“Pago de Pasivos Exigibles - Vigencias Expiradas”. </w:t>
      </w:r>
    </w:p>
    <w:p w14:paraId="64A4FB2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844F5F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789BFD6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  </w:t>
      </w:r>
    </w:p>
    <w:p w14:paraId="13557D5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El mecanismo previsto en el primer inciso de este artículo también procederá cuando se trate del cumplimiento de una obligación originada en la ley, exigible en vigencias anteriores, aun sin que medie certificado de </w:t>
      </w:r>
      <w:proofErr w:type="gramStart"/>
      <w:r w:rsidRPr="007B59C3">
        <w:rPr>
          <w:rFonts w:ascii="Arial" w:hAnsi="Arial" w:cs="Arial"/>
          <w:sz w:val="22"/>
          <w:szCs w:val="22"/>
        </w:rPr>
        <w:t>disponibilidad presupuestal ni el registro presupuestal</w:t>
      </w:r>
      <w:proofErr w:type="gramEnd"/>
      <w:r w:rsidRPr="007B59C3">
        <w:rPr>
          <w:rFonts w:ascii="Arial" w:hAnsi="Arial" w:cs="Arial"/>
          <w:sz w:val="22"/>
          <w:szCs w:val="22"/>
        </w:rPr>
        <w:t>. </w:t>
      </w:r>
    </w:p>
    <w:p w14:paraId="51B61E2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2AF130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Contraloría General de la República. </w:t>
      </w:r>
    </w:p>
    <w:p w14:paraId="21791BF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E322C8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En todo caso, el jefe del órgano respectivo certificará previamente el cumplimiento de los requisitos señalados en este artículo. </w:t>
      </w:r>
    </w:p>
    <w:p w14:paraId="25E2ABB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3E2EE5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 preceptuado en el presente artículo no aplica cuando se configuren como hechos cumplidos. </w:t>
      </w:r>
    </w:p>
    <w:p w14:paraId="16A42E48" w14:textId="2A1DADD3"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5" w:name="ver_30138935"/>
      <w:bookmarkEnd w:id="65"/>
    </w:p>
    <w:p w14:paraId="3390491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62.</w:t>
      </w:r>
      <w:r w:rsidRPr="007B59C3">
        <w:rPr>
          <w:rFonts w:ascii="Arial" w:hAnsi="Arial" w:cs="Arial"/>
          <w:sz w:val="22"/>
          <w:szCs w:val="22"/>
        </w:rPr>
        <w:t> En los presupuestos del Ministerio de Hacienda y Crédito Público y el Departamento Nacional de Planeación se incluirá una apropiación con el objeto de atender los gastos, en otras secciones presupuéstales, para la prevención y atención de desastres, Atención, Asistencia y Reparación Integral a las Víctimas del Conflicto Armado Interno, así como para financiar programas y proyectos de inversión que se encuentren debidamente registrados en el Banco Nacional de Programas y Proyectos de conformidad con el artículo 68 del Estatuto Orgánico del Presupuesto, sin cambiar su destinación y cuantía, en los términos de la Sentencia de la Corte Constitucional C-006/12. </w:t>
      </w:r>
    </w:p>
    <w:p w14:paraId="2AB3FDCD" w14:textId="20DEA29A" w:rsidR="00F47264" w:rsidRPr="007B59C3" w:rsidRDefault="00F47264" w:rsidP="00B456E5">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6" w:name="ver_30138936"/>
      <w:bookmarkEnd w:id="66"/>
    </w:p>
    <w:p w14:paraId="561C67C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63.</w:t>
      </w:r>
      <w:r w:rsidRPr="007B59C3">
        <w:rPr>
          <w:rFonts w:ascii="Arial" w:hAnsi="Arial" w:cs="Arial"/>
          <w:sz w:val="22"/>
          <w:szCs w:val="22"/>
        </w:rPr>
        <w:t> Las asignaciones presupuéstales del Fondo de Tecnología de la Información y las Comunicaciones (</w:t>
      </w:r>
      <w:proofErr w:type="spellStart"/>
      <w:r w:rsidRPr="007B59C3">
        <w:rPr>
          <w:rFonts w:ascii="Arial" w:hAnsi="Arial" w:cs="Arial"/>
          <w:sz w:val="22"/>
          <w:szCs w:val="22"/>
        </w:rPr>
        <w:t>Fontic</w:t>
      </w:r>
      <w:proofErr w:type="spellEnd"/>
      <w:r w:rsidRPr="007B59C3">
        <w:rPr>
          <w:rFonts w:ascii="Arial" w:hAnsi="Arial" w:cs="Arial"/>
          <w:sz w:val="22"/>
          <w:szCs w:val="22"/>
        </w:rPr>
        <w:t>) incluyen los recursos necesarios para cubrir el importe de los costos en que incurra el operador oficial de los servicios de franquicia postal y telegráfica para la prestación de estos servicios a los órganos que hacen parte del Presupuesto General de la Nación. </w:t>
      </w:r>
    </w:p>
    <w:p w14:paraId="1AC53F7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C21793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El Fondo de Tecnología de la Información y las Comunicaciones hará la transferencia de recursos al operador postal y telegráfico oficial, quien expedirá a la entidad destinataria del servicio, el respectivo paz y salvo, tan pronto como reciba los recursos. </w:t>
      </w:r>
    </w:p>
    <w:p w14:paraId="4B345F3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33697B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El </w:t>
      </w:r>
      <w:proofErr w:type="spellStart"/>
      <w:r w:rsidRPr="007B59C3">
        <w:rPr>
          <w:rFonts w:ascii="Arial" w:hAnsi="Arial" w:cs="Arial"/>
          <w:sz w:val="22"/>
          <w:szCs w:val="22"/>
        </w:rPr>
        <w:t>Fontic</w:t>
      </w:r>
      <w:proofErr w:type="spellEnd"/>
      <w:r w:rsidRPr="007B59C3">
        <w:rPr>
          <w:rFonts w:ascii="Arial" w:hAnsi="Arial" w:cs="Arial"/>
          <w:sz w:val="22"/>
          <w:szCs w:val="22"/>
        </w:rPr>
        <w:t xml:space="preserve"> podrá destinar los dineros recibidos por la contraprestación de que trata el artículo 14 de la Ley 1369 de 2009, para financiar el servicio postal universal y cubrir los gastos de vigilancia y control de los operadores postales. </w:t>
      </w:r>
    </w:p>
    <w:p w14:paraId="0D342AC0" w14:textId="312B9A01"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7" w:name="ver_30138937"/>
      <w:bookmarkEnd w:id="67"/>
    </w:p>
    <w:p w14:paraId="2558AE0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64.</w:t>
      </w:r>
      <w:r w:rsidRPr="007B59C3">
        <w:rPr>
          <w:rFonts w:ascii="Arial" w:hAnsi="Arial" w:cs="Arial"/>
          <w:sz w:val="22"/>
          <w:szCs w:val="22"/>
        </w:rPr>
        <w:t> Los órganos que hacen parte del Presupuesto General de la Nación solo podrán solicitar la situación de los recursos aprobados en el Programa Anual de Caja a la Dirección General de Crédito Público y Tesoro Nacional, cuando hayan recibido los bienes y/o servicios o se tengan cumplidos los requisitos que hagan exigible su pago. En ningún caso las entidades podrán solicitar giro de recursos para transferir a Fiducias o Encargos Fiduciarios o a las entidades con las que celebre convenios o contratos interadministrativos, sin que se haya cumplido el objeto del gasto. </w:t>
      </w:r>
    </w:p>
    <w:p w14:paraId="2C9692A8" w14:textId="3DB6C239"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8" w:name="ver_30138938"/>
      <w:bookmarkEnd w:id="68"/>
    </w:p>
    <w:p w14:paraId="2785100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65.</w:t>
      </w:r>
      <w:r w:rsidRPr="007B59C3">
        <w:rPr>
          <w:rFonts w:ascii="Arial" w:hAnsi="Arial" w:cs="Arial"/>
          <w:sz w:val="22"/>
          <w:szCs w:val="22"/>
        </w:rPr>
        <w:t xml:space="preserve"> Con el fin de garantizar el flujo efectivo de recursos en el Sistema General de Seguridad Social en Salud, el Ministerio de Salud y Protección Social o la Entidad Administradora de los Recursos del Sistema General de Seguridad Social en Salud girará directamente, a nombre </w:t>
      </w:r>
      <w:r w:rsidRPr="007B59C3">
        <w:rPr>
          <w:rFonts w:ascii="Arial" w:hAnsi="Arial" w:cs="Arial"/>
          <w:sz w:val="22"/>
          <w:szCs w:val="22"/>
        </w:rPr>
        <w:lastRenderedPageBreak/>
        <w:t>de las Entidades Territoriales, la Unidad de Pago por Capitación a las Entidades Promotoras de Salud o a las Instituciones Prestadoras de Salud de los distritos y los municipios de más de cien mil habitantes (100.000), utilizando el instrumento jurídico definido en artículo 29 de la Ley 1438 de 2011. </w:t>
      </w:r>
    </w:p>
    <w:p w14:paraId="4F1DE22A" w14:textId="28DECFD8"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69" w:name="ver_30138939"/>
      <w:bookmarkEnd w:id="69"/>
    </w:p>
    <w:p w14:paraId="487A55B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66.</w:t>
      </w:r>
      <w:r w:rsidRPr="007B59C3">
        <w:rPr>
          <w:rFonts w:ascii="Arial" w:hAnsi="Arial" w:cs="Arial"/>
          <w:sz w:val="22"/>
          <w:szCs w:val="22"/>
        </w:rPr>
        <w:t xml:space="preserve"> Cuando se extiendan los efectos de una sentencia de unificación jurisprudencial dictada por el Consejo de Estado de conformidad con lo dispuesto con el artículo 102 del Código de Procedimiento Administrativo y de lo Contencioso Administrativo, en virtud de la autonomía presupuestal consagrada en el artículo 110 del Estatuto Orgánico del Presupuesto, la operación presupuestal a que haya lugar será responsabilidad del </w:t>
      </w:r>
      <w:proofErr w:type="gramStart"/>
      <w:r w:rsidRPr="007B59C3">
        <w:rPr>
          <w:rFonts w:ascii="Arial" w:hAnsi="Arial" w:cs="Arial"/>
          <w:sz w:val="22"/>
          <w:szCs w:val="22"/>
        </w:rPr>
        <w:t>Jefe</w:t>
      </w:r>
      <w:proofErr w:type="gramEnd"/>
      <w:r w:rsidRPr="007B59C3">
        <w:rPr>
          <w:rFonts w:ascii="Arial" w:hAnsi="Arial" w:cs="Arial"/>
          <w:sz w:val="22"/>
          <w:szCs w:val="22"/>
        </w:rPr>
        <w:t xml:space="preserve"> de cada órgano y su pago se imputará al rubro que lo generó. </w:t>
      </w:r>
    </w:p>
    <w:p w14:paraId="261D777C" w14:textId="7A6ADB16"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0" w:name="ver_30138940"/>
      <w:bookmarkEnd w:id="70"/>
    </w:p>
    <w:p w14:paraId="537D9C5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67.</w:t>
      </w:r>
      <w:r w:rsidRPr="007B59C3">
        <w:rPr>
          <w:rFonts w:ascii="Arial" w:hAnsi="Arial" w:cs="Arial"/>
          <w:sz w:val="22"/>
          <w:szCs w:val="22"/>
        </w:rPr>
        <w:t xml:space="preserve"> El respaldo presupuestal a cargo de la Nación frente a los títulos que emita Colpensiones para amparar el 20% correspondiente a la Nación del subsidio o incentivo periódico de los BEPS en el caso de indemnización sustitutiva o devolución de aportes, de que trata la Ley 1328 de 2009, considerarán las disponibilidades fiscales de la Nación que sean definidas por el </w:t>
      </w:r>
      <w:proofErr w:type="spellStart"/>
      <w:r w:rsidRPr="007B59C3">
        <w:rPr>
          <w:rFonts w:ascii="Arial" w:hAnsi="Arial" w:cs="Arial"/>
          <w:sz w:val="22"/>
          <w:szCs w:val="22"/>
        </w:rPr>
        <w:t>Confis</w:t>
      </w:r>
      <w:proofErr w:type="spellEnd"/>
      <w:r w:rsidRPr="007B59C3">
        <w:rPr>
          <w:rFonts w:ascii="Arial" w:hAnsi="Arial" w:cs="Arial"/>
          <w:sz w:val="22"/>
          <w:szCs w:val="22"/>
        </w:rPr>
        <w:t>. </w:t>
      </w:r>
    </w:p>
    <w:p w14:paraId="14E2F28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17FA8E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Dichos títulos se podrán programar en el Presupuesto General de la Nación hasta por el monto definido en el Marco de Gasto de Mediano Plazo del sector en la vigencia fiscal en la cual se deba realizar su pago, es decir, a los tres años de la emisión del título. </w:t>
      </w:r>
    </w:p>
    <w:p w14:paraId="1F6E103C" w14:textId="793A1716"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1" w:name="ver_30138941"/>
      <w:bookmarkEnd w:id="71"/>
    </w:p>
    <w:p w14:paraId="5C71A23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68.</w:t>
      </w:r>
      <w:r w:rsidRPr="007B59C3">
        <w:rPr>
          <w:rFonts w:ascii="Arial" w:hAnsi="Arial" w:cs="Arial"/>
          <w:sz w:val="22"/>
          <w:szCs w:val="22"/>
        </w:rPr>
        <w:t> Las entidades que forman parte del Presupuesto General de la Nación destinarán recursos de sus presupuestos para financiar los estudios y diseños de obras que se pretendan realizar en las regiones. </w:t>
      </w:r>
    </w:p>
    <w:p w14:paraId="11A3BABB" w14:textId="52380518"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2" w:name="ver_30138942"/>
      <w:bookmarkEnd w:id="72"/>
    </w:p>
    <w:p w14:paraId="513F4B2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69.</w:t>
      </w:r>
      <w:r w:rsidRPr="007B59C3">
        <w:rPr>
          <w:rFonts w:ascii="Arial" w:hAnsi="Arial" w:cs="Arial"/>
          <w:sz w:val="22"/>
          <w:szCs w:val="22"/>
        </w:rPr>
        <w:t xml:space="preserve"> Las entidades estatales que tienen a cargo la asignación de recursos físicos para los esquemas de seguridad de personas en virtud del </w:t>
      </w:r>
      <w:proofErr w:type="gramStart"/>
      <w:r w:rsidRPr="007B59C3">
        <w:rPr>
          <w:rFonts w:ascii="Arial" w:hAnsi="Arial" w:cs="Arial"/>
          <w:sz w:val="22"/>
          <w:szCs w:val="22"/>
        </w:rPr>
        <w:t>cargo,</w:t>
      </w:r>
      <w:proofErr w:type="gramEnd"/>
      <w:r w:rsidRPr="007B59C3">
        <w:rPr>
          <w:rFonts w:ascii="Arial" w:hAnsi="Arial" w:cs="Arial"/>
          <w:sz w:val="22"/>
          <w:szCs w:val="22"/>
        </w:rPr>
        <w:t xml:space="preserve"> podrán celebrar convenios o contratos interadministrativos con la Unidad Nacional de Protección o con la Policía Nacional, con sujeción a las normas vigentes, para la asunción de los diferentes esquemas de seguridad. </w:t>
      </w:r>
    </w:p>
    <w:p w14:paraId="60B709A4" w14:textId="63F95750"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3" w:name="ver_30138943"/>
      <w:bookmarkEnd w:id="73"/>
    </w:p>
    <w:p w14:paraId="68F9CC0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70.</w:t>
      </w:r>
      <w:r w:rsidRPr="007B59C3">
        <w:rPr>
          <w:rFonts w:ascii="Arial" w:hAnsi="Arial" w:cs="Arial"/>
          <w:sz w:val="22"/>
          <w:szCs w:val="22"/>
        </w:rPr>
        <w:t> Las entidades que hacen parte del Presupuesto General de la Nación que celebren contratos y convenios interadministrativos con entidades del orden territorial, y en donde se ejecuten recursos de partidas que correspondan a inversión regional, exigirán que para la ejecución de dichos proyectos, la Entidad territorial publique previamente el proceso de selección que adelante en el Sistema Electrónico para la Contratación Pública (</w:t>
      </w:r>
      <w:proofErr w:type="spellStart"/>
      <w:r w:rsidRPr="007B59C3">
        <w:rPr>
          <w:rFonts w:ascii="Arial" w:hAnsi="Arial" w:cs="Arial"/>
          <w:sz w:val="22"/>
          <w:szCs w:val="22"/>
        </w:rPr>
        <w:t>Secop</w:t>
      </w:r>
      <w:proofErr w:type="spellEnd"/>
      <w:r w:rsidRPr="007B59C3">
        <w:rPr>
          <w:rFonts w:ascii="Arial" w:hAnsi="Arial" w:cs="Arial"/>
          <w:sz w:val="22"/>
          <w:szCs w:val="22"/>
        </w:rPr>
        <w:t>) y que se dé cumplimiento a la Circular número 1 de 2013 de la Agencia Colombia Compra Eficiente dejando las evidencias y constancias del caso. </w:t>
      </w:r>
    </w:p>
    <w:p w14:paraId="2181187F" w14:textId="77867E11"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4" w:name="ver_30138944"/>
      <w:bookmarkEnd w:id="74"/>
    </w:p>
    <w:p w14:paraId="7095750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71.</w:t>
      </w:r>
      <w:r w:rsidRPr="007B59C3">
        <w:rPr>
          <w:rFonts w:ascii="Arial" w:hAnsi="Arial" w:cs="Arial"/>
          <w:sz w:val="22"/>
          <w:szCs w:val="22"/>
        </w:rPr>
        <w:t> Los pagos por menores tarifas del sector eléctrico y de gas que se causen durante la vigencia del presente decreto, podrán ser girados por el Ministerio de Minas y Energía, con base en la proyección de costos realizada con la información aportada por los prestadores del servicio, o a falta de ella, con base en la información disponible. Los saldos que a 31 de diciembre se generen por este concepto serán atendidos en la vigencia fiscal siguiente. </w:t>
      </w:r>
    </w:p>
    <w:p w14:paraId="30B7BD4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3E4182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El Ministerio de Minas y Energía podrá, con cargo a los recursos disponibles apropiados para el efecto, pagar los saldos que por este concepto se hubieren causado en vigencias anteriores. </w:t>
      </w:r>
    </w:p>
    <w:p w14:paraId="123242C7" w14:textId="1A7CE991"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5" w:name="ver_30138945"/>
      <w:bookmarkEnd w:id="75"/>
    </w:p>
    <w:p w14:paraId="2D3890C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72.</w:t>
      </w:r>
      <w:r w:rsidRPr="007B59C3">
        <w:rPr>
          <w:rFonts w:ascii="Arial" w:hAnsi="Arial" w:cs="Arial"/>
          <w:sz w:val="22"/>
          <w:szCs w:val="22"/>
        </w:rPr>
        <w:t xml:space="preserve"> La apropiación destinada a la ejecución del programa Fortalecimiento de la Gestión Pública en las Entidades Nacionales y Territoriales, aprobada en la sección presupuestal de la </w:t>
      </w:r>
      <w:r w:rsidRPr="007B59C3">
        <w:rPr>
          <w:rFonts w:ascii="Arial" w:hAnsi="Arial" w:cs="Arial"/>
          <w:sz w:val="22"/>
          <w:szCs w:val="22"/>
        </w:rPr>
        <w:lastRenderedPageBreak/>
        <w:t>Escuela Superior de Administración Pública (ESAP), financiada con recursos diferentes a la Ley 21 de 1982, será ejecutada a través de convenio interadministrativo por el Departamento Administrativo de la Función Pública. </w:t>
      </w:r>
    </w:p>
    <w:p w14:paraId="02F034BC" w14:textId="3694138B"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6" w:name="ver_30138946"/>
      <w:bookmarkEnd w:id="76"/>
    </w:p>
    <w:p w14:paraId="5423C07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73.</w:t>
      </w:r>
      <w:r w:rsidRPr="007B59C3">
        <w:rPr>
          <w:rFonts w:ascii="Arial" w:hAnsi="Arial" w:cs="Arial"/>
          <w:sz w:val="22"/>
          <w:szCs w:val="22"/>
        </w:rPr>
        <w:t> Para efectos de atenuar en el mercado interno el impacto de las fluctuaciones de los precios de los combustibles en los mercados internacionales, conforme lo disponen los artículos 69 de la Ley 1151 de 2007 y 101 de la Ley 1450 de 2011, el Ministerio de Minas y Energía podrá autorizar la importación de combustibles con las calidades del país de origen para ser distribuidos de manera exclusiva en los municipios reconocidos por el Gobierno nacional como zonas de frontera. </w:t>
      </w:r>
    </w:p>
    <w:p w14:paraId="48125526" w14:textId="345DA893"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7" w:name="ver_30138947"/>
      <w:bookmarkEnd w:id="77"/>
    </w:p>
    <w:p w14:paraId="02596DD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74.</w:t>
      </w:r>
      <w:r w:rsidRPr="007B59C3">
        <w:rPr>
          <w:rFonts w:ascii="Arial" w:hAnsi="Arial" w:cs="Arial"/>
          <w:sz w:val="22"/>
          <w:szCs w:val="22"/>
        </w:rPr>
        <w:t> La Subcuenta denominada Departamento Archipiélago de San Andrés, Providencia y Santa Catalina, creada en el Fondo Nacional de Gestión de Riesgo de Desastres, continuará durante la vigencia del presente decreto apoyando el financiamiento de programas y proyectos de inversión para la atención de las necesidades que surjan por la ocurrencia de un hecho o circunstancia que genere un efecto económico y social negativo de carácter prolongado, así como para los recursos destinados al cumplimiento de programas estratégicos que para el efecto defina el Gobierno nacional para el Archipiélago de San Andrés, Providencia y Santa Catalina. </w:t>
      </w:r>
    </w:p>
    <w:p w14:paraId="3BD7C58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FC249A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 </w:t>
      </w:r>
      <w:r w:rsidRPr="007B59C3">
        <w:rPr>
          <w:rFonts w:ascii="Arial" w:hAnsi="Arial" w:cs="Arial"/>
          <w:sz w:val="22"/>
          <w:szCs w:val="22"/>
        </w:rPr>
        <w:t>Lo dispuesto en este artículo no imposibilita para que, en caso de así requerirse, se pueda atender gasto en ese Departamento, con cargo a los recursos de las demás subcuentas que integran el Fondo. </w:t>
      </w:r>
    </w:p>
    <w:p w14:paraId="52AC529B" w14:textId="671A816E"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8" w:name="ver_30138948"/>
      <w:bookmarkEnd w:id="78"/>
    </w:p>
    <w:p w14:paraId="37E9E0B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75.</w:t>
      </w:r>
      <w:r w:rsidRPr="007B59C3">
        <w:rPr>
          <w:rFonts w:ascii="Arial" w:hAnsi="Arial" w:cs="Arial"/>
          <w:sz w:val="22"/>
          <w:szCs w:val="22"/>
        </w:rPr>
        <w:t> Los recursos apropiados en la Unidad Nacional de Protección son para cubrir la totalidad del gasto de protección del 1° de enero hasta el 31 de diciembre de 2018, en consecuencia, el Consejo de Estudio de Riesgos y Recomendaciones de Medidas (</w:t>
      </w:r>
      <w:proofErr w:type="spellStart"/>
      <w:r w:rsidRPr="007B59C3">
        <w:rPr>
          <w:rFonts w:ascii="Arial" w:hAnsi="Arial" w:cs="Arial"/>
          <w:sz w:val="22"/>
          <w:szCs w:val="22"/>
        </w:rPr>
        <w:t>Cerrem</w:t>
      </w:r>
      <w:proofErr w:type="spellEnd"/>
      <w:r w:rsidRPr="007B59C3">
        <w:rPr>
          <w:rFonts w:ascii="Arial" w:hAnsi="Arial" w:cs="Arial"/>
          <w:sz w:val="22"/>
          <w:szCs w:val="22"/>
        </w:rPr>
        <w:t>) no podrá ordenar la implementación de medidas de protección a cargo de la Unidad Nacional de Protección sino hasta el monto de las apropiaciones contenidas en la Ley anual de presupuesto para dicha entidad. </w:t>
      </w:r>
    </w:p>
    <w:p w14:paraId="072A16FF" w14:textId="366C0C40"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79" w:name="ver_30138949"/>
      <w:bookmarkEnd w:id="79"/>
    </w:p>
    <w:p w14:paraId="74C0E93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76.</w:t>
      </w:r>
      <w:r w:rsidRPr="007B59C3">
        <w:rPr>
          <w:rFonts w:ascii="Arial" w:hAnsi="Arial" w:cs="Arial"/>
          <w:sz w:val="22"/>
          <w:szCs w:val="22"/>
        </w:rPr>
        <w:t xml:space="preserve"> Como requisito para la aprobación de nuevos registros calificados o para la renovación de los existentes, el Ministerio de Educación Nacional deberá verificar que los recursos para el desarrollo de </w:t>
      </w:r>
      <w:proofErr w:type="gramStart"/>
      <w:r w:rsidRPr="007B59C3">
        <w:rPr>
          <w:rFonts w:ascii="Arial" w:hAnsi="Arial" w:cs="Arial"/>
          <w:sz w:val="22"/>
          <w:szCs w:val="22"/>
        </w:rPr>
        <w:t>los mismos</w:t>
      </w:r>
      <w:proofErr w:type="gramEnd"/>
      <w:r w:rsidRPr="007B59C3">
        <w:rPr>
          <w:rFonts w:ascii="Arial" w:hAnsi="Arial" w:cs="Arial"/>
          <w:sz w:val="22"/>
          <w:szCs w:val="22"/>
        </w:rPr>
        <w:t xml:space="preserve"> cuenten con apropiación presupuestal disponible, de conformidad con lo dispuesto en el artículo 71 del Estatuto Orgánico del Presupuesto. </w:t>
      </w:r>
    </w:p>
    <w:p w14:paraId="216B6915" w14:textId="4D1FEE15"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0" w:name="ver_30138950"/>
      <w:bookmarkEnd w:id="80"/>
    </w:p>
    <w:p w14:paraId="30AAFF1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77.</w:t>
      </w:r>
      <w:r w:rsidRPr="007B59C3">
        <w:rPr>
          <w:rFonts w:ascii="Arial" w:hAnsi="Arial" w:cs="Arial"/>
          <w:sz w:val="22"/>
          <w:szCs w:val="22"/>
        </w:rPr>
        <w:t> El Ministerio de Educación Nacional apoyará el Programa de Alimentación Escolar (PAE) de que trata el artículo 76.17 de la Ley 715 de 2001 con los recursos que le sean apropiados en el Presupuesto General de la Nación. De manera excepcional, y de acuerdo con la reglamentación que para el efecto se expida, el Ministerio de Educación Nacional podrá ejecutar directamente los recursos del PAE que le sean apropiados en su presupuesto de inversión. </w:t>
      </w:r>
    </w:p>
    <w:p w14:paraId="2B0881C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0685FA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recursos que sean transferidos por el Ministerio de Educación Nacional para la operación del PAE, deberán ser ejecutados por las Entidades Territoriales Certificadas en forma concurrente con las demás fuentes de financiación para la alimentación escolar que establezca la normatividad vigente. Para la distribución de los recursos de que trata este artículo, se deberán establecer criterios de priorización de las entidades destinatarias, basados en los principios de eficiencia y equidad. </w:t>
      </w:r>
    </w:p>
    <w:p w14:paraId="3F2A5CC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7358F8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xml:space="preserve"> Las entidades territoriales certificadas podrán celebrar convenios de asociación para la administración y ejecución del PAE con los Municipios no certificados en educación, de su </w:t>
      </w:r>
      <w:r w:rsidRPr="007B59C3">
        <w:rPr>
          <w:rFonts w:ascii="Arial" w:hAnsi="Arial" w:cs="Arial"/>
          <w:sz w:val="22"/>
          <w:szCs w:val="22"/>
        </w:rPr>
        <w:lastRenderedPageBreak/>
        <w:t>jurisdicción, garantizándose siempre el uso concurrente de todos los recursos de financiación para la alimentación escolar que establezca la normatividad vigente. </w:t>
      </w:r>
    </w:p>
    <w:p w14:paraId="25387210" w14:textId="39D89A41"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1" w:name="ver_30138951"/>
      <w:bookmarkEnd w:id="81"/>
    </w:p>
    <w:p w14:paraId="017C8DA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78.</w:t>
      </w:r>
      <w:r w:rsidRPr="007B59C3">
        <w:rPr>
          <w:rFonts w:ascii="Arial" w:hAnsi="Arial" w:cs="Arial"/>
          <w:sz w:val="22"/>
          <w:szCs w:val="22"/>
        </w:rPr>
        <w:t> Durante la vigencia fiscal 2018, el Gobierno nacional podrá concurrir con Colpensiones en el pago de las costas judiciales y agencias en derecho de los procesos judiciales que por concepto de prestaciones pensiónales condenaron al extinto Instituto de Seguros Sociales. Para este efecto, Colpensiones y el Patrimonio Autónomo de Remanentes del I.S.S., realizarán las acciones necesarias para depurar la información correspondiente. </w:t>
      </w:r>
    </w:p>
    <w:p w14:paraId="22522DB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5B058E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En el caso en que las acreencias por concepto de costas judiciales y agencias en derecho correspondan a los fondos de Invalidez, Vejez y Muerte (IVM) se podrán efectuar cruces de cuentas sin operación presupuestal, con base en las transferencias del Presupuesto General de la Nación que se hayan entregado a dichos fondos, para lo cual se harán las operaciones contables que se requieran. </w:t>
      </w:r>
    </w:p>
    <w:p w14:paraId="027B9926" w14:textId="59C95AAD"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2" w:name="ver_30138952"/>
      <w:bookmarkEnd w:id="82"/>
    </w:p>
    <w:p w14:paraId="5AAEF7E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79.</w:t>
      </w:r>
      <w:r w:rsidRPr="007B59C3">
        <w:rPr>
          <w:rFonts w:ascii="Arial" w:hAnsi="Arial" w:cs="Arial"/>
          <w:sz w:val="22"/>
          <w:szCs w:val="22"/>
        </w:rPr>
        <w:t xml:space="preserve"> El Ministerio de Educación Nacional (MEN) en el marco del Programa Ser Pilo Paga, reconocerá, a través del </w:t>
      </w:r>
      <w:proofErr w:type="spellStart"/>
      <w:r w:rsidRPr="007B59C3">
        <w:rPr>
          <w:rFonts w:ascii="Arial" w:hAnsi="Arial" w:cs="Arial"/>
          <w:sz w:val="22"/>
          <w:szCs w:val="22"/>
        </w:rPr>
        <w:t>Icetex</w:t>
      </w:r>
      <w:proofErr w:type="spellEnd"/>
      <w:r w:rsidRPr="007B59C3">
        <w:rPr>
          <w:rFonts w:ascii="Arial" w:hAnsi="Arial" w:cs="Arial"/>
          <w:sz w:val="22"/>
          <w:szCs w:val="22"/>
        </w:rPr>
        <w:t>, a las Universidades Públicas acreditadas en alta calidad que reciban estudiantes beneficiarios de dicho programa, el valor correspondiente al costo asociado a los nuevos cupos creados para la atención de estos estudiantes. El MEN determinará la metodología para estimar los nuevos cupos y el costo asociado a cada nuevo cupo. Los recursos reconocidos por esta vía no harán parte de la base presupuestal de las universidades que los reciban. </w:t>
      </w:r>
    </w:p>
    <w:p w14:paraId="12E911E9" w14:textId="33EFAEB3"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3" w:name="ver_30138953"/>
      <w:bookmarkEnd w:id="83"/>
    </w:p>
    <w:p w14:paraId="1260D0D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80.</w:t>
      </w:r>
      <w:r w:rsidRPr="007B59C3">
        <w:rPr>
          <w:rFonts w:ascii="Arial" w:hAnsi="Arial" w:cs="Arial"/>
          <w:sz w:val="22"/>
          <w:szCs w:val="22"/>
        </w:rPr>
        <w:t> Conforme a lo previsto en el artículo 20 del Decreto 604 de 2013, el presupuesto para el funcionamiento del Servicio Social Complementario de Beneficios Económicos Periódicos (BEPS) de que trata la Ley 1328 de 2009, apropiado en el Presupuesto General de la Nación será transferido directamente, sin que medie ningún convenio, por el Ministerio del Trabajo a Colpensiones como administradora del programa, entidad que le reportará la ejecución presupuestal mediante informes mensuales. </w:t>
      </w:r>
    </w:p>
    <w:p w14:paraId="1DD25AE8" w14:textId="0BD24C41"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4" w:name="ver_30138954"/>
      <w:bookmarkEnd w:id="84"/>
    </w:p>
    <w:p w14:paraId="29F63A9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81.</w:t>
      </w:r>
      <w:r w:rsidRPr="007B59C3">
        <w:rPr>
          <w:rFonts w:ascii="Arial" w:hAnsi="Arial" w:cs="Arial"/>
          <w:sz w:val="22"/>
          <w:szCs w:val="22"/>
        </w:rPr>
        <w:t> La Nación, a través de la Oficina de Bonos Pensiónales del Ministerio de Hacienda y Crédito Público y la Administradora Colombiana de Pensiones (Colpensiones), en virtud del artículo tercero del Decreto 3798 de 2003, podrán compensar deudas recíprocas, por concepto de Bonos Pensiónales Tipo A pagados por la Nación por cuenta de Colpensiones, y obligaciones exigibles a cargo de la Nación a favor de Colpensiones, por concepto de Bonos Pensionales Tipo B y T, sin afectación presupuestal. Para tal efecto, será suficiente que las entidades, lleven a cabo los registros contables a que haya lugar. En el evento, en el que, una vez efectuada la compensación, subsistan obligaciones a cargo de la Nación y/o Colpensiones, corresponderá a la entidad deudora, estimar e incluir en el presupuesto de cada vigencia fiscal, la apropiación presupuestal con los recursos necesarios, con el fin de efectuar los pagos de las obligaciones, a su cargo. </w:t>
      </w:r>
    </w:p>
    <w:p w14:paraId="6290A197" w14:textId="0A6CDF46"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5" w:name="ver_30138955"/>
      <w:bookmarkEnd w:id="85"/>
    </w:p>
    <w:p w14:paraId="61941A0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82.</w:t>
      </w:r>
      <w:r w:rsidRPr="007B59C3">
        <w:rPr>
          <w:rFonts w:ascii="Arial" w:hAnsi="Arial" w:cs="Arial"/>
          <w:sz w:val="22"/>
          <w:szCs w:val="22"/>
        </w:rPr>
        <w:t xml:space="preserve"> Las entidades responsables del Sistema Penitenciario y Carcelario del país del orden </w:t>
      </w:r>
      <w:proofErr w:type="gramStart"/>
      <w:r w:rsidRPr="007B59C3">
        <w:rPr>
          <w:rFonts w:ascii="Arial" w:hAnsi="Arial" w:cs="Arial"/>
          <w:sz w:val="22"/>
          <w:szCs w:val="22"/>
        </w:rPr>
        <w:t>Nacional,</w:t>
      </w:r>
      <w:proofErr w:type="gramEnd"/>
      <w:r w:rsidRPr="007B59C3">
        <w:rPr>
          <w:rFonts w:ascii="Arial" w:hAnsi="Arial" w:cs="Arial"/>
          <w:sz w:val="22"/>
          <w:szCs w:val="22"/>
        </w:rPr>
        <w:t xml:space="preserve"> darán prioridad en la ejecución con sus respectivos presupuestos, a la atención integral a la población penitenciaria y carcelaria, en cumplimiento de las Sentencias de la Corte Constitucional T-388 de 2013 y T-762 de 2015. </w:t>
      </w:r>
    </w:p>
    <w:p w14:paraId="42A7E38E" w14:textId="1FD59F33"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6" w:name="ver_30138956"/>
      <w:bookmarkEnd w:id="86"/>
    </w:p>
    <w:p w14:paraId="3DD19EF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83.</w:t>
      </w:r>
      <w:r w:rsidRPr="007B59C3">
        <w:rPr>
          <w:rFonts w:ascii="Arial" w:hAnsi="Arial" w:cs="Arial"/>
          <w:sz w:val="22"/>
          <w:szCs w:val="22"/>
        </w:rPr>
        <w:t xml:space="preserve"> De acuerdo con lo establecido en el artículo 255 de la Ley 1753 de 2015, la progresividad en la compensación del impuesto predial a los municipios donde existen territorios colectivos de comunidades negras, para el año 2018 será del 50% del valor a compensar, teniendo </w:t>
      </w:r>
      <w:r w:rsidRPr="007B59C3">
        <w:rPr>
          <w:rFonts w:ascii="Arial" w:hAnsi="Arial" w:cs="Arial"/>
          <w:sz w:val="22"/>
          <w:szCs w:val="22"/>
        </w:rPr>
        <w:lastRenderedPageBreak/>
        <w:t>en cuenta para su liquidación el valor del avalúo para la vigencia fiscal 2017, certificado por la autoridad competente, por la tarifa promedio ponderada determinada por el respectivo Municipio. El porcentaje dejado de compensar no es acumulable para su pago en posteriores vigencias fiscales. </w:t>
      </w:r>
    </w:p>
    <w:p w14:paraId="712EAFF1" w14:textId="74E14CB3"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7" w:name="ver_30138957"/>
      <w:bookmarkEnd w:id="87"/>
    </w:p>
    <w:p w14:paraId="27209F5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84.</w:t>
      </w:r>
      <w:r w:rsidRPr="007B59C3">
        <w:rPr>
          <w:rFonts w:ascii="Arial" w:hAnsi="Arial" w:cs="Arial"/>
          <w:sz w:val="22"/>
          <w:szCs w:val="22"/>
        </w:rPr>
        <w:t> Con el ánimo de garantizar el derecho al pago oportuno de las mesadas pensiónales, Colpensiones podrá recurrir a sus reservas con el propósito de atender el pago de las obligaciones previstas en los artículos 137 y 138 de la Ley 100 de 1993. Estos recursos serán devueltos por la Nación a Colpensiones, bajo los términos y condiciones acordados por las partes, sin que puedan pasar más de 6 meses del año siguiente para su devolución. </w:t>
      </w:r>
    </w:p>
    <w:p w14:paraId="662FBAA5" w14:textId="5096C70D"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8" w:name="ver_30138958"/>
      <w:bookmarkEnd w:id="88"/>
    </w:p>
    <w:p w14:paraId="5018323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 xml:space="preserve">Artículo </w:t>
      </w:r>
      <w:proofErr w:type="gramStart"/>
      <w:r w:rsidRPr="007B59C3">
        <w:rPr>
          <w:rStyle w:val="Textoennegrita"/>
          <w:rFonts w:ascii="Arial" w:hAnsi="Arial" w:cs="Arial"/>
          <w:b w:val="0"/>
          <w:bCs w:val="0"/>
          <w:sz w:val="22"/>
          <w:szCs w:val="22"/>
        </w:rPr>
        <w:t>85.</w:t>
      </w:r>
      <w:r w:rsidRPr="007B59C3">
        <w:rPr>
          <w:rStyle w:val="nfasis"/>
          <w:rFonts w:ascii="Arial" w:hAnsi="Arial" w:cs="Arial"/>
          <w:i w:val="0"/>
          <w:iCs w:val="0"/>
          <w:sz w:val="22"/>
          <w:szCs w:val="22"/>
        </w:rPr>
        <w:t>Fondo</w:t>
      </w:r>
      <w:proofErr w:type="gramEnd"/>
      <w:r w:rsidRPr="007B59C3">
        <w:rPr>
          <w:rStyle w:val="nfasis"/>
          <w:rFonts w:ascii="Arial" w:hAnsi="Arial" w:cs="Arial"/>
          <w:i w:val="0"/>
          <w:iCs w:val="0"/>
          <w:sz w:val="22"/>
          <w:szCs w:val="22"/>
        </w:rPr>
        <w:t xml:space="preserve"> Inversiones para la Paz. </w:t>
      </w:r>
      <w:r w:rsidRPr="007B59C3">
        <w:rPr>
          <w:rFonts w:ascii="Arial" w:hAnsi="Arial" w:cs="Arial"/>
          <w:sz w:val="22"/>
          <w:szCs w:val="22"/>
        </w:rPr>
        <w:t>Todos los programas y proyectos en carreteras y aeropuertos, que no estén a cargo de la Nación y que estén financiados con recursos del Fondo de Inversiones para la Paz que está adscrito al Departamento Administrativo para la Prosperidad Social, podrán ser ejecutados por el Instituto Nacional de Vías, la Unidad Administrativa Especial de la Aeronáutica Civil o mediante convenios con las entidades territoriales según sea el caso. </w:t>
      </w:r>
    </w:p>
    <w:p w14:paraId="4B4B65D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68F88C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Las transferencias que realice la entidad a cargo de este Fondo a los patrimonios autónomos </w:t>
      </w:r>
      <w:proofErr w:type="gramStart"/>
      <w:r w:rsidRPr="007B59C3">
        <w:rPr>
          <w:rFonts w:ascii="Arial" w:hAnsi="Arial" w:cs="Arial"/>
          <w:sz w:val="22"/>
          <w:szCs w:val="22"/>
        </w:rPr>
        <w:t>constituidos,</w:t>
      </w:r>
      <w:proofErr w:type="gramEnd"/>
      <w:r w:rsidRPr="007B59C3">
        <w:rPr>
          <w:rFonts w:ascii="Arial" w:hAnsi="Arial" w:cs="Arial"/>
          <w:sz w:val="22"/>
          <w:szCs w:val="22"/>
        </w:rPr>
        <w:t xml:space="preserve"> se tendrán como mecanismo de ejecución del Presupuesto General de la Nación. </w:t>
      </w:r>
    </w:p>
    <w:p w14:paraId="648A463B" w14:textId="4480AAE4"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89" w:name="ver_30138959"/>
      <w:bookmarkEnd w:id="89"/>
    </w:p>
    <w:p w14:paraId="27B531B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 xml:space="preserve">Artículo </w:t>
      </w:r>
      <w:proofErr w:type="gramStart"/>
      <w:r w:rsidRPr="007B59C3">
        <w:rPr>
          <w:rStyle w:val="Textoennegrita"/>
          <w:rFonts w:ascii="Arial" w:hAnsi="Arial" w:cs="Arial"/>
          <w:b w:val="0"/>
          <w:bCs w:val="0"/>
          <w:sz w:val="22"/>
          <w:szCs w:val="22"/>
        </w:rPr>
        <w:t>86.</w:t>
      </w:r>
      <w:r w:rsidRPr="007B59C3">
        <w:rPr>
          <w:rStyle w:val="nfasis"/>
          <w:rFonts w:ascii="Arial" w:hAnsi="Arial" w:cs="Arial"/>
          <w:i w:val="0"/>
          <w:iCs w:val="0"/>
          <w:sz w:val="22"/>
          <w:szCs w:val="22"/>
        </w:rPr>
        <w:t>Plan</w:t>
      </w:r>
      <w:proofErr w:type="gramEnd"/>
      <w:r w:rsidRPr="007B59C3">
        <w:rPr>
          <w:rStyle w:val="nfasis"/>
          <w:rFonts w:ascii="Arial" w:hAnsi="Arial" w:cs="Arial"/>
          <w:i w:val="0"/>
          <w:iCs w:val="0"/>
          <w:sz w:val="22"/>
          <w:szCs w:val="22"/>
        </w:rPr>
        <w:t xml:space="preserve"> de Austeridad del Gasto</w:t>
      </w:r>
      <w:r w:rsidRPr="007B59C3">
        <w:rPr>
          <w:rFonts w:ascii="Arial" w:hAnsi="Arial" w:cs="Arial"/>
          <w:sz w:val="22"/>
          <w:szCs w:val="22"/>
        </w:rPr>
        <w:t>. Durante la vigencia fiscal de 2018, los órganos que hacen parte del presupuesto general de la Nación, en cumplimiento del Plan de Austeridad y del Decreto 1068 de 2015, se abstendrán de realizar las siguientes actividades: </w:t>
      </w:r>
    </w:p>
    <w:p w14:paraId="6D40B249"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660489F0"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a) Celebrar contratos de prestación de servicios con personas naturales o jurídicas. Solo procederá la contratación cuando no exista personal de planta con capacidad para realizar las actividades que serán contratadas, en concordancia de lo previsto en el Decreto 2209 de 1998. </w:t>
      </w:r>
    </w:p>
    <w:p w14:paraId="572C99EC"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6519D57D"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b) Celebrar contratos de publicidad y/o propaganda personalizada (agendas, alma</w:t>
      </w:r>
      <w:r w:rsidRPr="007B59C3">
        <w:rPr>
          <w:rFonts w:ascii="Arial" w:hAnsi="Arial" w:cs="Arial"/>
          <w:sz w:val="22"/>
          <w:szCs w:val="22"/>
        </w:rPr>
        <w:softHyphen/>
        <w:t>naques, libretas, pocillos, vasos, esferas, etc.), adquirir libros, revistas, o simila</w:t>
      </w:r>
      <w:r w:rsidRPr="007B59C3">
        <w:rPr>
          <w:rFonts w:ascii="Arial" w:hAnsi="Arial" w:cs="Arial"/>
          <w:sz w:val="22"/>
          <w:szCs w:val="22"/>
        </w:rPr>
        <w:softHyphen/>
        <w:t>res; imprimir informes, folletos o textos institucionales. </w:t>
      </w:r>
    </w:p>
    <w:p w14:paraId="2B2005B0"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0686EC49"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 Realizar publicaciones impresas cuando se cuente con espacio web para realizar</w:t>
      </w:r>
      <w:r w:rsidRPr="007B59C3">
        <w:rPr>
          <w:rFonts w:ascii="Arial" w:hAnsi="Arial" w:cs="Arial"/>
          <w:sz w:val="22"/>
          <w:szCs w:val="22"/>
        </w:rPr>
        <w:softHyphen/>
        <w:t>las; en caso de hacerlo no serán a color y papeles especiales, y demás caracterís</w:t>
      </w:r>
      <w:r w:rsidRPr="007B59C3">
        <w:rPr>
          <w:rFonts w:ascii="Arial" w:hAnsi="Arial" w:cs="Arial"/>
          <w:sz w:val="22"/>
          <w:szCs w:val="22"/>
        </w:rPr>
        <w:softHyphen/>
        <w:t>ticas que superen el costo mínimo de publicación y presentación. </w:t>
      </w:r>
    </w:p>
    <w:p w14:paraId="01235A9B"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4457949F"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d) Iniciar cualquier tipo de contratación que implique mejoras suntuarias, tales como el embellecimiento, la ornamentación o la instalación o adecuación de aca</w:t>
      </w:r>
      <w:r w:rsidRPr="007B59C3">
        <w:rPr>
          <w:rFonts w:ascii="Arial" w:hAnsi="Arial" w:cs="Arial"/>
          <w:sz w:val="22"/>
          <w:szCs w:val="22"/>
        </w:rPr>
        <w:softHyphen/>
        <w:t>bados estéticos de bienes inmuebles. </w:t>
      </w:r>
    </w:p>
    <w:p w14:paraId="6EED66F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493D07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El mantenimiento a bienes </w:t>
      </w:r>
      <w:proofErr w:type="gramStart"/>
      <w:r w:rsidRPr="007B59C3">
        <w:rPr>
          <w:rFonts w:ascii="Arial" w:hAnsi="Arial" w:cs="Arial"/>
          <w:sz w:val="22"/>
          <w:szCs w:val="22"/>
        </w:rPr>
        <w:t>inmuebles,</w:t>
      </w:r>
      <w:proofErr w:type="gramEnd"/>
      <w:r w:rsidRPr="007B59C3">
        <w:rPr>
          <w:rFonts w:ascii="Arial" w:hAnsi="Arial" w:cs="Arial"/>
          <w:sz w:val="22"/>
          <w:szCs w:val="22"/>
        </w:rPr>
        <w:t xml:space="preserve"> solo procederá cuando de no hacerse se ponga en riesgo la seguridad de los funcionarios públicos. </w:t>
      </w:r>
    </w:p>
    <w:p w14:paraId="55B0809A"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6F426FF4"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 Adquirir bienes muebles no necesarios para el normal funcionamiento de las ins</w:t>
      </w:r>
      <w:r w:rsidRPr="007B59C3">
        <w:rPr>
          <w:rFonts w:ascii="Arial" w:hAnsi="Arial" w:cs="Arial"/>
          <w:sz w:val="22"/>
          <w:szCs w:val="22"/>
        </w:rPr>
        <w:softHyphen/>
        <w:t xml:space="preserve">tituciones tales como neveras, televisores, equipos audiovisuales, video </w:t>
      </w:r>
      <w:proofErr w:type="spellStart"/>
      <w:r w:rsidRPr="007B59C3">
        <w:rPr>
          <w:rFonts w:ascii="Arial" w:hAnsi="Arial" w:cs="Arial"/>
          <w:sz w:val="22"/>
          <w:szCs w:val="22"/>
        </w:rPr>
        <w:t>beam</w:t>
      </w:r>
      <w:proofErr w:type="spellEnd"/>
      <w:r w:rsidRPr="007B59C3">
        <w:rPr>
          <w:rFonts w:ascii="Arial" w:hAnsi="Arial" w:cs="Arial"/>
          <w:sz w:val="22"/>
          <w:szCs w:val="22"/>
        </w:rPr>
        <w:t>, computadores portátiles, tableros interactivos, calentadores, hornos, etc. </w:t>
      </w:r>
    </w:p>
    <w:p w14:paraId="62CDE5F0"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0FFB2399"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f) Adquirir vehículos automotores. </w:t>
      </w:r>
    </w:p>
    <w:p w14:paraId="30915E47"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53DA9E63"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g) Cambiar de sedes. Solo procederá cuando no genere impacto presupuestal o su necesidad haga inaplazable su construcción. </w:t>
      </w:r>
    </w:p>
    <w:p w14:paraId="04FB1895" w14:textId="77777777" w:rsidR="00F47264" w:rsidRPr="007B59C3" w:rsidRDefault="00F47264" w:rsidP="00F47264">
      <w:pPr>
        <w:pStyle w:val="NormalWeb"/>
        <w:spacing w:before="0" w:beforeAutospacing="0" w:after="0" w:afterAutospacing="0"/>
        <w:ind w:left="280"/>
        <w:jc w:val="both"/>
        <w:rPr>
          <w:rFonts w:ascii="Arial" w:hAnsi="Arial" w:cs="Arial"/>
          <w:sz w:val="22"/>
          <w:szCs w:val="22"/>
        </w:rPr>
      </w:pPr>
      <w:r w:rsidRPr="007B59C3">
        <w:rPr>
          <w:rFonts w:ascii="Arial" w:hAnsi="Arial" w:cs="Arial"/>
          <w:sz w:val="22"/>
          <w:szCs w:val="22"/>
        </w:rPr>
        <w:t>  </w:t>
      </w:r>
    </w:p>
    <w:p w14:paraId="2FEAACB9"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h) Realizar recepciones, fiestas, agasajos o conmemoraciones de las entidades con cargo a los recursos del Tesoro Público. Otorgar condecoraciones de cualquier tipo. </w:t>
      </w:r>
    </w:p>
    <w:p w14:paraId="58F10F9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2EF3021" w14:textId="77777777" w:rsidR="00F47264" w:rsidRPr="007B59C3" w:rsidRDefault="00F47264" w:rsidP="009B1ECB">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i) Adquirir regalos corporativos, souvenir o recuerdos. </w:t>
      </w:r>
    </w:p>
    <w:p w14:paraId="1D161E8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49E184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Se deberá justificar la necesidad de los gastos viaje y viáticos, los cuales solo serán en clase económica, excepto los señalados en el artículo 2.2.5.11.5 del Decreto 1083 de 2015. </w:t>
      </w:r>
    </w:p>
    <w:p w14:paraId="70154F1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C87879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Las oficinas de Control Interno verificarán en forma mensual el cumplimiento de estas disposiciones. </w:t>
      </w:r>
    </w:p>
    <w:p w14:paraId="766A415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5588B9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El Ministerio de Defensa Nacional - Fuerzas Militares y Policía Nacional, continuará con la contratación o la realización directa de ediciones, impresiones o publicaciones de documentos estricta y directamente relacionados con los programas y las funciones que legalmente debe cumplir; con la adquisición de vehículos que sean para el uso exclusivo de defensa y seguridad nacional y, con el propósito de cumplir con los estatutos de carrera y las disposiciones en materia de estímulos y ascenso, con el otorgamiento e imposición de condecoraciones de conformidad con lo previsto en las disposiciones especiales que las rigen. Las mismas reglas enunciadas anteriormente aplicarán al Departamento Administrativo de la Presidencia de la República, en lo relacionado con el ejercicio de las funciones que le son propias. </w:t>
      </w:r>
    </w:p>
    <w:p w14:paraId="511FAD90" w14:textId="1C5A30DC"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0" w:name="ver_30138960"/>
      <w:bookmarkEnd w:id="90"/>
    </w:p>
    <w:p w14:paraId="4752611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 xml:space="preserve">Artículo </w:t>
      </w:r>
      <w:proofErr w:type="gramStart"/>
      <w:r w:rsidRPr="007B59C3">
        <w:rPr>
          <w:rStyle w:val="Textoennegrita"/>
          <w:rFonts w:ascii="Arial" w:hAnsi="Arial" w:cs="Arial"/>
          <w:b w:val="0"/>
          <w:bCs w:val="0"/>
          <w:sz w:val="22"/>
          <w:szCs w:val="22"/>
        </w:rPr>
        <w:t>87.</w:t>
      </w:r>
      <w:r w:rsidRPr="007B59C3">
        <w:rPr>
          <w:rStyle w:val="nfasis"/>
          <w:rFonts w:ascii="Arial" w:hAnsi="Arial" w:cs="Arial"/>
          <w:i w:val="0"/>
          <w:iCs w:val="0"/>
          <w:sz w:val="22"/>
          <w:szCs w:val="22"/>
        </w:rPr>
        <w:t>Acción</w:t>
      </w:r>
      <w:proofErr w:type="gramEnd"/>
      <w:r w:rsidRPr="007B59C3">
        <w:rPr>
          <w:rStyle w:val="nfasis"/>
          <w:rFonts w:ascii="Arial" w:hAnsi="Arial" w:cs="Arial"/>
          <w:i w:val="0"/>
          <w:iCs w:val="0"/>
          <w:sz w:val="22"/>
          <w:szCs w:val="22"/>
        </w:rPr>
        <w:t xml:space="preserve"> de Repetición. </w:t>
      </w:r>
      <w:r w:rsidRPr="007B59C3">
        <w:rPr>
          <w:rFonts w:ascii="Arial" w:hAnsi="Arial" w:cs="Arial"/>
          <w:sz w:val="22"/>
          <w:szCs w:val="22"/>
        </w:rPr>
        <w:t>Las entidades públicas obligadas a ejercer la acción de repetición, contenida en el artículo 4° de la Ley 678 de 2001, semestralmente reportarán para lo de su competencia a la Contraloría General de la República y a la Procuraduría General de la Nación, acerca de cada uno de los fallos judiciales pagados con dineros públicos durante el período respectivo, anexando la correspondiente certificación del Comité de Conciliación, donde conste el fundamento de la decisión de iniciar o no, las respectivas acciones de repetición. </w:t>
      </w:r>
    </w:p>
    <w:p w14:paraId="3E63081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83A53A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Así mismo, dentro de los dos (2) meses siguientes a la decisión del Comité de Conciliación, se remitirán a los organismos de control mencionados en el acápite anterior, las constancias de radicación de las respectivas acciones ante el funcionario judicial competente. </w:t>
      </w:r>
    </w:p>
    <w:p w14:paraId="70A87D8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AE42C5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xml:space="preserve"> Lo dispuesto en el presente artículo tendrá efecto para todos los fallos que se hayan pagado a la </w:t>
      </w:r>
      <w:proofErr w:type="gramStart"/>
      <w:r w:rsidRPr="007B59C3">
        <w:rPr>
          <w:rFonts w:ascii="Arial" w:hAnsi="Arial" w:cs="Arial"/>
          <w:sz w:val="22"/>
          <w:szCs w:val="22"/>
        </w:rPr>
        <w:t>entrada en vigencia</w:t>
      </w:r>
      <w:proofErr w:type="gramEnd"/>
      <w:r w:rsidRPr="007B59C3">
        <w:rPr>
          <w:rFonts w:ascii="Arial" w:hAnsi="Arial" w:cs="Arial"/>
          <w:sz w:val="22"/>
          <w:szCs w:val="22"/>
        </w:rPr>
        <w:t xml:space="preserve"> del presente decreto y que aún no hayan sido objeto de acción de repetición. </w:t>
      </w:r>
    </w:p>
    <w:p w14:paraId="3E8A1426" w14:textId="2F374C82"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1" w:name="ver_30138961"/>
      <w:bookmarkEnd w:id="91"/>
    </w:p>
    <w:p w14:paraId="5233CE7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 xml:space="preserve">Artículo </w:t>
      </w:r>
      <w:proofErr w:type="gramStart"/>
      <w:r w:rsidRPr="007B59C3">
        <w:rPr>
          <w:rStyle w:val="Textoennegrita"/>
          <w:rFonts w:ascii="Arial" w:hAnsi="Arial" w:cs="Arial"/>
          <w:b w:val="0"/>
          <w:bCs w:val="0"/>
          <w:sz w:val="22"/>
          <w:szCs w:val="22"/>
        </w:rPr>
        <w:t>88.</w:t>
      </w:r>
      <w:r w:rsidRPr="007B59C3">
        <w:rPr>
          <w:rStyle w:val="nfasis"/>
          <w:rFonts w:ascii="Arial" w:hAnsi="Arial" w:cs="Arial"/>
          <w:i w:val="0"/>
          <w:iCs w:val="0"/>
          <w:sz w:val="22"/>
          <w:szCs w:val="22"/>
        </w:rPr>
        <w:t>Asistencia</w:t>
      </w:r>
      <w:proofErr w:type="gramEnd"/>
      <w:r w:rsidRPr="007B59C3">
        <w:rPr>
          <w:rStyle w:val="nfasis"/>
          <w:rFonts w:ascii="Arial" w:hAnsi="Arial" w:cs="Arial"/>
          <w:i w:val="0"/>
          <w:iCs w:val="0"/>
          <w:sz w:val="22"/>
          <w:szCs w:val="22"/>
        </w:rPr>
        <w:t xml:space="preserve"> y representación judicial de entidades públicas. Austeridad en los gastos. </w:t>
      </w:r>
      <w:r w:rsidRPr="007B59C3">
        <w:rPr>
          <w:rFonts w:ascii="Arial" w:hAnsi="Arial" w:cs="Arial"/>
          <w:sz w:val="22"/>
          <w:szCs w:val="22"/>
        </w:rPr>
        <w:t>Dentro del marco de austeridad presupuestal y de colaboración armónica que debe orientar las actuaciones administrativas de las distintas autoridades y entidades del Estado, y con el fin de reducir costos de desplazamientos y gastos judiciales: </w:t>
      </w:r>
    </w:p>
    <w:p w14:paraId="2883C0AF"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6183C82C" w14:textId="77777777" w:rsidR="00F47264" w:rsidRPr="007B59C3" w:rsidRDefault="00F47264" w:rsidP="004D49B0">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a) Cuando varias entidades de la administración pública tanto del orden nacional como </w:t>
      </w:r>
      <w:proofErr w:type="gramStart"/>
      <w:r w:rsidRPr="007B59C3">
        <w:rPr>
          <w:rFonts w:ascii="Arial" w:hAnsi="Arial" w:cs="Arial"/>
          <w:sz w:val="22"/>
          <w:szCs w:val="22"/>
        </w:rPr>
        <w:t>territorial,</w:t>
      </w:r>
      <w:proofErr w:type="gramEnd"/>
      <w:r w:rsidRPr="007B59C3">
        <w:rPr>
          <w:rFonts w:ascii="Arial" w:hAnsi="Arial" w:cs="Arial"/>
          <w:sz w:val="22"/>
          <w:szCs w:val="22"/>
        </w:rPr>
        <w:t xml:space="preserve"> actúen como demandantes o demandadas dentro de un proceso judicial, podrán de común acuerdo con los apoderados judiciales que uno de ellos tome la representación judicial de las restantes para la comparecencia de las audiencias que dentro del respectivo proceso hayan sido convocadas o por ley deban asistir. Para tal efecto la entidad encomendada a asumir la </w:t>
      </w:r>
      <w:r w:rsidRPr="007B59C3">
        <w:rPr>
          <w:rFonts w:ascii="Arial" w:hAnsi="Arial" w:cs="Arial"/>
          <w:sz w:val="22"/>
          <w:szCs w:val="22"/>
        </w:rPr>
        <w:lastRenderedPageBreak/>
        <w:t xml:space="preserve">representación judicial para la audiencia </w:t>
      </w:r>
      <w:proofErr w:type="gramStart"/>
      <w:r w:rsidRPr="007B59C3">
        <w:rPr>
          <w:rFonts w:ascii="Arial" w:hAnsi="Arial" w:cs="Arial"/>
          <w:sz w:val="22"/>
          <w:szCs w:val="22"/>
        </w:rPr>
        <w:t>correspondiente,</w:t>
      </w:r>
      <w:proofErr w:type="gramEnd"/>
      <w:r w:rsidRPr="007B59C3">
        <w:rPr>
          <w:rFonts w:ascii="Arial" w:hAnsi="Arial" w:cs="Arial"/>
          <w:sz w:val="22"/>
          <w:szCs w:val="22"/>
        </w:rPr>
        <w:t xml:space="preserve"> estará en capacidad y queda facultada para disponer uno de sus apoderados o funcionarios que reciba los poderes que se requieran. </w:t>
      </w:r>
    </w:p>
    <w:p w14:paraId="17A32E95"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6A3EC180" w14:textId="77777777" w:rsidR="00F47264" w:rsidRPr="007B59C3" w:rsidRDefault="00F47264" w:rsidP="004D49B0">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b) En materia de cobro de costas judiciales en que varias entidades de la Rama Eje</w:t>
      </w:r>
      <w:r w:rsidRPr="007B59C3">
        <w:rPr>
          <w:rFonts w:ascii="Arial" w:hAnsi="Arial" w:cs="Arial"/>
          <w:sz w:val="22"/>
          <w:szCs w:val="22"/>
        </w:rPr>
        <w:softHyphen/>
        <w:t>cutiva, entre ellas el Ministerio de Hacienda y Crédito Público, sean beneficiarías de los mismos, el recaudo de la totalidad de ellas estará a cargo de Ministerio de Hacienda y Crédito Público quien queda facultado para iniciar los cobros judicia</w:t>
      </w:r>
      <w:r w:rsidRPr="007B59C3">
        <w:rPr>
          <w:rFonts w:ascii="Arial" w:hAnsi="Arial" w:cs="Arial"/>
          <w:sz w:val="22"/>
          <w:szCs w:val="22"/>
        </w:rPr>
        <w:softHyphen/>
        <w:t>les o extrajudiciales respectivos. Cuando las costas incluyan agencias en derecho las mismas se entenderán a favor de la entidad pública y no del apoderado que las representa. </w:t>
      </w:r>
    </w:p>
    <w:p w14:paraId="04922E4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7055CE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Sin perjuicio de lo dispuesto en el literal a) del presente artículo, las entidades podrán a través de la modalidad de teletrabajo, representar y vigilar los procesos en las diferentes zonas del país. </w:t>
      </w:r>
    </w:p>
    <w:p w14:paraId="7D62366D" w14:textId="07A5EC0E"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2" w:name="ver_30138962"/>
      <w:bookmarkEnd w:id="92"/>
    </w:p>
    <w:p w14:paraId="3BCEE8A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 xml:space="preserve">Artículo </w:t>
      </w:r>
      <w:proofErr w:type="gramStart"/>
      <w:r w:rsidRPr="007B59C3">
        <w:rPr>
          <w:rStyle w:val="Textoennegrita"/>
          <w:rFonts w:ascii="Arial" w:hAnsi="Arial" w:cs="Arial"/>
          <w:b w:val="0"/>
          <w:bCs w:val="0"/>
          <w:sz w:val="22"/>
          <w:szCs w:val="22"/>
        </w:rPr>
        <w:t>89.</w:t>
      </w:r>
      <w:r w:rsidRPr="007B59C3">
        <w:rPr>
          <w:rStyle w:val="nfasis"/>
          <w:rFonts w:ascii="Arial" w:hAnsi="Arial" w:cs="Arial"/>
          <w:i w:val="0"/>
          <w:iCs w:val="0"/>
          <w:sz w:val="22"/>
          <w:szCs w:val="22"/>
        </w:rPr>
        <w:t>Transferencia</w:t>
      </w:r>
      <w:proofErr w:type="gramEnd"/>
      <w:r w:rsidRPr="007B59C3">
        <w:rPr>
          <w:rStyle w:val="nfasis"/>
          <w:rFonts w:ascii="Arial" w:hAnsi="Arial" w:cs="Arial"/>
          <w:i w:val="0"/>
          <w:iCs w:val="0"/>
          <w:sz w:val="22"/>
          <w:szCs w:val="22"/>
        </w:rPr>
        <w:t xml:space="preserve"> a RTVC. </w:t>
      </w:r>
      <w:r w:rsidRPr="007B59C3">
        <w:rPr>
          <w:rFonts w:ascii="Arial" w:hAnsi="Arial" w:cs="Arial"/>
          <w:sz w:val="22"/>
          <w:szCs w:val="22"/>
        </w:rPr>
        <w:t>El Fondo de Tecnologías de la Información y las Comunicaciones transferirá a Radio Televisión Nacional de Colombia (RTVC), gestor de la radio y televisión pública, los recursos suficientes para la prestación del servicio y el fortalecimiento de la radio pública nacional de Colombia, la administración, operación y mantenimiento de la red pública nacional de radio, la migración de los medios públicos a las plataformas convergentes y la recuperación de la memoria de la radio y la televisión pública durante la vigencia 2018. </w:t>
      </w:r>
    </w:p>
    <w:p w14:paraId="4D4D6FDD" w14:textId="002932FE"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3" w:name="ver_30138963"/>
      <w:bookmarkEnd w:id="93"/>
    </w:p>
    <w:p w14:paraId="2EC94C2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90.</w:t>
      </w:r>
      <w:r w:rsidRPr="007B59C3">
        <w:rPr>
          <w:rFonts w:ascii="Arial" w:hAnsi="Arial" w:cs="Arial"/>
          <w:sz w:val="22"/>
          <w:szCs w:val="22"/>
        </w:rPr>
        <w:t xml:space="preserve"> Con el propósito de evitar una doble presupuestación, la Superintendencia de Notariado y Registro girará directamente los recaudos de la Ley 55 de 1985 por concepto de los ingresos provenientes de los derechos por registro de instrumentos públicos y otorgamiento de escrituras en los porcentajes que establece la normatividad vigente a la Rama Judicial, la Fiscalía, </w:t>
      </w:r>
      <w:proofErr w:type="spellStart"/>
      <w:r w:rsidRPr="007B59C3">
        <w:rPr>
          <w:rFonts w:ascii="Arial" w:hAnsi="Arial" w:cs="Arial"/>
          <w:sz w:val="22"/>
          <w:szCs w:val="22"/>
        </w:rPr>
        <w:t>Uspec</w:t>
      </w:r>
      <w:proofErr w:type="spellEnd"/>
      <w:r w:rsidRPr="007B59C3">
        <w:rPr>
          <w:rFonts w:ascii="Arial" w:hAnsi="Arial" w:cs="Arial"/>
          <w:sz w:val="22"/>
          <w:szCs w:val="22"/>
        </w:rPr>
        <w:t>, Ministerio de Justicia y del Derecho y el ICBF, con cargo a los valores presupuestados en cada una de ellas, con esta fuente. La Superintendencia hará los ajustes contables a que haya lugar. </w:t>
      </w:r>
    </w:p>
    <w:p w14:paraId="6310F377" w14:textId="6307B333"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4" w:name="ver_30138964"/>
      <w:bookmarkEnd w:id="94"/>
    </w:p>
    <w:p w14:paraId="1C59162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 xml:space="preserve">Artículo </w:t>
      </w:r>
      <w:proofErr w:type="gramStart"/>
      <w:r w:rsidRPr="007B59C3">
        <w:rPr>
          <w:rStyle w:val="Textoennegrita"/>
          <w:rFonts w:ascii="Arial" w:hAnsi="Arial" w:cs="Arial"/>
          <w:b w:val="0"/>
          <w:bCs w:val="0"/>
          <w:sz w:val="22"/>
          <w:szCs w:val="22"/>
        </w:rPr>
        <w:t>91.</w:t>
      </w:r>
      <w:r w:rsidRPr="007B59C3">
        <w:rPr>
          <w:rStyle w:val="nfasis"/>
          <w:rFonts w:ascii="Arial" w:hAnsi="Arial" w:cs="Arial"/>
          <w:i w:val="0"/>
          <w:iCs w:val="0"/>
          <w:sz w:val="22"/>
          <w:szCs w:val="22"/>
        </w:rPr>
        <w:t>Ejecución</w:t>
      </w:r>
      <w:proofErr w:type="gramEnd"/>
      <w:r w:rsidRPr="007B59C3">
        <w:rPr>
          <w:rStyle w:val="nfasis"/>
          <w:rFonts w:ascii="Arial" w:hAnsi="Arial" w:cs="Arial"/>
          <w:i w:val="0"/>
          <w:iCs w:val="0"/>
          <w:sz w:val="22"/>
          <w:szCs w:val="22"/>
        </w:rPr>
        <w:t xml:space="preserve"> programas y proyectos de inversión por las FFMM. </w:t>
      </w:r>
      <w:r w:rsidRPr="007B59C3">
        <w:rPr>
          <w:rFonts w:ascii="Arial" w:hAnsi="Arial" w:cs="Arial"/>
          <w:sz w:val="22"/>
          <w:szCs w:val="22"/>
        </w:rPr>
        <w:t>En desarrollo de la Política Integral de Seguridad y Defensa para la Prosperidad, contenida en el Plan Nacional de Desarrollo, las Fuerzas Militares podrán ejecutar Programas y Proyectos de Inversión para fortalecer las estrategias tendientes a consolidar la presencia institucional tales como: obras de infraestructura, dotación y mantenimiento, garantizando el bienestar de la población afectada por la situación de violencia generada por los grupos armados al margen de la ley. </w:t>
      </w:r>
    </w:p>
    <w:p w14:paraId="14801437" w14:textId="1AA27096"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5" w:name="ver_30138965"/>
      <w:bookmarkEnd w:id="95"/>
    </w:p>
    <w:p w14:paraId="109430B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 xml:space="preserve">Artículo </w:t>
      </w:r>
      <w:proofErr w:type="gramStart"/>
      <w:r w:rsidRPr="007B59C3">
        <w:rPr>
          <w:rStyle w:val="Textoennegrita"/>
          <w:rFonts w:ascii="Arial" w:hAnsi="Arial" w:cs="Arial"/>
          <w:b w:val="0"/>
          <w:bCs w:val="0"/>
          <w:sz w:val="22"/>
          <w:szCs w:val="22"/>
        </w:rPr>
        <w:t>92.</w:t>
      </w:r>
      <w:r w:rsidRPr="007B59C3">
        <w:rPr>
          <w:rStyle w:val="nfasis"/>
          <w:rFonts w:ascii="Arial" w:hAnsi="Arial" w:cs="Arial"/>
          <w:i w:val="0"/>
          <w:iCs w:val="0"/>
          <w:sz w:val="22"/>
          <w:szCs w:val="22"/>
        </w:rPr>
        <w:t>Informe</w:t>
      </w:r>
      <w:proofErr w:type="gramEnd"/>
      <w:r w:rsidRPr="007B59C3">
        <w:rPr>
          <w:rStyle w:val="nfasis"/>
          <w:rFonts w:ascii="Arial" w:hAnsi="Arial" w:cs="Arial"/>
          <w:i w:val="0"/>
          <w:iCs w:val="0"/>
          <w:sz w:val="22"/>
          <w:szCs w:val="22"/>
        </w:rPr>
        <w:t xml:space="preserve"> Congreso</w:t>
      </w:r>
      <w:r w:rsidRPr="007B59C3">
        <w:rPr>
          <w:rFonts w:ascii="Arial" w:hAnsi="Arial" w:cs="Arial"/>
          <w:sz w:val="22"/>
          <w:szCs w:val="22"/>
        </w:rPr>
        <w:t>. La Dirección General del Presupuesto del Ministerio de Hacienda presentará trimestralmente con carácter obligatorio a las Comisiones Económicas del Congreso de la República el informe detallado de la ejecución presupuestal de las diferentes entidades que componen el Presupuesto General de la Nación. </w:t>
      </w:r>
    </w:p>
    <w:p w14:paraId="4DA0D7A0" w14:textId="4EFD2DC7"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6" w:name="ver_30138966"/>
      <w:bookmarkEnd w:id="96"/>
    </w:p>
    <w:p w14:paraId="2E7CF21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93.</w:t>
      </w:r>
      <w:r w:rsidRPr="007B59C3">
        <w:rPr>
          <w:rFonts w:ascii="Arial" w:hAnsi="Arial" w:cs="Arial"/>
          <w:sz w:val="22"/>
          <w:szCs w:val="22"/>
        </w:rPr>
        <w:t> En cumplimiento del artículo 322 y 332 de la Ley 1819 de 2016, la DIAN podrá certificar la disponibilidad presupuestal de los cargos a proveer por lo que resta de la vigencia fiscal. </w:t>
      </w:r>
    </w:p>
    <w:p w14:paraId="472EE737" w14:textId="0C8E9F76"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7" w:name="ver_30138967"/>
      <w:bookmarkEnd w:id="97"/>
    </w:p>
    <w:p w14:paraId="6D6906F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94.</w:t>
      </w:r>
      <w:r w:rsidRPr="007B59C3">
        <w:rPr>
          <w:rFonts w:ascii="Arial" w:hAnsi="Arial" w:cs="Arial"/>
          <w:sz w:val="22"/>
          <w:szCs w:val="22"/>
        </w:rPr>
        <w:t> Con cargo al presupuesto de funcionamiento-transferencias de la Unidad Administrativa Especial Agencia Nacional de Defensa Jurídica del Estado, se continuarán atendiendo todos los gastos relacionados con la defensa de los intereses del Estado en controversias internacionales. A través de esta cuenta se cubrirán los costos asociados a gastos de personal, honorarios y gastos generales, que demande la atención adecuada y oportuna de los intereses del Estado en las diferentes instancias que se deban atender. </w:t>
      </w:r>
    </w:p>
    <w:p w14:paraId="2A2B8DD2" w14:textId="7681365F"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8" w:name="ver_30138968"/>
      <w:bookmarkEnd w:id="98"/>
    </w:p>
    <w:p w14:paraId="63EC74C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lastRenderedPageBreak/>
        <w:t>Artículo 95.</w:t>
      </w:r>
      <w:r w:rsidRPr="007B59C3">
        <w:rPr>
          <w:rFonts w:ascii="Arial" w:hAnsi="Arial" w:cs="Arial"/>
          <w:sz w:val="22"/>
          <w:szCs w:val="22"/>
        </w:rPr>
        <w:t> Con el fin de propiciar la preservación y conservación del orden público, así como la convivencia y la participación de las diferentes comunidades étnicas en los procesos de desarrollo regional y local, se destinarán al Ministerio del Interior hasta $27.250 millones, con cargo al portafolio del Fondo de Seguridad y Convivencia Ciudadana (</w:t>
      </w:r>
      <w:proofErr w:type="spellStart"/>
      <w:r w:rsidRPr="007B59C3">
        <w:rPr>
          <w:rFonts w:ascii="Arial" w:hAnsi="Arial" w:cs="Arial"/>
          <w:sz w:val="22"/>
          <w:szCs w:val="22"/>
        </w:rPr>
        <w:t>Fonsecon</w:t>
      </w:r>
      <w:proofErr w:type="spellEnd"/>
      <w:r w:rsidRPr="007B59C3">
        <w:rPr>
          <w:rFonts w:ascii="Arial" w:hAnsi="Arial" w:cs="Arial"/>
          <w:sz w:val="22"/>
          <w:szCs w:val="22"/>
        </w:rPr>
        <w:t>) a 31 de diciembre de 2017 y durante la vigencia del presente decreto, con el fin de atender oportunamente las obligaciones relacionadas con los procesos de Consulta Previa, el acompañamiento, orientación, capacitación y seguimiento en las entidades territoriales, en los procesos organizativos y de concertación de las Comunidades Negras, Afrocolombianas, raizales y palenqueras; de Indígenas, Minorías y Rom; Comisión Intersectorial de Alertas Tempranas (CIAT) (Sentencia T-025 de 2004); Gestión Territorial y Buen Gobierno Local; y la Implementación de la Ley 985 de 2005 sobre trata de personas. </w:t>
      </w:r>
    </w:p>
    <w:p w14:paraId="01ECE35F" w14:textId="0F6FE14A"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99" w:name="ver_30138969"/>
      <w:bookmarkEnd w:id="99"/>
    </w:p>
    <w:p w14:paraId="77DB5ED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96.</w:t>
      </w:r>
      <w:r w:rsidRPr="007B59C3">
        <w:rPr>
          <w:rFonts w:ascii="Arial" w:hAnsi="Arial" w:cs="Arial"/>
          <w:sz w:val="22"/>
          <w:szCs w:val="22"/>
        </w:rPr>
        <w:t xml:space="preserve"> El Ministerio de Minas y Energía reconocerá las obligaciones por consumo de energía hasta por el monto de las apropiaciones de la vigencia fiscal, financiadas con los recursos del Fondo de Energía Social (FOES). Por tanto, los prestadores del servicio público de </w:t>
      </w:r>
      <w:proofErr w:type="gramStart"/>
      <w:r w:rsidRPr="007B59C3">
        <w:rPr>
          <w:rFonts w:ascii="Arial" w:hAnsi="Arial" w:cs="Arial"/>
          <w:sz w:val="22"/>
          <w:szCs w:val="22"/>
        </w:rPr>
        <w:t>energía,</w:t>
      </w:r>
      <w:proofErr w:type="gramEnd"/>
      <w:r w:rsidRPr="007B59C3">
        <w:rPr>
          <w:rFonts w:ascii="Arial" w:hAnsi="Arial" w:cs="Arial"/>
          <w:sz w:val="22"/>
          <w:szCs w:val="22"/>
        </w:rPr>
        <w:t xml:space="preserve"> no podrán constituir pasivos a cargo de la Nación que correspondan a la diferencia resultante entre el porcentaje señalado por el artículo 190 de la Ley 1753 de 2015 y lo efectivamente reconocido. </w:t>
      </w:r>
    </w:p>
    <w:p w14:paraId="41A2419F" w14:textId="6943E303"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0" w:name="ver_30138970"/>
      <w:bookmarkEnd w:id="100"/>
    </w:p>
    <w:p w14:paraId="08BC364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97.</w:t>
      </w:r>
      <w:r w:rsidRPr="007B59C3">
        <w:rPr>
          <w:rFonts w:ascii="Arial" w:hAnsi="Arial" w:cs="Arial"/>
          <w:sz w:val="22"/>
          <w:szCs w:val="22"/>
        </w:rPr>
        <w:t> Para el otorgamiento de la garantía de la Nación a las operaciones de crédito de corto y de largo plazo que pretenda celebrar el Fondo Empresarial de la Superintendencia de Servicios Públicos Domiciliarios, del que trata el artículo 247 de la Ley 1450 de 2011, modificado por el artículo 227 de la Ley 1753 de 2015, no será necesario ningún otro trámite o requisito diferente a lo siguiente: </w:t>
      </w:r>
    </w:p>
    <w:p w14:paraId="377BCAAA" w14:textId="77777777" w:rsidR="00F47264" w:rsidRPr="007B59C3" w:rsidRDefault="00F47264" w:rsidP="00F47264">
      <w:pPr>
        <w:pStyle w:val="NormalWeb"/>
        <w:spacing w:before="0" w:beforeAutospacing="0" w:after="0" w:afterAutospacing="0"/>
        <w:ind w:left="700"/>
        <w:jc w:val="both"/>
        <w:rPr>
          <w:rFonts w:ascii="Arial" w:hAnsi="Arial" w:cs="Arial"/>
          <w:sz w:val="22"/>
          <w:szCs w:val="22"/>
        </w:rPr>
      </w:pPr>
      <w:r w:rsidRPr="007B59C3">
        <w:rPr>
          <w:rFonts w:ascii="Arial" w:hAnsi="Arial" w:cs="Arial"/>
          <w:sz w:val="22"/>
          <w:szCs w:val="22"/>
        </w:rPr>
        <w:t>  </w:t>
      </w:r>
    </w:p>
    <w:p w14:paraId="231AB96C" w14:textId="77777777" w:rsidR="00F47264" w:rsidRPr="007B59C3" w:rsidRDefault="00F47264" w:rsidP="004D49B0">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a) Concepto favorable del Consejo Nacional de Política Económica y Social, CON</w:t>
      </w:r>
      <w:r w:rsidRPr="007B59C3">
        <w:rPr>
          <w:rFonts w:ascii="Arial" w:hAnsi="Arial" w:cs="Arial"/>
          <w:sz w:val="22"/>
          <w:szCs w:val="22"/>
        </w:rPr>
        <w:softHyphen/>
        <w:t>PES, respecto del otorgamiento de la garantía por parte de la Nación. </w:t>
      </w:r>
    </w:p>
    <w:p w14:paraId="2CA505FC" w14:textId="77777777" w:rsidR="004D49B0" w:rsidRDefault="004D49B0" w:rsidP="004D49B0">
      <w:pPr>
        <w:pStyle w:val="NormalWeb"/>
        <w:spacing w:before="0" w:beforeAutospacing="0" w:after="0" w:afterAutospacing="0"/>
        <w:jc w:val="both"/>
        <w:rPr>
          <w:rFonts w:ascii="Arial" w:hAnsi="Arial" w:cs="Arial"/>
          <w:sz w:val="22"/>
          <w:szCs w:val="22"/>
        </w:rPr>
      </w:pPr>
    </w:p>
    <w:p w14:paraId="534819A8" w14:textId="387CF3E2" w:rsidR="00F47264" w:rsidRPr="007B59C3" w:rsidRDefault="00F47264" w:rsidP="004D49B0">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b) Concepto único de la Comisión Interparlamentaria de Crédito Público, respecto del otorgamiento de la garantía por parte de la Nación, si estas se otorgan por plazo superior a un año; y </w:t>
      </w:r>
    </w:p>
    <w:p w14:paraId="1C4286D2" w14:textId="77777777" w:rsidR="004D49B0" w:rsidRDefault="004D49B0" w:rsidP="004D49B0">
      <w:pPr>
        <w:pStyle w:val="NormalWeb"/>
        <w:spacing w:before="0" w:beforeAutospacing="0" w:after="0" w:afterAutospacing="0"/>
        <w:jc w:val="both"/>
        <w:rPr>
          <w:rFonts w:ascii="Arial" w:hAnsi="Arial" w:cs="Arial"/>
          <w:sz w:val="22"/>
          <w:szCs w:val="22"/>
        </w:rPr>
      </w:pPr>
    </w:p>
    <w:p w14:paraId="100D2F6E" w14:textId="51E36911" w:rsidR="00F47264" w:rsidRPr="007B59C3" w:rsidRDefault="00F47264" w:rsidP="004D49B0">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 Autorización para celebrar el contrato de garantía impartida por el Ministerio de Hacienda y Crédito Público. </w:t>
      </w:r>
    </w:p>
    <w:p w14:paraId="64E149E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1DE076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Lo dispuesto en este artículo aplicará únicamente cuando las operaciones garantizadas por la </w:t>
      </w:r>
      <w:proofErr w:type="gramStart"/>
      <w:r w:rsidRPr="007B59C3">
        <w:rPr>
          <w:rFonts w:ascii="Arial" w:hAnsi="Arial" w:cs="Arial"/>
          <w:sz w:val="22"/>
          <w:szCs w:val="22"/>
        </w:rPr>
        <w:t>Nación,</w:t>
      </w:r>
      <w:proofErr w:type="gramEnd"/>
      <w:r w:rsidRPr="007B59C3">
        <w:rPr>
          <w:rFonts w:ascii="Arial" w:hAnsi="Arial" w:cs="Arial"/>
          <w:sz w:val="22"/>
          <w:szCs w:val="22"/>
        </w:rPr>
        <w:t xml:space="preserve"> estén dirigidas al desarrollo del giro ordinario de las actividades propias del objeto del Fondo Empresarial de la Superintendencia de Servicios Públicos Domiciliarios. Para los demás casos, se deberán cumplir los requisitos ordinarios establecidos para el otorgamiento de la garantía de la Nación. </w:t>
      </w:r>
    </w:p>
    <w:p w14:paraId="169A5C11" w14:textId="73417250"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1" w:name="ver_30138971"/>
      <w:bookmarkEnd w:id="101"/>
    </w:p>
    <w:p w14:paraId="3ACABD0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98.</w:t>
      </w:r>
      <w:r w:rsidRPr="007B59C3">
        <w:rPr>
          <w:rFonts w:ascii="Arial" w:hAnsi="Arial" w:cs="Arial"/>
          <w:sz w:val="22"/>
          <w:szCs w:val="22"/>
        </w:rPr>
        <w:t> Con cargo a los recursos apropiados por la Administradora de los Recursos del Sistema General de Seguridad Social en Salud (Adres), no se podrán hacer reconocimientos y pagos para los servicios y tecnologías no cubiertos en el Plan de Beneficios superiores a los valores y cantidades máximos definidos por el Ministerio de Salud y Protección Social, a partir de una metodología basada en los recobros de las dos vigencias anteriores. </w:t>
      </w:r>
    </w:p>
    <w:p w14:paraId="641894A0" w14:textId="61E0CF77"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2" w:name="ver_30138972"/>
      <w:bookmarkEnd w:id="102"/>
    </w:p>
    <w:p w14:paraId="1E0ABCE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99.</w:t>
      </w:r>
      <w:r w:rsidRPr="007B59C3">
        <w:rPr>
          <w:rFonts w:ascii="Arial" w:hAnsi="Arial" w:cs="Arial"/>
          <w:sz w:val="22"/>
          <w:szCs w:val="22"/>
        </w:rPr>
        <w:t> Los excedentes de liquidez que resulten de la administración de los recursos del Sistema General de Seguridad Social en Salud, a través de la Adres, podrán ser manejados por la Nación o por una entidad fiduciaria estatal o con participación mayoritaria de la Nación. </w:t>
      </w:r>
    </w:p>
    <w:p w14:paraId="503A24E7" w14:textId="27C2E4FA"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3" w:name="ver_30138973"/>
      <w:bookmarkEnd w:id="103"/>
    </w:p>
    <w:p w14:paraId="61A69F6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lastRenderedPageBreak/>
        <w:t>Artículo 100.</w:t>
      </w:r>
      <w:r w:rsidRPr="007B59C3">
        <w:rPr>
          <w:rFonts w:ascii="Arial" w:hAnsi="Arial" w:cs="Arial"/>
          <w:sz w:val="22"/>
          <w:szCs w:val="22"/>
        </w:rPr>
        <w:t> El ajuste al Sistema General de Participaciones (SGP) de 2018 a favor de la Nación por $54.183.572.248, que resulta de la diferencia de crecimiento real de la economía de 4,4% de 2014 certificado por el Departamento Administrativo Nacional de Estadística (DANE) en 2017, frente al reconocido con estimación preliminar de 4,6% y que generó recursos a favor de la atención integral de la primera infancia en la vigencia 2016, se efectuará en la vigencia 2019 o 2020, de acuerdo con lo establecido en la Ley 1176 de 2007. </w:t>
      </w:r>
    </w:p>
    <w:p w14:paraId="6294E18C" w14:textId="6BAF8752" w:rsidR="00F47264" w:rsidRPr="007B59C3" w:rsidRDefault="00F47264" w:rsidP="004D49B0">
      <w:pPr>
        <w:pStyle w:val="NormalWeb"/>
        <w:spacing w:before="0" w:beforeAutospacing="0" w:after="0" w:afterAutospacing="0"/>
        <w:jc w:val="both"/>
        <w:rPr>
          <w:rFonts w:ascii="Arial" w:hAnsi="Arial" w:cs="Arial"/>
        </w:rPr>
      </w:pPr>
      <w:r w:rsidRPr="007B59C3">
        <w:rPr>
          <w:rFonts w:ascii="Arial" w:hAnsi="Arial" w:cs="Arial"/>
          <w:sz w:val="22"/>
          <w:szCs w:val="22"/>
        </w:rPr>
        <w:t>  </w:t>
      </w:r>
      <w:bookmarkStart w:id="104" w:name="ver_30138974"/>
      <w:bookmarkEnd w:id="104"/>
    </w:p>
    <w:p w14:paraId="049D9B8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101.</w:t>
      </w:r>
      <w:r w:rsidRPr="007B59C3">
        <w:rPr>
          <w:rFonts w:ascii="Arial" w:hAnsi="Arial" w:cs="Arial"/>
          <w:sz w:val="22"/>
          <w:szCs w:val="22"/>
        </w:rPr>
        <w:t> La Dirección General de Crédito Público y Tesoro Nacional del Ministerio de Hacienda y Crédito Público podrá disponer transitoriamente del portafolio conformado con los recursos de que trata el artículo 5° de la Ley 448 de 1998. Los términos de dicha operación serán definidos en coordinación con la entidad que se establece en el parágrafo 2° del artículo 35 de la Ley 1753 de 2015. </w:t>
      </w:r>
    </w:p>
    <w:p w14:paraId="6BB24917" w14:textId="3C84C36E"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5" w:name="ver_30138975"/>
      <w:bookmarkEnd w:id="105"/>
    </w:p>
    <w:p w14:paraId="31AAF6A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102.</w:t>
      </w:r>
      <w:r w:rsidRPr="007B59C3">
        <w:rPr>
          <w:rFonts w:ascii="Arial" w:hAnsi="Arial" w:cs="Arial"/>
          <w:sz w:val="22"/>
          <w:szCs w:val="22"/>
        </w:rPr>
        <w:t> Pertenecen a la Nación los rendimientos financieros obtenidos por el Sistema de Cuenta Única Nacional, originados tanto con recursos de la Nación como los provenientes de recursos propios de las entidades, fondos y demás órganos que hagan parte de dicho Sistema, en concordancia con lo establecido por los artículos 16 y 101 del Estatuto Orgánico del Presupuesto. </w:t>
      </w:r>
    </w:p>
    <w:p w14:paraId="06C57C4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13C685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Se exceptúa de la anterior disposición, aquellos rendimientos originados con recursos de las entidades estatales del orden nacional que administren contribuciones parafiscales y de los órganos de previsión y seguridad social que administren prestaciones sociales de carácter económico, los rendimientos financieros originados en patrimonios autónomos que la ley haya autorizado, así como los provenientes de recursos de terceros que dichas entidades estatales mantengan en calidad de depósitos o administración. </w:t>
      </w:r>
    </w:p>
    <w:p w14:paraId="4BA52B38" w14:textId="22C14997"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6" w:name="ver_30138976"/>
      <w:bookmarkEnd w:id="106"/>
    </w:p>
    <w:p w14:paraId="1A77DCE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103.</w:t>
      </w:r>
      <w:r w:rsidRPr="007B59C3">
        <w:rPr>
          <w:rFonts w:ascii="Arial" w:hAnsi="Arial" w:cs="Arial"/>
          <w:sz w:val="22"/>
          <w:szCs w:val="22"/>
        </w:rPr>
        <w:t> El pago de los contratos y convenios necesarios para la asesoría y estructuración de operaciones de crédito público, asimiladas a estas y conexas a todas las anteriores, incluyendo la asesoría y estructuración de las operaciones del Tesoro Nacional y sus conexas, así como los costos asociados a la administración de títulos valores emitidos por la Nación, se podrán atender con cargo al servicio de la deuda pública. </w:t>
      </w:r>
    </w:p>
    <w:p w14:paraId="54344236" w14:textId="16353E66"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7" w:name="ver_30138977"/>
      <w:bookmarkEnd w:id="107"/>
    </w:p>
    <w:p w14:paraId="73DD04B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104.</w:t>
      </w:r>
      <w:r w:rsidRPr="007B59C3">
        <w:rPr>
          <w:rFonts w:ascii="Arial" w:hAnsi="Arial" w:cs="Arial"/>
          <w:sz w:val="22"/>
          <w:szCs w:val="22"/>
        </w:rPr>
        <w:t> Con cargo al portafolio de la Escuela Superior de Administración Pública (ESAP) a 31 de diciembre de 2017, y durante la vigencia del presente decreto, se financiarán gastos de los programas que el Ministerio de Educación Nacional viene ejecutando a través del Instituto Colombiano de Crédito Educativo y Estudios Técnicos en el Exterior (</w:t>
      </w:r>
      <w:proofErr w:type="spellStart"/>
      <w:r w:rsidRPr="007B59C3">
        <w:rPr>
          <w:rFonts w:ascii="Arial" w:hAnsi="Arial" w:cs="Arial"/>
          <w:sz w:val="22"/>
          <w:szCs w:val="22"/>
        </w:rPr>
        <w:t>Icetex</w:t>
      </w:r>
      <w:proofErr w:type="spellEnd"/>
      <w:r w:rsidRPr="007B59C3">
        <w:rPr>
          <w:rFonts w:ascii="Arial" w:hAnsi="Arial" w:cs="Arial"/>
          <w:sz w:val="22"/>
          <w:szCs w:val="22"/>
        </w:rPr>
        <w:t>) hasta por la suma de $400 mil millones. </w:t>
      </w:r>
    </w:p>
    <w:p w14:paraId="010A6D9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81B31F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Para dar cumplimiento a lo anterior, la Escuela Superior de Administración Pública (ESAP), situará estos recursos en el Tesoro Nacional, sin operación presupuestal, para lo cual hará los ajustes contables del caso. Si, con posterioridad al cumplimiento de lo aquí señalado se requieren recursos para cumplir las obligaciones a cargo de la ESAP que no cuenten con la liquidez necesaria, estas se atenderán con cargo a los recursos de la Nación en las siguientes vigencias fiscales, de ser necesario hasta por la cuantía señalada anteriormente. </w:t>
      </w:r>
    </w:p>
    <w:p w14:paraId="638E94F6" w14:textId="5D52D485"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8" w:name="ver_30138978"/>
      <w:bookmarkEnd w:id="108"/>
    </w:p>
    <w:p w14:paraId="6FF57C2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105.</w:t>
      </w:r>
      <w:r w:rsidRPr="007B59C3">
        <w:rPr>
          <w:rFonts w:ascii="Arial" w:hAnsi="Arial" w:cs="Arial"/>
          <w:sz w:val="22"/>
          <w:szCs w:val="22"/>
        </w:rPr>
        <w:t> Con el objeto de financiar programas sociales que deba atender el Gobierno nacional en la vigencia fiscal de 2018, ordénese la descapitalización de la Imprenta Nacional de Colombia en $100 mil millones, y del Fondo Nacional del Ahorro en $400 mil millones sin afectar las cesantías y los ahorros de los afiliados. Estos recursos deberán ser transferidos al Tesoro Nacional durante la vigencia de 2018. Estas empresas deberán hacer los ajustes contables a que haya lugar. </w:t>
      </w:r>
    </w:p>
    <w:p w14:paraId="37A8604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182262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Si regulatoriamente las entidades llegaran a requerir mayor respaldo patrimonial, el Gobierno nacional podrá realizar aportes de capital hasta por los montos señalados anteriormente. </w:t>
      </w:r>
    </w:p>
    <w:p w14:paraId="56A493FA" w14:textId="51A3698A"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09" w:name="ver_30138979"/>
      <w:bookmarkEnd w:id="109"/>
    </w:p>
    <w:p w14:paraId="02CDC9B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106.</w:t>
      </w:r>
      <w:r w:rsidRPr="007B59C3">
        <w:rPr>
          <w:rFonts w:ascii="Arial" w:hAnsi="Arial" w:cs="Arial"/>
          <w:sz w:val="22"/>
          <w:szCs w:val="22"/>
        </w:rPr>
        <w:t xml:space="preserve"> Con el fin de mantener la consistencia fiscal del Presupuesto General de la Nación para la vigencia fiscal 2018, y atender gastos prioritarios en sectores estratégicos, el Fondo Adaptación reprogramará los compromisos realizados con cargo a vigencias futuras, autorizadas por el </w:t>
      </w:r>
      <w:proofErr w:type="spellStart"/>
      <w:r w:rsidRPr="007B59C3">
        <w:rPr>
          <w:rFonts w:ascii="Arial" w:hAnsi="Arial" w:cs="Arial"/>
          <w:sz w:val="22"/>
          <w:szCs w:val="22"/>
        </w:rPr>
        <w:t>Confis</w:t>
      </w:r>
      <w:proofErr w:type="spellEnd"/>
      <w:r w:rsidRPr="007B59C3">
        <w:rPr>
          <w:rFonts w:ascii="Arial" w:hAnsi="Arial" w:cs="Arial"/>
          <w:sz w:val="22"/>
          <w:szCs w:val="22"/>
        </w:rPr>
        <w:t xml:space="preserve"> para la vigencia fiscal 2018. Con este propósito, se ajustará la programación de los diferentes proyectos para que sea consistente con el nuevo escenario fiscal, hasta por la suma de $300.000.000.000 del Fondo Adaptación. </w:t>
      </w:r>
    </w:p>
    <w:p w14:paraId="2BC060E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E52353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Así mismo, con el propósito de atender proyectos prioritarios del Sector Transporte, principalmente el Programa de Modernización del Parque Automotor de Carga y la construcción, mejoramiento y mantenimiento de la red vial, el Ministerio de Transporte y sus entidades adscritas, podrán reprogramar vigencias futuras autorizadas en los diferentes proyectos de inversión para la vigencia fiscal 2018. </w:t>
      </w:r>
    </w:p>
    <w:p w14:paraId="02D071C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1A976E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El Gobierno nacional hará los ajustes necesarios mediante decreto, sin cambiar, en todo caso, el monto total de gasto de inversión para la vigencia fiscal 2018 del sector. </w:t>
      </w:r>
    </w:p>
    <w:p w14:paraId="00FD723B" w14:textId="0F961C78"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0" w:name="ver_30138980"/>
      <w:bookmarkEnd w:id="110"/>
    </w:p>
    <w:p w14:paraId="1613EE5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107.</w:t>
      </w:r>
      <w:r w:rsidRPr="007B59C3">
        <w:rPr>
          <w:rStyle w:val="nfasis"/>
          <w:rFonts w:ascii="Arial" w:hAnsi="Arial" w:cs="Arial"/>
          <w:i w:val="0"/>
          <w:iCs w:val="0"/>
          <w:sz w:val="22"/>
          <w:szCs w:val="22"/>
        </w:rPr>
        <w:t>Subsidios de energía eléctrica y gas. </w:t>
      </w:r>
      <w:r w:rsidRPr="007B59C3">
        <w:rPr>
          <w:rFonts w:ascii="Arial" w:hAnsi="Arial" w:cs="Arial"/>
          <w:sz w:val="22"/>
          <w:szCs w:val="22"/>
        </w:rPr>
        <w:t>Los estratos 1 y 2 tendrán derecho a los subsidios de energía y gas definidos en el artículo 3° de la Ley 1117 de 2006, modificado por el artículo 1° de la Ley 1428 de 2010 y prorrogado por el artículo 17 de la Ley 1753 de 2015, siempre y cuando el consumo total del usuario no exceda en un 50% el consumo básico o de subsistencia establecido por el Gobierno nacional. </w:t>
      </w:r>
    </w:p>
    <w:p w14:paraId="15AA6BB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5F281F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Estos subsidios se restablecerán cuando el usuario disminuya el consumo a los límites establecidos en el presente artículo. </w:t>
      </w:r>
    </w:p>
    <w:p w14:paraId="6FB775A0" w14:textId="03A4E270"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1" w:name="ver_30138981"/>
      <w:bookmarkEnd w:id="111"/>
    </w:p>
    <w:p w14:paraId="6C28742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108.</w:t>
      </w:r>
      <w:r w:rsidRPr="007B59C3">
        <w:rPr>
          <w:rFonts w:ascii="Arial" w:hAnsi="Arial" w:cs="Arial"/>
          <w:sz w:val="22"/>
          <w:szCs w:val="22"/>
        </w:rPr>
        <w:t xml:space="preserve"> Para garantizar el pago del personal docente y administrativo de las instituciones educativas públicas, las contribuciones inherentes a la nómina y sus prestaciones sociales, durante la presente vigencia fiscal el Gobierno nacional podrá utilizar de manera temporal los recursos del Sistema General de Participaciones con destino al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hasta por la suma de $1.063.199.156.620 para ser destinados al Sistema General de Participaciones del sector Educación. </w:t>
      </w:r>
    </w:p>
    <w:p w14:paraId="66FC23A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1F1904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Estos recursos serán reintegrados a la cuenta del </w:t>
      </w:r>
      <w:proofErr w:type="spellStart"/>
      <w:r w:rsidRPr="007B59C3">
        <w:rPr>
          <w:rFonts w:ascii="Arial" w:hAnsi="Arial" w:cs="Arial"/>
          <w:sz w:val="22"/>
          <w:szCs w:val="22"/>
        </w:rPr>
        <w:t>Fonpet</w:t>
      </w:r>
      <w:proofErr w:type="spellEnd"/>
      <w:r w:rsidRPr="007B59C3">
        <w:rPr>
          <w:rFonts w:ascii="Arial" w:hAnsi="Arial" w:cs="Arial"/>
          <w:sz w:val="22"/>
          <w:szCs w:val="22"/>
        </w:rPr>
        <w:t xml:space="preserve"> en las dos (2) vigencias fiscales subsiguientes. </w:t>
      </w:r>
    </w:p>
    <w:p w14:paraId="20C1C119" w14:textId="397AC4EC"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2" w:name="ver_30138982"/>
      <w:bookmarkEnd w:id="112"/>
    </w:p>
    <w:p w14:paraId="4419A21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109.</w:t>
      </w:r>
      <w:r w:rsidRPr="007B59C3">
        <w:rPr>
          <w:rStyle w:val="nfasis"/>
          <w:rFonts w:ascii="Arial" w:hAnsi="Arial" w:cs="Arial"/>
          <w:i w:val="0"/>
          <w:iCs w:val="0"/>
          <w:sz w:val="22"/>
          <w:szCs w:val="22"/>
        </w:rPr>
        <w:t>Saldos de fondos especiales y cuentas administradas por el Tesoro Nacional. </w:t>
      </w:r>
      <w:r w:rsidRPr="007B59C3">
        <w:rPr>
          <w:rFonts w:ascii="Arial" w:hAnsi="Arial" w:cs="Arial"/>
          <w:sz w:val="22"/>
          <w:szCs w:val="22"/>
        </w:rPr>
        <w:t>Los recursos de los fondos y cuentas administrados por el Tesoro Nacional cuyo objeto de gasto o destinación específica se haya cumplido, harán parte de la unidad de caja de Tesoro Nacional. </w:t>
      </w:r>
    </w:p>
    <w:p w14:paraId="79840224" w14:textId="6530688E"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3" w:name="ver_30138983"/>
      <w:bookmarkEnd w:id="113"/>
    </w:p>
    <w:p w14:paraId="5853237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110.</w:t>
      </w:r>
      <w:r w:rsidRPr="007B59C3">
        <w:rPr>
          <w:rFonts w:ascii="Arial" w:hAnsi="Arial" w:cs="Arial"/>
          <w:sz w:val="22"/>
          <w:szCs w:val="22"/>
        </w:rPr>
        <w:t> La Dirección General de Crédito Público y Tesoro Nacional trasladará directamente, sin operación presupuestal, los recursos de la Cuenta Especial Fondes al Fondo Nacional para el Desarrollo de la Infraestructura (Fondes), administrado por la Financiera de Desarrollo Nacional (FDN). Para el caso de los títulos, dicho traslado se realizará por su valor contable, valorado a su tasa de adquisición. Los costos y gastos de administración del Fondes se atenderán con los rendimientos financieros generados por dicho fondo. </w:t>
      </w:r>
    </w:p>
    <w:p w14:paraId="0884D7A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B524E2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Los recursos que reciba el Fondes desde la Cuenta Especial Fondes, podrán ser invertidos conforme al régimen general autorizado para tal fondo. Adicionalmente, este podrá invertir en instrumentos emitidos por la FDN que computen en su capital regulatorio conforme al Decreto 2555 de 2010 o las normas que lo sustituyan, modifiquen o adicionen. Los títulos que sean recibidos por el Fondes en virtud del traslado desde la Cuenta Especial Fondes, podrán ser redimidos, pagados, recomprados o sustituidos por la FDN durante la vigencia del presente decreto, independiente del plazo transcurrido desde su emisión, siempre que los títulos o recursos sean invertidos, reemplazados, intercambiados o sustituidos por instrumentos emitidos por la misma FDN, que computen en su capital regulatorio, conforme al Decreto 2555 de 2010 o las normas, que lo sustituyan, modifiquen o adicionen. </w:t>
      </w:r>
    </w:p>
    <w:p w14:paraId="71423D6B" w14:textId="33624EBF"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4" w:name="ver_30138984"/>
      <w:bookmarkEnd w:id="114"/>
    </w:p>
    <w:p w14:paraId="153B24A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111.</w:t>
      </w:r>
      <w:r w:rsidRPr="007B59C3">
        <w:rPr>
          <w:rFonts w:ascii="Arial" w:hAnsi="Arial" w:cs="Arial"/>
          <w:sz w:val="22"/>
          <w:szCs w:val="22"/>
        </w:rPr>
        <w:t> La Nación podrá otorgar los avales o garantías a las operaciones de financiamiento que realicen las entidades en el marco de la cofinanciación de la que trata el inciso 2 del artículo 14 de la Ley 86 de 1989, modificada por el artículo 31 de la Ley 1753 de 2015. En estos eventos, las entidades estatales podrán utilizar para la constitución de las contragarantías a favor de la Nación, entre otras, los flujos correspondientes a las vigencias futuras aprobadas por la instancia correspondiente. El Gobierno nacional reglamentará lo dispuesto por este artículo. </w:t>
      </w:r>
    </w:p>
    <w:p w14:paraId="5537DA5D" w14:textId="008771C3"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5" w:name="ver_30138985"/>
      <w:bookmarkEnd w:id="115"/>
    </w:p>
    <w:p w14:paraId="5AC0F9A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112.</w:t>
      </w:r>
      <w:r w:rsidRPr="007B59C3">
        <w:rPr>
          <w:rFonts w:ascii="Arial" w:hAnsi="Arial" w:cs="Arial"/>
          <w:sz w:val="22"/>
          <w:szCs w:val="22"/>
        </w:rPr>
        <w:t> Durante la vigencia del presente decreto, se podrán destinar a proyectos de ampliación de cobertura en zonas rurales y/o no interconectadas que se financien con los fondos FAER y FAZNI, y a pagos por menores tarifas del sector eléctrico, los recursos disponibles y sin comprometer del Programa de Normalización de Redes Eléctricas (Prone). </w:t>
      </w:r>
    </w:p>
    <w:p w14:paraId="3A587C58" w14:textId="25C700B0"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6" w:name="ver_30138986"/>
      <w:bookmarkEnd w:id="116"/>
    </w:p>
    <w:p w14:paraId="6FA7007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113.</w:t>
      </w:r>
      <w:r w:rsidRPr="007B59C3">
        <w:rPr>
          <w:rFonts w:ascii="Arial" w:hAnsi="Arial" w:cs="Arial"/>
          <w:sz w:val="22"/>
          <w:szCs w:val="22"/>
        </w:rPr>
        <w:t> El Ministerio de Minas y Energía podrá financiar proyectos consistentes en líneas de crédito con tasa compensada, o el otorgamiento de garantías que faciliten el acceso al crédito a la pequeña minería, dentro del programa de formalización minera. </w:t>
      </w:r>
    </w:p>
    <w:p w14:paraId="672B9CA3" w14:textId="5697BB86"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7" w:name="ver_30138987"/>
      <w:bookmarkEnd w:id="117"/>
    </w:p>
    <w:p w14:paraId="0F24F6C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114.</w:t>
      </w:r>
      <w:r w:rsidRPr="007B59C3">
        <w:rPr>
          <w:rFonts w:ascii="Arial" w:hAnsi="Arial" w:cs="Arial"/>
          <w:sz w:val="22"/>
          <w:szCs w:val="22"/>
        </w:rPr>
        <w:t> El Ministerio de Minas y Energía, en desarrollo de la Política Minera Nacional, podrá apoyar a los pequeños mineros y comunidades mineras, mediante la adquisición y montaje de equipos especializados en minería que sean requeridos para el mejoramiento de la operación minera y producción más limpia. Así mismo, podrá estructurar e implementar proyectos productivos para la reconversión laboral de los pequeños mineros y/o mineros de subsistencia. </w:t>
      </w:r>
    </w:p>
    <w:p w14:paraId="181CEB4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287B676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El Ministerio de Minas y Energía determinará los requisitos y demás acciones necesarias para el desarrollo del presente artículo, y lo financiará con cargo a las apropiaciones disponibles. </w:t>
      </w:r>
    </w:p>
    <w:p w14:paraId="5F736F93" w14:textId="4301D64B"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8" w:name="ver_30138988"/>
      <w:bookmarkEnd w:id="118"/>
    </w:p>
    <w:p w14:paraId="6A8C524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115.</w:t>
      </w:r>
      <w:r w:rsidRPr="007B59C3">
        <w:rPr>
          <w:rStyle w:val="nfasis"/>
          <w:rFonts w:ascii="Arial" w:hAnsi="Arial" w:cs="Arial"/>
          <w:i w:val="0"/>
          <w:iCs w:val="0"/>
          <w:sz w:val="22"/>
          <w:szCs w:val="22"/>
        </w:rPr>
        <w:t>Del funcionamiento y desarrollo del Fondo para la Defensa de los Derechos e Intereses Colectivos</w:t>
      </w:r>
      <w:r w:rsidRPr="007B59C3">
        <w:rPr>
          <w:rFonts w:ascii="Arial" w:hAnsi="Arial" w:cs="Arial"/>
          <w:sz w:val="22"/>
          <w:szCs w:val="22"/>
        </w:rPr>
        <w:t>. Con base en lo dispuesto en la Ley 472 de 1998, la Defensoría del Pueblo financiará el funcionamiento del Fondo con el producto de los rendimientos financieros del capital de dicho Fondo. </w:t>
      </w:r>
    </w:p>
    <w:p w14:paraId="6D0935B5" w14:textId="4BD44306"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19" w:name="ver_30138989"/>
      <w:bookmarkEnd w:id="119"/>
    </w:p>
    <w:p w14:paraId="155E522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116.</w:t>
      </w:r>
      <w:r w:rsidRPr="007B59C3">
        <w:rPr>
          <w:rStyle w:val="nfasis"/>
          <w:rFonts w:ascii="Arial" w:hAnsi="Arial" w:cs="Arial"/>
          <w:i w:val="0"/>
          <w:iCs w:val="0"/>
          <w:sz w:val="22"/>
          <w:szCs w:val="22"/>
        </w:rPr>
        <w:t>De la administración y funcionamiento del Sistema Nacional de Defensoría Pública. </w:t>
      </w:r>
      <w:r w:rsidRPr="007B59C3">
        <w:rPr>
          <w:rFonts w:ascii="Arial" w:hAnsi="Arial" w:cs="Arial"/>
          <w:sz w:val="22"/>
          <w:szCs w:val="22"/>
        </w:rPr>
        <w:t>Con base en la transferencia realizada para el desarrollo del Sistema Nacional de Defensoría Pública, serán imputables a la misma los gastos de funcionamiento que garanticen el debido desarrollo de los postulados previstos en el Ley 941 de 2005, ello con base en el principio de programación integral previsto en el artículo 17 del Estatuto Orgánico del Presupuesto. </w:t>
      </w:r>
    </w:p>
    <w:p w14:paraId="1FDB87C2" w14:textId="77FE0521"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0" w:name="ver_30138990"/>
      <w:bookmarkEnd w:id="120"/>
    </w:p>
    <w:p w14:paraId="43F3EA2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117.</w:t>
      </w:r>
      <w:r w:rsidRPr="007B59C3">
        <w:rPr>
          <w:rFonts w:ascii="Arial" w:hAnsi="Arial" w:cs="Arial"/>
          <w:sz w:val="22"/>
          <w:szCs w:val="22"/>
        </w:rPr>
        <w:t xml:space="preserve"> Las entidades territoriales que no hayan ejecutado a 31 de diciembre de 2017 los recursos provenientes de la contribución parafiscal de los espectáculos públicos de las artes escénicas de que trata el artículo 7° de la Ley 1493 de 2011, girados por el Ministerio de Cultura a </w:t>
      </w:r>
      <w:r w:rsidRPr="007B59C3">
        <w:rPr>
          <w:rFonts w:ascii="Arial" w:hAnsi="Arial" w:cs="Arial"/>
          <w:sz w:val="22"/>
          <w:szCs w:val="22"/>
        </w:rPr>
        <w:lastRenderedPageBreak/>
        <w:t>los municipios y distritos en las vigencias fiscales 2012, 2013 y 2014, deberán reintegrarlos a la Dirección General de Crédito Público y Tesoro Nacional del Ministerio de Hacienda y Crédito Público junto con los rendimientos financieros generados por los recursos no ejecutados, a más tardar el día 30 de junio de 2018. </w:t>
      </w:r>
    </w:p>
    <w:p w14:paraId="7F69C6D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7FEBBB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Los recursos provenientes del reintegro señalado serán incorporados en el presupuesto del Ministerio de Cultura y guardarán la misma destinación señalada en los artículos 12 y 13 de la Ley 1493 de 2011, siendo este Ministerio el encargado de definir en qué proyectos y en cuáles municipios y distritos se ejecutarán. </w:t>
      </w:r>
    </w:p>
    <w:p w14:paraId="5F119DC1" w14:textId="519C7BCF"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1" w:name="ver_30138991"/>
      <w:bookmarkEnd w:id="121"/>
    </w:p>
    <w:p w14:paraId="41DDD15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118.</w:t>
      </w:r>
      <w:r w:rsidRPr="007B59C3">
        <w:rPr>
          <w:rFonts w:ascii="Arial" w:hAnsi="Arial" w:cs="Arial"/>
          <w:sz w:val="22"/>
          <w:szCs w:val="22"/>
        </w:rPr>
        <w:t> Los recursos del Presupuesto General de la Nación asignados al Fondo Nacional de Vivienda (Fonvivienda), independiente del rubro presupuestal donde se hayan apropiado originalmente, así como todos los recursos transferidos a los patrimonios autónomos en los cuales dicha entidad sea fideicomitente al igual que sus rendimientos financieros, podrán ser destinados a actividades relacionadas con el acompañamiento social en materia de seguridad, convivencia, cumplimiento de derechos y deberes de los beneficiarios y sostenibilidad económica de las familias, cuidado de las unidades privadas y las áreas comunes en los proyectos de vivienda de interés social y prioritaria que se ejecuten en el marco de los programas desarrollados por el Gobierno nacional. Fonvivienda mediante acto administrativo, determinará la cuantía de los recursos antes mencionados que pueden ser destinados a esos propósitos. </w:t>
      </w:r>
    </w:p>
    <w:p w14:paraId="439F6AF4" w14:textId="03DB82D2"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2" w:name="ver_30138992"/>
      <w:bookmarkEnd w:id="122"/>
    </w:p>
    <w:p w14:paraId="55D6ECE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119. </w:t>
      </w:r>
      <w:r w:rsidRPr="007B59C3">
        <w:rPr>
          <w:rFonts w:ascii="Arial" w:hAnsi="Arial" w:cs="Arial"/>
          <w:sz w:val="22"/>
          <w:szCs w:val="22"/>
        </w:rPr>
        <w:t>El Ministerio de Educación Nacional formulará e implementará un Plan de Financiación de las Instituciones de Educación Superior Públicas, donde se establezca las fuentes de financiamiento y las acciones que permitirán proyectar el sistema en el mediano y largo plazo, con metas acordes a las apuestas del país en educación superior. </w:t>
      </w:r>
    </w:p>
    <w:p w14:paraId="314C3B9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49683C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El Ministerio de Educación Nacional deberá presentar dentro de los seis meses siguientes a la expedición del presente decreto el Plan de financiamiento de que trata el presente artículo. </w:t>
      </w:r>
    </w:p>
    <w:p w14:paraId="2A95E855" w14:textId="6E21780F"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3" w:name="ver_30138993"/>
      <w:bookmarkEnd w:id="123"/>
    </w:p>
    <w:p w14:paraId="53FEC85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120.</w:t>
      </w:r>
      <w:r w:rsidRPr="007B59C3">
        <w:rPr>
          <w:rFonts w:ascii="Arial" w:hAnsi="Arial" w:cs="Arial"/>
          <w:sz w:val="22"/>
          <w:szCs w:val="22"/>
        </w:rPr>
        <w:t> La subvención de que trata el artículo 240 de la Ley 1753 de 2015, tendrá una vigencia del 1° de enero al 31 de diciembre de 2018 sujeto a la disponibilidad presupuestal del Ministerio de Defensa Nacional. </w:t>
      </w:r>
    </w:p>
    <w:p w14:paraId="6A699608" w14:textId="4C4B7E4B"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4" w:name="ver_30138994"/>
      <w:bookmarkEnd w:id="124"/>
    </w:p>
    <w:p w14:paraId="6FADA8B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121. </w:t>
      </w:r>
      <w:r w:rsidRPr="007B59C3">
        <w:rPr>
          <w:rFonts w:ascii="Arial" w:hAnsi="Arial" w:cs="Arial"/>
          <w:sz w:val="22"/>
          <w:szCs w:val="22"/>
        </w:rPr>
        <w:t xml:space="preserve">Cuando existan rendimientos financieros generados por el Fondo de Devolución de Armas, dichos recursos serán incorporados en la Sección Presupuestal 1501 Ministerio de Defensa Nacional como fuente de ingreso Fondos Especiales (Fondos Internos), los cuales serán utilizados </w:t>
      </w:r>
      <w:proofErr w:type="gramStart"/>
      <w:r w:rsidRPr="007B59C3">
        <w:rPr>
          <w:rFonts w:ascii="Arial" w:hAnsi="Arial" w:cs="Arial"/>
          <w:sz w:val="22"/>
          <w:szCs w:val="22"/>
        </w:rPr>
        <w:t>de acuerdo a</w:t>
      </w:r>
      <w:proofErr w:type="gramEnd"/>
      <w:r w:rsidRPr="007B59C3">
        <w:rPr>
          <w:rFonts w:ascii="Arial" w:hAnsi="Arial" w:cs="Arial"/>
          <w:sz w:val="22"/>
          <w:szCs w:val="22"/>
        </w:rPr>
        <w:t xml:space="preserve"> lo establecido en el Estatuto Orgánico del Presupuesto. </w:t>
      </w:r>
    </w:p>
    <w:p w14:paraId="320BF441" w14:textId="1144224F"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5" w:name="ver_30138995"/>
      <w:bookmarkEnd w:id="125"/>
    </w:p>
    <w:p w14:paraId="0FA63A4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122.</w:t>
      </w:r>
      <w:r w:rsidRPr="007B59C3">
        <w:rPr>
          <w:rStyle w:val="nfasis"/>
          <w:rFonts w:ascii="Arial" w:hAnsi="Arial" w:cs="Arial"/>
          <w:i w:val="0"/>
          <w:iCs w:val="0"/>
          <w:sz w:val="22"/>
          <w:szCs w:val="22"/>
        </w:rPr>
        <w:t>Devolución de aportes pertenecientes al Sistema General de Pensiones. </w:t>
      </w:r>
      <w:r w:rsidRPr="007B59C3">
        <w:rPr>
          <w:rFonts w:ascii="Arial" w:hAnsi="Arial" w:cs="Arial"/>
          <w:sz w:val="22"/>
          <w:szCs w:val="22"/>
        </w:rPr>
        <w:t xml:space="preserve">Las Entidades Administradoras del Régimen de Prima Media con Prestación Definida podrán solicitar en cualquier tiempo la devolución de los recursos que hubiesen transferido a las Empresas Promotoras de Salud y/o al Ministerio de Salud y Protección Social, por concepto de aportes de personas fallecidas o que se determine </w:t>
      </w:r>
      <w:proofErr w:type="gramStart"/>
      <w:r w:rsidRPr="007B59C3">
        <w:rPr>
          <w:rFonts w:ascii="Arial" w:hAnsi="Arial" w:cs="Arial"/>
          <w:sz w:val="22"/>
          <w:szCs w:val="22"/>
        </w:rPr>
        <w:t>administrativamente o judicialmente</w:t>
      </w:r>
      <w:proofErr w:type="gramEnd"/>
      <w:r w:rsidRPr="007B59C3">
        <w:rPr>
          <w:rFonts w:ascii="Arial" w:hAnsi="Arial" w:cs="Arial"/>
          <w:sz w:val="22"/>
          <w:szCs w:val="22"/>
        </w:rPr>
        <w:t xml:space="preserve"> que no era procedente el giro de estos aportes. </w:t>
      </w:r>
    </w:p>
    <w:p w14:paraId="7715A4E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46340B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En el caso que los recursos ya hayan sido compensados ante Fondo de Solidaridad y Garantía (</w:t>
      </w:r>
      <w:proofErr w:type="spellStart"/>
      <w:r w:rsidRPr="007B59C3">
        <w:rPr>
          <w:rFonts w:ascii="Arial" w:hAnsi="Arial" w:cs="Arial"/>
          <w:sz w:val="22"/>
          <w:szCs w:val="22"/>
        </w:rPr>
        <w:t>Fosyga</w:t>
      </w:r>
      <w:proofErr w:type="spellEnd"/>
      <w:r w:rsidRPr="007B59C3">
        <w:rPr>
          <w:rFonts w:ascii="Arial" w:hAnsi="Arial" w:cs="Arial"/>
          <w:sz w:val="22"/>
          <w:szCs w:val="22"/>
        </w:rPr>
        <w:t xml:space="preserve">) o a quien haga sus veces, para el pago de estas acreencias se efectuarán cruces de cuentas sin operación presupuestal, con base en las transferencias del Presupuesto General de la </w:t>
      </w:r>
      <w:r w:rsidRPr="007B59C3">
        <w:rPr>
          <w:rFonts w:ascii="Arial" w:hAnsi="Arial" w:cs="Arial"/>
          <w:sz w:val="22"/>
          <w:szCs w:val="22"/>
        </w:rPr>
        <w:lastRenderedPageBreak/>
        <w:t>Nación que se hayan entregado a los fondos de Invalidez, Vejez y Muerte (IVM), para lo cual se harán las operaciones contables que se requieran. </w:t>
      </w:r>
    </w:p>
    <w:p w14:paraId="676BEE5E" w14:textId="04B39605"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6" w:name="ver_30138996"/>
      <w:bookmarkEnd w:id="126"/>
    </w:p>
    <w:p w14:paraId="32A46AC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123.</w:t>
      </w:r>
      <w:r w:rsidRPr="007B59C3">
        <w:rPr>
          <w:rFonts w:ascii="Arial" w:hAnsi="Arial" w:cs="Arial"/>
          <w:sz w:val="22"/>
          <w:szCs w:val="22"/>
        </w:rPr>
        <w:t> En las empresas de servicio públicos mixtas y sus subordinadas, en las cuales la participación de la Nación directamente o a través de sus entidades descentralizadas sea igual o superior al noventa por ciento y que desarrollen sus actividades bajo condiciones de competencia, la aprobación y modificación de su presupuesto, de las viabilidades presupuéstales y de las vigencias futuras corresponderá a las juntas directivas de las respectivas empresas, sin requerirse concepto previo de ningún otro órgano o entidad gubernamental. </w:t>
      </w:r>
    </w:p>
    <w:p w14:paraId="1291E286" w14:textId="76BA0647"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7" w:name="ver_30138997"/>
      <w:bookmarkEnd w:id="127"/>
    </w:p>
    <w:p w14:paraId="01ABEE8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124.</w:t>
      </w:r>
      <w:r w:rsidRPr="007B59C3">
        <w:rPr>
          <w:rFonts w:ascii="Arial" w:hAnsi="Arial" w:cs="Arial"/>
          <w:sz w:val="22"/>
          <w:szCs w:val="22"/>
        </w:rPr>
        <w:t> A efectos de velar por una eficiente administración de los recursos del Fondo Nacional de Prestaciones Sociales del Magisterio, de forma que se asuman oportunamente los pagos de las prestaciones sociales de los afiliados, el Fideicomitente podrá acceder a la información respecto de los bienes dados en administración, sin perjuicio de que exista reserva legal. </w:t>
      </w:r>
    </w:p>
    <w:p w14:paraId="22FAE63E" w14:textId="1F7D9BE1"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8" w:name="ver_30138998"/>
      <w:bookmarkEnd w:id="128"/>
    </w:p>
    <w:p w14:paraId="0E5FAED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125.</w:t>
      </w:r>
      <w:r w:rsidRPr="007B59C3">
        <w:rPr>
          <w:rFonts w:ascii="Arial" w:hAnsi="Arial" w:cs="Arial"/>
          <w:sz w:val="22"/>
          <w:szCs w:val="22"/>
        </w:rPr>
        <w:t> Los gastos en que incurra el Ministerio de Educación Nacional para la realización de las actividades de control, seguimiento y cobro de valores adeudados, para adelantar el proceso de verificación y recaudo de la contribución parafiscal prevista en la Ley 1697 de 2013, se realizarán con cargo a los recursos depositados en el Fondo Nacional de Universidades Estatales de Colombia, para lo cual se harán los correspondientes registros presupuestales. </w:t>
      </w:r>
    </w:p>
    <w:p w14:paraId="6B1BD008" w14:textId="6CA23312"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29" w:name="ver_30138999"/>
      <w:bookmarkEnd w:id="129"/>
    </w:p>
    <w:p w14:paraId="2508A5E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126. </w:t>
      </w:r>
      <w:r w:rsidRPr="007B59C3">
        <w:rPr>
          <w:rFonts w:ascii="Arial" w:hAnsi="Arial" w:cs="Arial"/>
          <w:sz w:val="22"/>
          <w:szCs w:val="22"/>
        </w:rPr>
        <w:t>Los bienes inmuebles fiscales de propiedad de entidades públicas del orden nacional podrán utilizarse como medio de pago, garantía o fuente de financiación para adelantar la formulación, estructuración y ejecución de proyectos inmobiliarios que tengan como propósito o consecuencia resolver necesidades en materia de infraestructura para sedes administrativas, o misionales de entidades públicas, incluyendo instalaciones militares y carcelarias, así como de defensa y seguridad del Estado, y en consecuencia se entenderá que los respectivos inmuebles se requieren para el ejercicio de sus funciones. </w:t>
      </w:r>
    </w:p>
    <w:p w14:paraId="57D0CD5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062F86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En los proyectos inmobiliarios que se adelanten para resolver necesidades del sector defensa, y se desarrollen a través de otros organismos del Presupuesto General de la Nación, que involucren o no mecanismos como la fiducia mercantil, podrán diseñarse procesos de selección de contratistas entre aspirantes a contratar que cuenten con el respaldo de países con los cuales el Ministerio de Defensa Nacional hubiere firmado acuerdos o convenios. Los contratos que se celebren con el alcance descrito en este inciso son de defensa y seguridad del Estado para todos los efectos y en especial para lo dispuesto en el artículo 33 de la Ley 996 de 2005, o la norma que lo modifique, adicione o sustituya. </w:t>
      </w:r>
    </w:p>
    <w:p w14:paraId="6FDF25F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EC012D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Si los proyectos a que se refiere este artículo son encargados para su ejecución a un particular, la remuneración, total o parcial podrá hacerse con los aportes, en dinero o en especie, según el mecanismo jurídico diseñado para tal fin. Lo dispuesto en esta norma se hará siguiendo lo establecido en las leyes y demás normas que regulen la materia. </w:t>
      </w:r>
    </w:p>
    <w:p w14:paraId="5EB243D1" w14:textId="245563C2"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30" w:name="ver_30139000"/>
      <w:bookmarkEnd w:id="130"/>
    </w:p>
    <w:p w14:paraId="77E08DD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127.</w:t>
      </w:r>
      <w:r w:rsidRPr="007B59C3">
        <w:rPr>
          <w:rStyle w:val="nfasis"/>
          <w:rFonts w:ascii="Arial" w:hAnsi="Arial" w:cs="Arial"/>
          <w:i w:val="0"/>
          <w:iCs w:val="0"/>
          <w:sz w:val="22"/>
          <w:szCs w:val="22"/>
        </w:rPr>
        <w:t xml:space="preserve">Endeudamiento </w:t>
      </w:r>
      <w:proofErr w:type="spellStart"/>
      <w:r w:rsidRPr="007B59C3">
        <w:rPr>
          <w:rStyle w:val="nfasis"/>
          <w:rFonts w:ascii="Arial" w:hAnsi="Arial" w:cs="Arial"/>
          <w:i w:val="0"/>
          <w:iCs w:val="0"/>
          <w:sz w:val="22"/>
          <w:szCs w:val="22"/>
        </w:rPr>
        <w:t>Icetex</w:t>
      </w:r>
      <w:proofErr w:type="spellEnd"/>
      <w:r w:rsidRPr="007B59C3">
        <w:rPr>
          <w:rFonts w:ascii="Arial" w:hAnsi="Arial" w:cs="Arial"/>
          <w:sz w:val="22"/>
          <w:szCs w:val="22"/>
        </w:rPr>
        <w:t xml:space="preserve">. De ser necesario y con el ánimo de garantizar el pago oportuno de las matrículas de los estudiantes que accedan a crédito educativo a través del </w:t>
      </w:r>
      <w:proofErr w:type="spellStart"/>
      <w:r w:rsidRPr="007B59C3">
        <w:rPr>
          <w:rFonts w:ascii="Arial" w:hAnsi="Arial" w:cs="Arial"/>
          <w:sz w:val="22"/>
          <w:szCs w:val="22"/>
        </w:rPr>
        <w:t>Icetex</w:t>
      </w:r>
      <w:proofErr w:type="spellEnd"/>
      <w:r w:rsidRPr="007B59C3">
        <w:rPr>
          <w:rFonts w:ascii="Arial" w:hAnsi="Arial" w:cs="Arial"/>
          <w:sz w:val="22"/>
          <w:szCs w:val="22"/>
        </w:rPr>
        <w:t xml:space="preserve">, la entidad en el año 2018 podrá recurrir temporalmente a créditos hasta por un monto equivalente a doscientos noventa mil millones de pesos ($290.000.000.000 m/te). Estos recursos, incluidos los costos asociados, serán devueltos por la Nación al </w:t>
      </w:r>
      <w:proofErr w:type="spellStart"/>
      <w:r w:rsidRPr="007B59C3">
        <w:rPr>
          <w:rFonts w:ascii="Arial" w:hAnsi="Arial" w:cs="Arial"/>
          <w:sz w:val="22"/>
          <w:szCs w:val="22"/>
        </w:rPr>
        <w:t>Icetex</w:t>
      </w:r>
      <w:proofErr w:type="spellEnd"/>
      <w:r w:rsidRPr="007B59C3">
        <w:rPr>
          <w:rFonts w:ascii="Arial" w:hAnsi="Arial" w:cs="Arial"/>
          <w:sz w:val="22"/>
          <w:szCs w:val="22"/>
        </w:rPr>
        <w:t xml:space="preserve">, durante el año 2019, bajo los términos y condiciones acordados entre el Ministerio de Hacienda y Crédito Público y el </w:t>
      </w:r>
      <w:proofErr w:type="spellStart"/>
      <w:r w:rsidRPr="007B59C3">
        <w:rPr>
          <w:rFonts w:ascii="Arial" w:hAnsi="Arial" w:cs="Arial"/>
          <w:sz w:val="22"/>
          <w:szCs w:val="22"/>
        </w:rPr>
        <w:t>Icetex</w:t>
      </w:r>
      <w:proofErr w:type="spellEnd"/>
      <w:r w:rsidRPr="007B59C3">
        <w:rPr>
          <w:rFonts w:ascii="Arial" w:hAnsi="Arial" w:cs="Arial"/>
          <w:sz w:val="22"/>
          <w:szCs w:val="22"/>
        </w:rPr>
        <w:t>. </w:t>
      </w:r>
    </w:p>
    <w:p w14:paraId="5A9724BB" w14:textId="578E15CE"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lastRenderedPageBreak/>
        <w:t>  </w:t>
      </w:r>
      <w:bookmarkStart w:id="131" w:name="ver_30139001"/>
      <w:bookmarkEnd w:id="131"/>
    </w:p>
    <w:p w14:paraId="7369074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128.</w:t>
      </w:r>
      <w:r w:rsidRPr="007B59C3">
        <w:rPr>
          <w:rFonts w:ascii="Arial" w:hAnsi="Arial" w:cs="Arial"/>
          <w:sz w:val="22"/>
          <w:szCs w:val="22"/>
        </w:rPr>
        <w:t> Del saldo disponible del Fondo de Investigación para la Salud (FIS), a que se refiere la Ley 643 de 2001, administrado por el Departamento Administrativo de Ciencia, Tecnología e Innovación - Colciencias y que pertenece a la Nación, se destinará la suma de $10 mil millones para financiar el programa de Becas Crédito establecido en el primer parágrafo del artículo 193 de la Ley 100 de 1993 y $50 mil millones para financiar diferentes proyectos de inversión que ejecuta Colciencias. </w:t>
      </w:r>
    </w:p>
    <w:p w14:paraId="2D72AD0F" w14:textId="27B44FEF" w:rsidR="00F47264" w:rsidRPr="007B59C3" w:rsidRDefault="00F47264" w:rsidP="00D15D23">
      <w:pPr>
        <w:pStyle w:val="NormalWeb"/>
        <w:spacing w:before="0" w:beforeAutospacing="0" w:after="0" w:afterAutospacing="0"/>
        <w:jc w:val="both"/>
        <w:rPr>
          <w:rFonts w:ascii="Arial" w:hAnsi="Arial" w:cs="Arial"/>
        </w:rPr>
      </w:pPr>
      <w:r w:rsidRPr="007B59C3">
        <w:rPr>
          <w:rFonts w:ascii="Arial" w:hAnsi="Arial" w:cs="Arial"/>
          <w:sz w:val="22"/>
          <w:szCs w:val="22"/>
        </w:rPr>
        <w:t>  </w:t>
      </w:r>
      <w:bookmarkStart w:id="132" w:name="ver_30139002"/>
      <w:bookmarkEnd w:id="132"/>
    </w:p>
    <w:p w14:paraId="2365E2EE"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129.</w:t>
      </w:r>
      <w:r w:rsidRPr="007B59C3">
        <w:rPr>
          <w:rFonts w:ascii="Arial" w:hAnsi="Arial" w:cs="Arial"/>
          <w:sz w:val="22"/>
          <w:szCs w:val="22"/>
        </w:rPr>
        <w:t xml:space="preserve"> Para la vigencia de 2018, los saldos disponibles en fondos en administración en el </w:t>
      </w:r>
      <w:proofErr w:type="spellStart"/>
      <w:r w:rsidRPr="007B59C3">
        <w:rPr>
          <w:rFonts w:ascii="Arial" w:hAnsi="Arial" w:cs="Arial"/>
          <w:sz w:val="22"/>
          <w:szCs w:val="22"/>
        </w:rPr>
        <w:t>Icetex</w:t>
      </w:r>
      <w:proofErr w:type="spellEnd"/>
      <w:r w:rsidRPr="007B59C3">
        <w:rPr>
          <w:rFonts w:ascii="Arial" w:hAnsi="Arial" w:cs="Arial"/>
          <w:sz w:val="22"/>
          <w:szCs w:val="22"/>
        </w:rPr>
        <w:t xml:space="preserve"> aportados por el Ministerio de Educación Nacional al cierre de la vigencia 2017, se destinarán a financiar los créditos educativos adjudicados. </w:t>
      </w:r>
    </w:p>
    <w:p w14:paraId="4D939F64" w14:textId="1D968F43"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33" w:name="ver_30139003"/>
      <w:bookmarkEnd w:id="133"/>
    </w:p>
    <w:p w14:paraId="33568D7B"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130.</w:t>
      </w:r>
      <w:r w:rsidRPr="007B59C3">
        <w:rPr>
          <w:rFonts w:ascii="Arial" w:hAnsi="Arial" w:cs="Arial"/>
          <w:sz w:val="22"/>
          <w:szCs w:val="22"/>
        </w:rPr>
        <w:t> El Banco de la República podrá descontar de las utilidades a transferir a la Nación, correspondientes al ejercicio contable del año 2017, las sumas adeudadas por los órganos de control reconocidas en sentencias debidamente ejecutoriadas. </w:t>
      </w:r>
    </w:p>
    <w:p w14:paraId="7F1407B0" w14:textId="2B3274EE"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34" w:name="ver_30139004"/>
      <w:bookmarkEnd w:id="134"/>
    </w:p>
    <w:p w14:paraId="3E77F1C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131.</w:t>
      </w:r>
      <w:r w:rsidRPr="007B59C3">
        <w:rPr>
          <w:rFonts w:ascii="Arial" w:hAnsi="Arial" w:cs="Arial"/>
          <w:sz w:val="22"/>
          <w:szCs w:val="22"/>
        </w:rPr>
        <w:t> Los compromisos a 31 de diciembre de 2017 del Fondo Nacional de Regalías, entidad liquidada, serán girados con recursos de la Nación de la vigencia fiscal de 2018 con cargo a las apropiaciones de gastos de inversión del Departamento Nacional de Planeación, conforme a los actos administrativos de cierre expedidos por la Liquidación del FNR o los reconocidos en sentencias judiciales. </w:t>
      </w:r>
    </w:p>
    <w:p w14:paraId="64EC9068" w14:textId="4D19880B"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35" w:name="ver_30139005"/>
      <w:bookmarkEnd w:id="135"/>
    </w:p>
    <w:p w14:paraId="626CD55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132.</w:t>
      </w:r>
      <w:r w:rsidRPr="007B59C3">
        <w:rPr>
          <w:rFonts w:ascii="Arial" w:hAnsi="Arial" w:cs="Arial"/>
          <w:sz w:val="22"/>
          <w:szCs w:val="22"/>
        </w:rPr>
        <w:t> Los órganos que hacen parte de Presupuesto General de la Nación y las demás entidades estatales deberán cubrir con cargo a sus respectivos presupuestos, los gastos de los traslados terrestres, aéreos, marítimos y fluviales que requieran para su funcionamiento, atención de emergencias no misionales, gestiones de coordinación y todas aquellas actividades que requieran para el desarrollo de sus funciones. En caso de requerir apoyo de la Fuerza Pública y/o entidades de Sector Defensa deberán suscribir convenios o contratos interadministrativos con sujeción a las normas vigentes. </w:t>
      </w:r>
    </w:p>
    <w:p w14:paraId="0441A2E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6514580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 anterior sin prejuicio de las funciones que le corresponde ejercer a las Fuerzas Militares y policía nacional en materia de transporte de defensa y seguridad. </w:t>
      </w:r>
    </w:p>
    <w:p w14:paraId="69C9B183" w14:textId="4D3BF972"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36" w:name="ver_30139006"/>
      <w:bookmarkEnd w:id="136"/>
    </w:p>
    <w:p w14:paraId="79ABEA1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133.</w:t>
      </w:r>
      <w:r w:rsidRPr="007B59C3">
        <w:rPr>
          <w:rFonts w:ascii="Arial" w:hAnsi="Arial" w:cs="Arial"/>
          <w:sz w:val="22"/>
          <w:szCs w:val="22"/>
        </w:rPr>
        <w:t xml:space="preserve"> La estructuración y ejecución de los proyectos inmobiliarios que lleve a cabo o vaya a adelantar la Agencia Nacional Inmobiliaria “Virgilio Barco Vargas”, en ejercicio de sus funciones se podrá realizar sin requerir desembolso de recursos públicos y de acuerdo con la normativa aplicable al mecanismo fiduciario utilizado por la Agencia, como si se tratara de una asociación </w:t>
      </w:r>
      <w:proofErr w:type="gramStart"/>
      <w:r w:rsidRPr="007B59C3">
        <w:rPr>
          <w:rFonts w:ascii="Arial" w:hAnsi="Arial" w:cs="Arial"/>
          <w:sz w:val="22"/>
          <w:szCs w:val="22"/>
        </w:rPr>
        <w:t>público privada</w:t>
      </w:r>
      <w:proofErr w:type="gramEnd"/>
      <w:r w:rsidRPr="007B59C3">
        <w:rPr>
          <w:rFonts w:ascii="Arial" w:hAnsi="Arial" w:cs="Arial"/>
          <w:sz w:val="22"/>
          <w:szCs w:val="22"/>
        </w:rPr>
        <w:t xml:space="preserve"> de iniciativa privada. </w:t>
      </w:r>
    </w:p>
    <w:p w14:paraId="533F9B9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A3FDA3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Los recursos que se generen en los proyectos inmobiliarios que se desarrollan mediante contratos de fiducia mercantil, provenientes del intercambio u operación predial que realice la Agencia Nacional Inmobiliaria “Virgilio Barco Vargas”, así como del ejercicio de su actividad, harán parte de los proyectos que se adelanten por este mecanismo y se ejecutarán a través de los respectivos patrimonios autónomos, sin operación presupuestal alguna por parte de la Agencia. </w:t>
      </w:r>
    </w:p>
    <w:p w14:paraId="36575913" w14:textId="66AD299A"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37" w:name="ver_30139007"/>
      <w:bookmarkEnd w:id="137"/>
    </w:p>
    <w:p w14:paraId="5000F40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134.</w:t>
      </w:r>
      <w:r w:rsidRPr="007B59C3">
        <w:rPr>
          <w:rFonts w:ascii="Arial" w:hAnsi="Arial" w:cs="Arial"/>
          <w:sz w:val="22"/>
          <w:szCs w:val="22"/>
        </w:rPr>
        <w:t> Modifíquese el artículo 17 de la Ley 1797 de 2016 el cual quedará así: </w:t>
      </w:r>
    </w:p>
    <w:p w14:paraId="4F9ED7B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BC61DD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Las Empresas Sociales del Estado elaborarán sus presupuestos anuales con base en el reconocimiento realizado en el año inmediatamente anterior al que se elabora el presupuesto actualizado de acuerdo con la inflación de ese año. Lo anterior, sin perjuicio, de los ajustes que </w:t>
      </w:r>
      <w:r w:rsidRPr="007B59C3">
        <w:rPr>
          <w:rFonts w:ascii="Arial" w:hAnsi="Arial" w:cs="Arial"/>
          <w:sz w:val="22"/>
          <w:szCs w:val="22"/>
        </w:rPr>
        <w:lastRenderedPageBreak/>
        <w:t>procedan al presupuesto de acuerdo con el recaudo real evidenciado en la vigencia que se ejecuta el presupuesto y reconocimiento del deudor de la cartera, siempre que haya fecha cierta de pago y/o el título que acredite algún derecho sobre recursos del Sistema General de Seguridad Social en Salud. Las instrucciones para lo anterior serán definidas por el Ministerio de Hacienda y Crédito Público, en coordinación con el Ministerio de Salud y Protección Social. </w:t>
      </w:r>
    </w:p>
    <w:p w14:paraId="6B4ECB37" w14:textId="08B86487" w:rsidR="00F47264" w:rsidRPr="007B59C3" w:rsidRDefault="00F47264" w:rsidP="00D15D23">
      <w:pPr>
        <w:pStyle w:val="NormalWeb"/>
        <w:spacing w:before="0" w:beforeAutospacing="0" w:after="0" w:afterAutospacing="0"/>
        <w:jc w:val="both"/>
        <w:rPr>
          <w:rFonts w:ascii="Arial" w:hAnsi="Arial" w:cs="Arial"/>
        </w:rPr>
      </w:pPr>
      <w:r w:rsidRPr="007B59C3">
        <w:rPr>
          <w:rFonts w:ascii="Arial" w:hAnsi="Arial" w:cs="Arial"/>
          <w:sz w:val="22"/>
          <w:szCs w:val="22"/>
        </w:rPr>
        <w:t>  </w:t>
      </w:r>
      <w:bookmarkStart w:id="138" w:name="ver_30139008"/>
      <w:bookmarkEnd w:id="138"/>
    </w:p>
    <w:p w14:paraId="48D6DE1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135.</w:t>
      </w:r>
      <w:r w:rsidRPr="007B59C3">
        <w:rPr>
          <w:rFonts w:ascii="Arial" w:hAnsi="Arial" w:cs="Arial"/>
          <w:sz w:val="22"/>
          <w:szCs w:val="22"/>
        </w:rPr>
        <w:t> La Nación asignará un monto de recursos destinados a cubrir el valor correspondiente a un porcentaje del cincuenta por cuenta (50%) del costo de la energía eléctrica y de gas que consuman los distritos de riego que utilicen equipos electromecánicos para su operación debidamente comprobado por las empresas prestadoras del servicio respectivo, de los usuarios de los distritos de riego administrados por el Estado o por las asociaciones de usuarios debidamente reconocidos por el Ministerio de Agricultura y Desarrollo Rural. </w:t>
      </w:r>
    </w:p>
    <w:p w14:paraId="7612DB6A"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C78612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 1°.</w:t>
      </w:r>
      <w:r w:rsidRPr="007B59C3">
        <w:rPr>
          <w:rFonts w:ascii="Arial" w:hAnsi="Arial" w:cs="Arial"/>
          <w:sz w:val="22"/>
          <w:szCs w:val="22"/>
        </w:rPr>
        <w:t> Para el caso de los usuarios de riego cuya facturación sea individual, este beneficio se otorgará solo para aquellos que no posean más de cincuenta (50) hectáreas. </w:t>
      </w:r>
    </w:p>
    <w:p w14:paraId="4133E18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E5F88A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 2°.</w:t>
      </w:r>
      <w:r w:rsidRPr="007B59C3">
        <w:rPr>
          <w:rFonts w:ascii="Arial" w:hAnsi="Arial" w:cs="Arial"/>
          <w:sz w:val="22"/>
          <w:szCs w:val="22"/>
        </w:rPr>
        <w:t xml:space="preserve"> Para efectos de la clasificación de los usuarios del servicio de energía eléctrica y de gas, según la Ley 142 de 1994, la utilización de estos servicios para el riego dirigido a la producción agropecuaria se clasificará dentro de la clase especial, la cual no pagará contribución. Además, con el objeto de comercializar la energía eléctrica y el gas, los usuarios de los distritos de </w:t>
      </w:r>
      <w:proofErr w:type="gramStart"/>
      <w:r w:rsidRPr="007B59C3">
        <w:rPr>
          <w:rFonts w:ascii="Arial" w:hAnsi="Arial" w:cs="Arial"/>
          <w:sz w:val="22"/>
          <w:szCs w:val="22"/>
        </w:rPr>
        <w:t>riego,</w:t>
      </w:r>
      <w:proofErr w:type="gramEnd"/>
      <w:r w:rsidRPr="007B59C3">
        <w:rPr>
          <w:rFonts w:ascii="Arial" w:hAnsi="Arial" w:cs="Arial"/>
          <w:sz w:val="22"/>
          <w:szCs w:val="22"/>
        </w:rPr>
        <w:t xml:space="preserve"> se clasificarán como usuarios no regulados. </w:t>
      </w:r>
    </w:p>
    <w:p w14:paraId="73E81237" w14:textId="727DB2F8"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39" w:name="ver_30139009"/>
      <w:bookmarkEnd w:id="139"/>
    </w:p>
    <w:p w14:paraId="290FAEC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136.</w:t>
      </w:r>
      <w:r w:rsidRPr="007B59C3">
        <w:rPr>
          <w:rFonts w:ascii="Arial" w:hAnsi="Arial" w:cs="Arial"/>
          <w:sz w:val="22"/>
          <w:szCs w:val="22"/>
        </w:rPr>
        <w:t> El Fondo Nacional del Vivienda (Fonvivienda) podrá asignar subsidios familiares de vivienda en el a modalidad de mejoramiento de vivienda por un valor de hasta veintidós (22) salarios mínimos legales mensuales vigentes, teniendo en cuenta los costos de los materiales de construcción y el transporte de los mismos, en los departamentos de Amazonas, Guarnía, San Andrés, Providencia y Santa Catalina, Putumayo, Chocó, Vaupés y Vichada, de acuerdo con la reglamentación expedida por el Gobierno nacional, a través del Ministerio de Vivienda, Ciudad y Territorio. Con cargo a los recursos de inversión asignados al Fondo Nacional de Vivienda (Fonvivienda), se atenderá la asignación de los subsidios familiares de vivienda del presente artículo. </w:t>
      </w:r>
    </w:p>
    <w:p w14:paraId="78D633D7" w14:textId="0584D462"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0" w:name="ver_30139010"/>
      <w:bookmarkEnd w:id="140"/>
    </w:p>
    <w:p w14:paraId="4C8FA7C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137.</w:t>
      </w:r>
      <w:r w:rsidRPr="007B59C3">
        <w:rPr>
          <w:rFonts w:ascii="Arial" w:hAnsi="Arial" w:cs="Arial"/>
          <w:sz w:val="22"/>
          <w:szCs w:val="22"/>
        </w:rPr>
        <w:t> El Ministerio de Minas y Energía destinará $10 mil millones para promover y cofinanciar proyectos dirigidos a la prestación del servicio público de gas combustible a través del desarrollo de infraestructura del Gas Licuado de Petróleo (GLP) por red a nivel nacional y masificar su uso en el sector rural y en los estratos bajos urbanos, con cargo a los recursos dispuestos en la presente vigencia para el proyecto 2101-1900-5 “Distribución de Recursos para Pagos por Menores Tarifas Sector GLP Distribuidos en Cilindros y Tanques Estacionarios a Nivel Nacional”. El Ministerio de Minas y Energía reglamentará las condiciones para la destinación de estos recursos. </w:t>
      </w:r>
    </w:p>
    <w:p w14:paraId="1785131B" w14:textId="72B9FE64"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1" w:name="ver_30139011"/>
      <w:bookmarkEnd w:id="141"/>
    </w:p>
    <w:p w14:paraId="673ABA5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138.</w:t>
      </w:r>
      <w:r w:rsidRPr="007B59C3">
        <w:rPr>
          <w:rFonts w:ascii="Arial" w:hAnsi="Arial" w:cs="Arial"/>
          <w:sz w:val="22"/>
          <w:szCs w:val="22"/>
        </w:rPr>
        <w:t> </w:t>
      </w:r>
      <w:proofErr w:type="spellStart"/>
      <w:r w:rsidRPr="007B59C3">
        <w:rPr>
          <w:rFonts w:ascii="Arial" w:hAnsi="Arial" w:cs="Arial"/>
          <w:sz w:val="22"/>
          <w:szCs w:val="22"/>
        </w:rPr>
        <w:t>Autorízase</w:t>
      </w:r>
      <w:proofErr w:type="spellEnd"/>
      <w:r w:rsidRPr="007B59C3">
        <w:rPr>
          <w:rFonts w:ascii="Arial" w:hAnsi="Arial" w:cs="Arial"/>
          <w:sz w:val="22"/>
          <w:szCs w:val="22"/>
        </w:rPr>
        <w:t xml:space="preserve"> a la Nación - Ministerio de Hacienda y Crédito Público y/o al Fondo Nacional para el Desarrollo de la Infraestructura (Fondes), a capitalizar a la Financiera de Desarrollo Nacional (FDN), hasta por el monto que sea necesario para, como mínimo, mantener la participación accionaria pública actual en dicha entidad. </w:t>
      </w:r>
    </w:p>
    <w:p w14:paraId="530C6D8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ED2DBE4"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En caso de que la capitalización sea adelantada por la Nación - Ministerio de Hacienda y Crédito Público, los recursos podrán provenir de la Cuenta Especial Fondes creada por el artículo 144 de la Ley 1753 de 2015 y no requerirá de operación presupuestal alguna. </w:t>
      </w:r>
    </w:p>
    <w:p w14:paraId="361EE630" w14:textId="59D806A9"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2" w:name="ver_30139012"/>
      <w:bookmarkEnd w:id="142"/>
    </w:p>
    <w:p w14:paraId="5A718D8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lastRenderedPageBreak/>
        <w:t>Artículo 139.</w:t>
      </w:r>
      <w:r w:rsidRPr="007B59C3">
        <w:rPr>
          <w:rFonts w:ascii="Arial" w:hAnsi="Arial" w:cs="Arial"/>
          <w:sz w:val="22"/>
          <w:szCs w:val="22"/>
        </w:rPr>
        <w:t> Para el otorgamiento de la garantía de la Nación a las operaciones de crédito de corto y de largo plazo que pretenda celebrar el Fondo Empresarial de la Superintendencia de Servicios Públicos Domiciliarios, del que trata el artículo 247 de la Ley 1450 de 2011, modificado por el artículo 227 de la Ley 1753 de 2015, no será necesario ningún otro trámite o requisito diferente a lo siguiente: </w:t>
      </w:r>
    </w:p>
    <w:p w14:paraId="514EBEC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4F95FC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Concepto favorable del Consejo Nacional de Política Económica y Social (</w:t>
      </w:r>
      <w:proofErr w:type="spellStart"/>
      <w:r w:rsidRPr="007B59C3">
        <w:rPr>
          <w:rFonts w:ascii="Arial" w:hAnsi="Arial" w:cs="Arial"/>
          <w:sz w:val="22"/>
          <w:szCs w:val="22"/>
        </w:rPr>
        <w:t>Conpes</w:t>
      </w:r>
      <w:proofErr w:type="spellEnd"/>
      <w:r w:rsidRPr="007B59C3">
        <w:rPr>
          <w:rFonts w:ascii="Arial" w:hAnsi="Arial" w:cs="Arial"/>
          <w:sz w:val="22"/>
          <w:szCs w:val="22"/>
        </w:rPr>
        <w:t>), respecto del otorgamiento de la garantía por parte de la Nación. </w:t>
      </w:r>
    </w:p>
    <w:p w14:paraId="7DDC8226"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F79EDB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Concepto único de la Comisión Interparlamentaria de Crédito Público, respecto del otorgamiento de la garantía por parte de la Nación, si estas se otorgan por plazo superior a un año; y Autorización para celebrar el contrato de garantía impartida por el Ministerio de Hacienda y Crédito Público. </w:t>
      </w:r>
    </w:p>
    <w:p w14:paraId="53A1F79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7A397A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xml:space="preserve">Lo dispuesto en este artículo aplicará únicamente cuando las operaciones garantizadas por la </w:t>
      </w:r>
      <w:proofErr w:type="gramStart"/>
      <w:r w:rsidRPr="007B59C3">
        <w:rPr>
          <w:rFonts w:ascii="Arial" w:hAnsi="Arial" w:cs="Arial"/>
          <w:sz w:val="22"/>
          <w:szCs w:val="22"/>
        </w:rPr>
        <w:t>Nación,</w:t>
      </w:r>
      <w:proofErr w:type="gramEnd"/>
      <w:r w:rsidRPr="007B59C3">
        <w:rPr>
          <w:rFonts w:ascii="Arial" w:hAnsi="Arial" w:cs="Arial"/>
          <w:sz w:val="22"/>
          <w:szCs w:val="22"/>
        </w:rPr>
        <w:t xml:space="preserve"> estén dirigidas al desarrollo del giro ordinario de las actividades propias del objeto del Fondo Empresarial de la Superintendencia de Servicios Públicos Domiciliarios. Para los demás casos, se deberán cumplir los requisitos ordinarios establecidos para el otorgamiento de la garantía de la Nación. </w:t>
      </w:r>
    </w:p>
    <w:p w14:paraId="211EC43A" w14:textId="7A94B2CC"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3" w:name="ver_30139013"/>
      <w:bookmarkEnd w:id="143"/>
    </w:p>
    <w:p w14:paraId="345A9C7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140.</w:t>
      </w:r>
      <w:r w:rsidRPr="007B59C3">
        <w:rPr>
          <w:rFonts w:ascii="Arial" w:hAnsi="Arial" w:cs="Arial"/>
          <w:sz w:val="22"/>
          <w:szCs w:val="22"/>
        </w:rPr>
        <w:t> Autorícese a la Nación - Ministerio de Hacienda y Crédito Público para emitir Títulos de Tesorería, TES Clase “B”, hasta por la suma de quinientos mil millones de pesos $500.000.000.000 con el fin de atender el pago de acreencias de la liquidada Caja Nacional de Previsión Social de Comunicaciones (Caprecom), con las entidades del Sistema General de Seguridad Social en Salud en los términos que defina el Gobierno nacional. </w:t>
      </w:r>
    </w:p>
    <w:p w14:paraId="13307DCF"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4657311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La emisión de Bonos o títulos de que trata el presente artículo no implica operación presupuestal y sólo debe presupuestarse para efectos de su redención. </w:t>
      </w:r>
    </w:p>
    <w:p w14:paraId="21D6EC2F" w14:textId="47CB29B4"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4" w:name="ver_30139014"/>
      <w:bookmarkEnd w:id="144"/>
    </w:p>
    <w:p w14:paraId="4D2F95C0"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141.</w:t>
      </w:r>
      <w:r w:rsidRPr="007B59C3">
        <w:rPr>
          <w:rFonts w:ascii="Arial" w:hAnsi="Arial" w:cs="Arial"/>
          <w:sz w:val="22"/>
          <w:szCs w:val="22"/>
        </w:rPr>
        <w:t> La Nación podrá emitir bonos en condiciones de mercado u otros títulos de deuda pública para pagar las obligaciones financieras a su cargo causadas o acumuladas, para sanear los pasivos correspondientes a las cesantías de las universidades estatales, a que se refiere el artículo 88 de la Ley 30 de 1992, del personal administrativo y docente no acogidos al nuevo régimen salarial. </w:t>
      </w:r>
    </w:p>
    <w:p w14:paraId="3590B5F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BA104E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Igualmente, podrá emitir bonos pensiónales de que trata la Ley 100 de 1993, en particular para las universidades estatales. </w:t>
      </w:r>
    </w:p>
    <w:p w14:paraId="3B4581F5"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749779C1"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Nación podrá reconocer como deuda pública las obligaciones a cargo de la Agencia Nacional de Infraestructura y del Instituto Nacional de Vías, surgidas de los contratos de concesión por concepto de garantías de ingresos mínimos garantizados, sentencias, conciliaciones, hasta por trescientos mil millones de pesos ($300.000.000.000); en estos casos serán reconocidas mediante la emisión de bonos u otros títulos de deuda pública en condiciones de mercado, para lo cual deberá surtirse el procedimiento previsto en el artículo 29 de la Ley 344 de 1996 y sus normas reglamentarias, en lo pertinente. </w:t>
      </w:r>
    </w:p>
    <w:p w14:paraId="7226D49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56B6082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La responsabilidad por el pago de las obligaciones a que hace referencia el inciso anterior es de la Agencia Nacional de Infraestructura y del Instituto Nacional de Vías, según corresponda. </w:t>
      </w:r>
    </w:p>
    <w:p w14:paraId="2063D102"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3055F17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xml:space="preserve"> La emisión de los bonos o títulos de que trata el presente artículo no implica operación presupuestal y solo debe presupuestarse para efectos de su redención. El mismo procedimiento </w:t>
      </w:r>
      <w:r w:rsidRPr="007B59C3">
        <w:rPr>
          <w:rFonts w:ascii="Arial" w:hAnsi="Arial" w:cs="Arial"/>
          <w:sz w:val="22"/>
          <w:szCs w:val="22"/>
        </w:rPr>
        <w:lastRenderedPageBreak/>
        <w:t>se aplicará a los bonos que se expidan en cumplimiento del artículo 29 de la Ley 344 de 1996. Las entidades del Presupuesto General de la Nación que utilicen este mecanismo solo procederán con los registros contables que sean del caso para extinguir dichas obligaciones en virtud de los acuerdos de pago que suscriban con el Ministerio de Hacienda y Crédito Público. </w:t>
      </w:r>
    </w:p>
    <w:p w14:paraId="44E4C278" w14:textId="2ED39F3D"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5" w:name="ver_30139015"/>
      <w:bookmarkEnd w:id="145"/>
    </w:p>
    <w:p w14:paraId="17055953"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142.</w:t>
      </w:r>
      <w:r w:rsidRPr="007B59C3">
        <w:rPr>
          <w:rFonts w:ascii="Arial" w:hAnsi="Arial" w:cs="Arial"/>
          <w:sz w:val="22"/>
          <w:szCs w:val="22"/>
        </w:rPr>
        <w:t> Con el objeto de implementar el modelo de Servicios Ciudadanos Digitales las entidades públicas del orden nacional podrán hacer aportes al articulador definido por el Ministerio de las Tecnologías de la Información y las Comunicaciones en el marco del Decreto 1413 de 2017. </w:t>
      </w:r>
    </w:p>
    <w:p w14:paraId="1FC47799" w14:textId="127DB9FB"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6" w:name="ver_30139016"/>
      <w:bookmarkEnd w:id="146"/>
    </w:p>
    <w:p w14:paraId="4F2CDB88"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143. </w:t>
      </w:r>
      <w:r w:rsidRPr="007B59C3">
        <w:rPr>
          <w:rFonts w:ascii="Arial" w:hAnsi="Arial" w:cs="Arial"/>
          <w:sz w:val="22"/>
          <w:szCs w:val="22"/>
        </w:rPr>
        <w:t>El Gobierno nacional en atención a la emergencia social que se viene presentando en la frontera con Venezuela, diseñará una política integral de atención humanitaria y asignará los recursos en la vigencia fiscal a través de la Unidad Nacional para la Gestión del Riesgo de Desastres, </w:t>
      </w:r>
    </w:p>
    <w:p w14:paraId="14C8826B" w14:textId="5E92EB39"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7" w:name="ver_30139017"/>
      <w:bookmarkEnd w:id="147"/>
    </w:p>
    <w:p w14:paraId="6B400E79"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144.</w:t>
      </w:r>
      <w:r w:rsidRPr="007B59C3">
        <w:rPr>
          <w:rFonts w:ascii="Arial" w:hAnsi="Arial" w:cs="Arial"/>
          <w:sz w:val="22"/>
          <w:szCs w:val="22"/>
        </w:rPr>
        <w:t> Con el objeto de garantizar la ejecución de los proyectos de inversión financiados con asignaciones del Fondo Nacional de Regalías -en liquidación- vinculados a acciones judiciales para el saneamiento de cuencas hidrográficas, y dar cumplimiento a las respectivas sentencias, el Departamento Nacional de Planeación, girará directamente a las entidades ejecutoras responsables, los saldos pendientes de giro para cada proyecto, de acuerdo con las condiciones fiscales y las disponibilidad presupuestal de la Nación. </w:t>
      </w:r>
    </w:p>
    <w:p w14:paraId="13781C5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01E4DE8D"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Parágrafo.</w:t>
      </w:r>
      <w:r w:rsidRPr="007B59C3">
        <w:rPr>
          <w:rFonts w:ascii="Arial" w:hAnsi="Arial" w:cs="Arial"/>
          <w:sz w:val="22"/>
          <w:szCs w:val="22"/>
        </w:rPr>
        <w:t> En aquellos eventos en que la entidad ejecutora tenga impuesta medida de suspensión preventiva de giros, los recursos serán dispuestos a órdenes de la autoridad judicial correspondiente y girados al ejecutor una vez así lo autorice e informe a la autoridad judicial, previa certificación por el ejecutor de la normalización de las condiciones para la ejecución de los proyectos, igualmente conforme a la disponibilidad presupuestal. </w:t>
      </w:r>
    </w:p>
    <w:p w14:paraId="1199212E" w14:textId="2BB4F9E9"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8" w:name="ver_30139018"/>
      <w:bookmarkEnd w:id="148"/>
    </w:p>
    <w:p w14:paraId="3A9AA047"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145.</w:t>
      </w:r>
      <w:r w:rsidRPr="007B59C3">
        <w:rPr>
          <w:rFonts w:ascii="Arial" w:hAnsi="Arial" w:cs="Arial"/>
          <w:sz w:val="22"/>
          <w:szCs w:val="22"/>
        </w:rPr>
        <w:t> El presente decreto se acompaña de un anexo que contiene el detalle del gasto para la vigencia fiscal de 2018. </w:t>
      </w:r>
    </w:p>
    <w:p w14:paraId="78DD5760" w14:textId="262CFEBC" w:rsidR="00F47264" w:rsidRPr="007B59C3" w:rsidRDefault="00F47264" w:rsidP="00F1180D">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bookmarkStart w:id="149" w:name="ver_30139019"/>
      <w:bookmarkEnd w:id="149"/>
    </w:p>
    <w:p w14:paraId="5E6E038C" w14:textId="77777777" w:rsidR="00F47264" w:rsidRPr="007B59C3" w:rsidRDefault="00F47264" w:rsidP="00F47264">
      <w:pPr>
        <w:pStyle w:val="NormalWeb"/>
        <w:spacing w:before="0" w:beforeAutospacing="0" w:after="0" w:afterAutospacing="0"/>
        <w:jc w:val="both"/>
        <w:rPr>
          <w:rFonts w:ascii="Arial" w:hAnsi="Arial" w:cs="Arial"/>
          <w:sz w:val="22"/>
          <w:szCs w:val="22"/>
        </w:rPr>
      </w:pPr>
      <w:r w:rsidRPr="007B59C3">
        <w:rPr>
          <w:rStyle w:val="Textoennegrita"/>
          <w:rFonts w:ascii="Arial" w:hAnsi="Arial" w:cs="Arial"/>
          <w:b w:val="0"/>
          <w:bCs w:val="0"/>
          <w:sz w:val="22"/>
          <w:szCs w:val="22"/>
        </w:rPr>
        <w:t>Artículo 146. </w:t>
      </w:r>
      <w:r w:rsidRPr="007B59C3">
        <w:rPr>
          <w:rStyle w:val="nfasis"/>
          <w:rFonts w:ascii="Arial" w:hAnsi="Arial" w:cs="Arial"/>
          <w:i w:val="0"/>
          <w:iCs w:val="0"/>
          <w:sz w:val="22"/>
          <w:szCs w:val="22"/>
        </w:rPr>
        <w:t>Vigencia y derogatoria. </w:t>
      </w:r>
      <w:r w:rsidRPr="007B59C3">
        <w:rPr>
          <w:rFonts w:ascii="Arial" w:hAnsi="Arial" w:cs="Arial"/>
          <w:sz w:val="22"/>
          <w:szCs w:val="22"/>
        </w:rPr>
        <w:t>El presente decreto rige a partir de la fecha de su publicación, surte efectos fiscales a partir del 1° de enero de 2018. </w:t>
      </w:r>
    </w:p>
    <w:p w14:paraId="3D8AED7F" w14:textId="77777777" w:rsidR="00F47264" w:rsidRPr="00D15D23" w:rsidRDefault="00F47264" w:rsidP="00F47264">
      <w:pPr>
        <w:pStyle w:val="NormalWeb"/>
        <w:spacing w:before="0" w:beforeAutospacing="0" w:after="0" w:afterAutospacing="0"/>
        <w:jc w:val="both"/>
        <w:rPr>
          <w:rFonts w:ascii="Arial" w:hAnsi="Arial" w:cs="Arial"/>
          <w:sz w:val="22"/>
          <w:szCs w:val="22"/>
        </w:rPr>
      </w:pPr>
      <w:r w:rsidRPr="007B59C3">
        <w:rPr>
          <w:rFonts w:ascii="Arial" w:hAnsi="Arial" w:cs="Arial"/>
          <w:sz w:val="22"/>
          <w:szCs w:val="22"/>
        </w:rPr>
        <w:t>  </w:t>
      </w:r>
    </w:p>
    <w:p w14:paraId="15C60099" w14:textId="27353489" w:rsidR="00F47264" w:rsidRPr="00D15D23" w:rsidRDefault="00F47264" w:rsidP="00D15D23">
      <w:pPr>
        <w:pStyle w:val="NormalWeb"/>
        <w:spacing w:before="0" w:beforeAutospacing="0" w:after="0" w:afterAutospacing="0"/>
        <w:jc w:val="center"/>
        <w:rPr>
          <w:rFonts w:ascii="Arial" w:hAnsi="Arial" w:cs="Arial"/>
          <w:sz w:val="22"/>
          <w:szCs w:val="22"/>
        </w:rPr>
      </w:pPr>
      <w:bookmarkStart w:id="150" w:name="ver_30139020"/>
      <w:bookmarkEnd w:id="150"/>
      <w:r w:rsidRPr="00D15D23">
        <w:rPr>
          <w:rStyle w:val="Textoennegrita"/>
          <w:rFonts w:ascii="Arial" w:hAnsi="Arial" w:cs="Arial"/>
          <w:b w:val="0"/>
          <w:bCs w:val="0"/>
          <w:sz w:val="22"/>
          <w:szCs w:val="22"/>
        </w:rPr>
        <w:t>Publíquese, comuníquese y cúmplase.</w:t>
      </w:r>
    </w:p>
    <w:p w14:paraId="6811B0CA" w14:textId="2FF74198" w:rsidR="00F47264" w:rsidRPr="00D15D23" w:rsidRDefault="00F47264" w:rsidP="00D15D23">
      <w:pPr>
        <w:pStyle w:val="NormalWeb"/>
        <w:spacing w:before="0" w:beforeAutospacing="0" w:after="0" w:afterAutospacing="0" w:line="276" w:lineRule="auto"/>
        <w:jc w:val="center"/>
        <w:rPr>
          <w:rFonts w:ascii="Arial" w:hAnsi="Arial" w:cs="Arial"/>
          <w:sz w:val="22"/>
          <w:szCs w:val="22"/>
        </w:rPr>
      </w:pPr>
      <w:r w:rsidRPr="00D15D23">
        <w:rPr>
          <w:rFonts w:ascii="Arial" w:hAnsi="Arial" w:cs="Arial"/>
          <w:sz w:val="22"/>
          <w:szCs w:val="22"/>
        </w:rPr>
        <w:t>Dado en Bogotá, D. C., a 27 de diciembre de 2017.</w:t>
      </w:r>
    </w:p>
    <w:p w14:paraId="7A87F1B0" w14:textId="13A5606A" w:rsidR="00F47264" w:rsidRPr="00D15D23" w:rsidRDefault="00F47264" w:rsidP="00F1180D">
      <w:pPr>
        <w:pStyle w:val="NormalWeb"/>
        <w:spacing w:before="0" w:beforeAutospacing="0" w:after="0" w:afterAutospacing="0" w:line="276" w:lineRule="auto"/>
        <w:jc w:val="center"/>
        <w:rPr>
          <w:rFonts w:ascii="Arial" w:hAnsi="Arial" w:cs="Arial"/>
          <w:sz w:val="22"/>
          <w:szCs w:val="22"/>
        </w:rPr>
      </w:pPr>
      <w:r w:rsidRPr="00D15D23">
        <w:rPr>
          <w:rStyle w:val="Textoennegrita"/>
          <w:rFonts w:ascii="Arial" w:hAnsi="Arial" w:cs="Arial"/>
          <w:b w:val="0"/>
          <w:bCs w:val="0"/>
          <w:sz w:val="22"/>
          <w:szCs w:val="22"/>
        </w:rPr>
        <w:t>JUAN MANUEL SANTOS CALDERÓN</w:t>
      </w:r>
    </w:p>
    <w:p w14:paraId="2FD68096" w14:textId="5A92D1E0" w:rsidR="00F47264" w:rsidRPr="00D15D23" w:rsidRDefault="00F47264" w:rsidP="00F1180D">
      <w:pPr>
        <w:pStyle w:val="NormalWeb"/>
        <w:spacing w:before="0" w:beforeAutospacing="0" w:after="0" w:afterAutospacing="0" w:line="276" w:lineRule="auto"/>
        <w:jc w:val="center"/>
        <w:rPr>
          <w:rFonts w:ascii="Arial" w:hAnsi="Arial" w:cs="Arial"/>
          <w:sz w:val="22"/>
          <w:szCs w:val="22"/>
        </w:rPr>
      </w:pPr>
      <w:r w:rsidRPr="00D15D23">
        <w:rPr>
          <w:rFonts w:ascii="Arial" w:hAnsi="Arial" w:cs="Arial"/>
          <w:sz w:val="22"/>
          <w:szCs w:val="22"/>
        </w:rPr>
        <w:t>El Ministro de Hacienda y Crédito Público,</w:t>
      </w:r>
    </w:p>
    <w:p w14:paraId="530FB5FC" w14:textId="4D8A7702" w:rsidR="00F47264" w:rsidRPr="00D15D23" w:rsidRDefault="00F47264" w:rsidP="00F1180D">
      <w:pPr>
        <w:pStyle w:val="NormalWeb"/>
        <w:spacing w:before="0" w:beforeAutospacing="0" w:after="0" w:afterAutospacing="0" w:line="276" w:lineRule="auto"/>
        <w:jc w:val="center"/>
        <w:rPr>
          <w:rFonts w:ascii="Arial" w:hAnsi="Arial" w:cs="Arial"/>
          <w:sz w:val="22"/>
          <w:szCs w:val="22"/>
        </w:rPr>
      </w:pPr>
      <w:r w:rsidRPr="00D15D23">
        <w:rPr>
          <w:rStyle w:val="nfasis"/>
          <w:rFonts w:ascii="Arial" w:hAnsi="Arial" w:cs="Arial"/>
          <w:i w:val="0"/>
          <w:iCs w:val="0"/>
          <w:sz w:val="22"/>
          <w:szCs w:val="22"/>
        </w:rPr>
        <w:t>Mauricio Cárdenas Santamaría.</w:t>
      </w:r>
    </w:p>
    <w:p w14:paraId="05630094" w14:textId="77777777" w:rsidR="00F47264" w:rsidRPr="007B59C3" w:rsidRDefault="00F47264" w:rsidP="00F1180D">
      <w:pPr>
        <w:spacing w:after="0" w:line="276" w:lineRule="auto"/>
        <w:jc w:val="center"/>
        <w:rPr>
          <w:rFonts w:ascii="Arial" w:hAnsi="Arial" w:cs="Arial"/>
          <w:b/>
          <w:bCs/>
        </w:rPr>
      </w:pPr>
    </w:p>
    <w:sectPr w:rsidR="00F47264" w:rsidRPr="007B59C3"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600429"/>
    <w:multiLevelType w:val="hybridMultilevel"/>
    <w:tmpl w:val="0FEE88F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787F77A8"/>
    <w:multiLevelType w:val="multilevel"/>
    <w:tmpl w:val="7146104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810026460">
    <w:abstractNumId w:val="0"/>
  </w:num>
  <w:num w:numId="2" w16cid:durableId="20857146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387"/>
    <w:rsid w:val="000203C7"/>
    <w:rsid w:val="00025BD5"/>
    <w:rsid w:val="00151AD9"/>
    <w:rsid w:val="00287387"/>
    <w:rsid w:val="002E61C6"/>
    <w:rsid w:val="002F55E2"/>
    <w:rsid w:val="00330657"/>
    <w:rsid w:val="00364A78"/>
    <w:rsid w:val="003F5DD8"/>
    <w:rsid w:val="004D49B0"/>
    <w:rsid w:val="00590777"/>
    <w:rsid w:val="005E20F8"/>
    <w:rsid w:val="00624637"/>
    <w:rsid w:val="006258EC"/>
    <w:rsid w:val="006B394F"/>
    <w:rsid w:val="0078020B"/>
    <w:rsid w:val="007B59C3"/>
    <w:rsid w:val="008077BA"/>
    <w:rsid w:val="008E5684"/>
    <w:rsid w:val="008F1AF6"/>
    <w:rsid w:val="009A2635"/>
    <w:rsid w:val="009B1ECB"/>
    <w:rsid w:val="009B5265"/>
    <w:rsid w:val="009F49A1"/>
    <w:rsid w:val="00A07B85"/>
    <w:rsid w:val="00A76441"/>
    <w:rsid w:val="00AD3686"/>
    <w:rsid w:val="00B456E5"/>
    <w:rsid w:val="00C93414"/>
    <w:rsid w:val="00CC7ECB"/>
    <w:rsid w:val="00D15D23"/>
    <w:rsid w:val="00D44F67"/>
    <w:rsid w:val="00DF1A90"/>
    <w:rsid w:val="00E649A2"/>
    <w:rsid w:val="00E71FF5"/>
    <w:rsid w:val="00EA75CF"/>
    <w:rsid w:val="00F1180D"/>
    <w:rsid w:val="00F47264"/>
    <w:rsid w:val="00F77202"/>
    <w:rsid w:val="00FE798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40C78"/>
  <w15:chartTrackingRefBased/>
  <w15:docId w15:val="{F7932474-5EF1-4AEC-8427-A8DAA2DD0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28738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287387"/>
  </w:style>
  <w:style w:type="character" w:styleId="Hipervnculo">
    <w:name w:val="Hyperlink"/>
    <w:basedOn w:val="Fuentedeprrafopredeter"/>
    <w:uiPriority w:val="99"/>
    <w:unhideWhenUsed/>
    <w:rsid w:val="00287387"/>
    <w:rPr>
      <w:color w:val="0000FF"/>
      <w:u w:val="single"/>
    </w:rPr>
  </w:style>
  <w:style w:type="character" w:styleId="Textoennegrita">
    <w:name w:val="Strong"/>
    <w:basedOn w:val="Fuentedeprrafopredeter"/>
    <w:uiPriority w:val="22"/>
    <w:qFormat/>
    <w:rsid w:val="00287387"/>
    <w:rPr>
      <w:b/>
      <w:bCs/>
    </w:rPr>
  </w:style>
  <w:style w:type="character" w:styleId="nfasis">
    <w:name w:val="Emphasis"/>
    <w:basedOn w:val="Fuentedeprrafopredeter"/>
    <w:uiPriority w:val="20"/>
    <w:qFormat/>
    <w:rsid w:val="00287387"/>
    <w:rPr>
      <w:i/>
      <w:iCs/>
    </w:rPr>
  </w:style>
  <w:style w:type="paragraph" w:customStyle="1" w:styleId="xmsonormal">
    <w:name w:val="x_msonormal"/>
    <w:basedOn w:val="Normal"/>
    <w:rsid w:val="00E71FF5"/>
    <w:pPr>
      <w:spacing w:after="0" w:line="240" w:lineRule="auto"/>
    </w:pPr>
    <w:rPr>
      <w:rFonts w:ascii="Calibri" w:hAnsi="Calibri" w:cs="Times New Roman"/>
      <w:lang w:eastAsia="es-CO"/>
    </w:rPr>
  </w:style>
  <w:style w:type="character" w:customStyle="1" w:styleId="normaltextrun">
    <w:name w:val="normaltextrun"/>
    <w:basedOn w:val="Fuentedeprrafopredeter"/>
    <w:rsid w:val="00E71FF5"/>
  </w:style>
  <w:style w:type="character" w:customStyle="1" w:styleId="eop">
    <w:name w:val="eop"/>
    <w:basedOn w:val="Fuentedeprrafopredeter"/>
    <w:rsid w:val="00E71FF5"/>
  </w:style>
  <w:style w:type="character" w:styleId="Mencinsinresolver">
    <w:name w:val="Unresolved Mention"/>
    <w:basedOn w:val="Fuentedeprrafopredeter"/>
    <w:uiPriority w:val="99"/>
    <w:semiHidden/>
    <w:unhideWhenUsed/>
    <w:rsid w:val="00F77202"/>
    <w:rPr>
      <w:color w:val="605E5C"/>
      <w:shd w:val="clear" w:color="auto" w:fill="E1DFDD"/>
    </w:rPr>
  </w:style>
  <w:style w:type="paragraph" w:styleId="Prrafodelista">
    <w:name w:val="List Paragraph"/>
    <w:basedOn w:val="Normal"/>
    <w:uiPriority w:val="34"/>
    <w:qFormat/>
    <w:rsid w:val="008F1A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1528480">
      <w:bodyDiv w:val="1"/>
      <w:marLeft w:val="0"/>
      <w:marRight w:val="0"/>
      <w:marTop w:val="0"/>
      <w:marBottom w:val="0"/>
      <w:divBdr>
        <w:top w:val="none" w:sz="0" w:space="0" w:color="auto"/>
        <w:left w:val="none" w:sz="0" w:space="0" w:color="auto"/>
        <w:bottom w:val="none" w:sz="0" w:space="0" w:color="auto"/>
        <w:right w:val="none" w:sz="0" w:space="0" w:color="auto"/>
      </w:divBdr>
      <w:divsChild>
        <w:div w:id="350451743">
          <w:marLeft w:val="0"/>
          <w:marRight w:val="0"/>
          <w:marTop w:val="0"/>
          <w:marBottom w:val="0"/>
          <w:divBdr>
            <w:top w:val="none" w:sz="0" w:space="0" w:color="auto"/>
            <w:left w:val="none" w:sz="0" w:space="0" w:color="auto"/>
            <w:bottom w:val="none" w:sz="0" w:space="0" w:color="auto"/>
            <w:right w:val="none" w:sz="0" w:space="0" w:color="auto"/>
          </w:divBdr>
          <w:divsChild>
            <w:div w:id="1376003799">
              <w:marLeft w:val="0"/>
              <w:marRight w:val="0"/>
              <w:marTop w:val="0"/>
              <w:marBottom w:val="0"/>
              <w:divBdr>
                <w:top w:val="none" w:sz="0" w:space="0" w:color="auto"/>
                <w:left w:val="none" w:sz="0" w:space="0" w:color="auto"/>
                <w:bottom w:val="none" w:sz="0" w:space="0" w:color="auto"/>
                <w:right w:val="none" w:sz="0" w:space="0" w:color="auto"/>
              </w:divBdr>
            </w:div>
          </w:divsChild>
        </w:div>
        <w:div w:id="1807165027">
          <w:marLeft w:val="0"/>
          <w:marRight w:val="0"/>
          <w:marTop w:val="0"/>
          <w:marBottom w:val="0"/>
          <w:divBdr>
            <w:top w:val="none" w:sz="0" w:space="0" w:color="auto"/>
            <w:left w:val="none" w:sz="0" w:space="0" w:color="auto"/>
            <w:bottom w:val="none" w:sz="0" w:space="0" w:color="auto"/>
            <w:right w:val="none" w:sz="0" w:space="0" w:color="auto"/>
          </w:divBdr>
          <w:divsChild>
            <w:div w:id="1907646113">
              <w:marLeft w:val="0"/>
              <w:marRight w:val="0"/>
              <w:marTop w:val="0"/>
              <w:marBottom w:val="0"/>
              <w:divBdr>
                <w:top w:val="none" w:sz="0" w:space="0" w:color="auto"/>
                <w:left w:val="none" w:sz="0" w:space="0" w:color="auto"/>
                <w:bottom w:val="none" w:sz="0" w:space="0" w:color="auto"/>
                <w:right w:val="none" w:sz="0" w:space="0" w:color="auto"/>
              </w:divBdr>
            </w:div>
          </w:divsChild>
        </w:div>
        <w:div w:id="627592206">
          <w:marLeft w:val="0"/>
          <w:marRight w:val="0"/>
          <w:marTop w:val="0"/>
          <w:marBottom w:val="0"/>
          <w:divBdr>
            <w:top w:val="none" w:sz="0" w:space="0" w:color="auto"/>
            <w:left w:val="none" w:sz="0" w:space="0" w:color="auto"/>
            <w:bottom w:val="none" w:sz="0" w:space="0" w:color="auto"/>
            <w:right w:val="none" w:sz="0" w:space="0" w:color="auto"/>
          </w:divBdr>
          <w:divsChild>
            <w:div w:id="749698902">
              <w:marLeft w:val="0"/>
              <w:marRight w:val="0"/>
              <w:marTop w:val="0"/>
              <w:marBottom w:val="0"/>
              <w:divBdr>
                <w:top w:val="none" w:sz="0" w:space="0" w:color="auto"/>
                <w:left w:val="none" w:sz="0" w:space="0" w:color="auto"/>
                <w:bottom w:val="none" w:sz="0" w:space="0" w:color="auto"/>
                <w:right w:val="none" w:sz="0" w:space="0" w:color="auto"/>
              </w:divBdr>
            </w:div>
          </w:divsChild>
        </w:div>
        <w:div w:id="24916638">
          <w:marLeft w:val="0"/>
          <w:marRight w:val="0"/>
          <w:marTop w:val="0"/>
          <w:marBottom w:val="0"/>
          <w:divBdr>
            <w:top w:val="none" w:sz="0" w:space="0" w:color="auto"/>
            <w:left w:val="none" w:sz="0" w:space="0" w:color="auto"/>
            <w:bottom w:val="none" w:sz="0" w:space="0" w:color="auto"/>
            <w:right w:val="none" w:sz="0" w:space="0" w:color="auto"/>
          </w:divBdr>
          <w:divsChild>
            <w:div w:id="1660037189">
              <w:marLeft w:val="0"/>
              <w:marRight w:val="0"/>
              <w:marTop w:val="0"/>
              <w:marBottom w:val="0"/>
              <w:divBdr>
                <w:top w:val="none" w:sz="0" w:space="0" w:color="auto"/>
                <w:left w:val="none" w:sz="0" w:space="0" w:color="auto"/>
                <w:bottom w:val="none" w:sz="0" w:space="0" w:color="auto"/>
                <w:right w:val="none" w:sz="0" w:space="0" w:color="auto"/>
              </w:divBdr>
            </w:div>
          </w:divsChild>
        </w:div>
        <w:div w:id="809320708">
          <w:marLeft w:val="0"/>
          <w:marRight w:val="0"/>
          <w:marTop w:val="0"/>
          <w:marBottom w:val="0"/>
          <w:divBdr>
            <w:top w:val="none" w:sz="0" w:space="0" w:color="auto"/>
            <w:left w:val="none" w:sz="0" w:space="0" w:color="auto"/>
            <w:bottom w:val="none" w:sz="0" w:space="0" w:color="auto"/>
            <w:right w:val="none" w:sz="0" w:space="0" w:color="auto"/>
          </w:divBdr>
          <w:divsChild>
            <w:div w:id="1805998524">
              <w:marLeft w:val="0"/>
              <w:marRight w:val="0"/>
              <w:marTop w:val="0"/>
              <w:marBottom w:val="0"/>
              <w:divBdr>
                <w:top w:val="none" w:sz="0" w:space="0" w:color="auto"/>
                <w:left w:val="none" w:sz="0" w:space="0" w:color="auto"/>
                <w:bottom w:val="none" w:sz="0" w:space="0" w:color="auto"/>
                <w:right w:val="none" w:sz="0" w:space="0" w:color="auto"/>
              </w:divBdr>
            </w:div>
          </w:divsChild>
        </w:div>
        <w:div w:id="1041779966">
          <w:marLeft w:val="0"/>
          <w:marRight w:val="0"/>
          <w:marTop w:val="0"/>
          <w:marBottom w:val="0"/>
          <w:divBdr>
            <w:top w:val="none" w:sz="0" w:space="0" w:color="auto"/>
            <w:left w:val="none" w:sz="0" w:space="0" w:color="auto"/>
            <w:bottom w:val="none" w:sz="0" w:space="0" w:color="auto"/>
            <w:right w:val="none" w:sz="0" w:space="0" w:color="auto"/>
          </w:divBdr>
          <w:divsChild>
            <w:div w:id="1395468716">
              <w:marLeft w:val="0"/>
              <w:marRight w:val="0"/>
              <w:marTop w:val="0"/>
              <w:marBottom w:val="0"/>
              <w:divBdr>
                <w:top w:val="none" w:sz="0" w:space="0" w:color="auto"/>
                <w:left w:val="none" w:sz="0" w:space="0" w:color="auto"/>
                <w:bottom w:val="none" w:sz="0" w:space="0" w:color="auto"/>
                <w:right w:val="none" w:sz="0" w:space="0" w:color="auto"/>
              </w:divBdr>
            </w:div>
          </w:divsChild>
        </w:div>
        <w:div w:id="1181821404">
          <w:marLeft w:val="0"/>
          <w:marRight w:val="0"/>
          <w:marTop w:val="0"/>
          <w:marBottom w:val="0"/>
          <w:divBdr>
            <w:top w:val="none" w:sz="0" w:space="0" w:color="auto"/>
            <w:left w:val="none" w:sz="0" w:space="0" w:color="auto"/>
            <w:bottom w:val="none" w:sz="0" w:space="0" w:color="auto"/>
            <w:right w:val="none" w:sz="0" w:space="0" w:color="auto"/>
          </w:divBdr>
          <w:divsChild>
            <w:div w:id="1276326534">
              <w:marLeft w:val="0"/>
              <w:marRight w:val="0"/>
              <w:marTop w:val="0"/>
              <w:marBottom w:val="0"/>
              <w:divBdr>
                <w:top w:val="none" w:sz="0" w:space="0" w:color="auto"/>
                <w:left w:val="none" w:sz="0" w:space="0" w:color="auto"/>
                <w:bottom w:val="none" w:sz="0" w:space="0" w:color="auto"/>
                <w:right w:val="none" w:sz="0" w:space="0" w:color="auto"/>
              </w:divBdr>
            </w:div>
          </w:divsChild>
        </w:div>
        <w:div w:id="937836598">
          <w:marLeft w:val="0"/>
          <w:marRight w:val="0"/>
          <w:marTop w:val="0"/>
          <w:marBottom w:val="0"/>
          <w:divBdr>
            <w:top w:val="none" w:sz="0" w:space="0" w:color="auto"/>
            <w:left w:val="none" w:sz="0" w:space="0" w:color="auto"/>
            <w:bottom w:val="none" w:sz="0" w:space="0" w:color="auto"/>
            <w:right w:val="none" w:sz="0" w:space="0" w:color="auto"/>
          </w:divBdr>
          <w:divsChild>
            <w:div w:id="1587424704">
              <w:marLeft w:val="0"/>
              <w:marRight w:val="0"/>
              <w:marTop w:val="0"/>
              <w:marBottom w:val="0"/>
              <w:divBdr>
                <w:top w:val="none" w:sz="0" w:space="0" w:color="auto"/>
                <w:left w:val="none" w:sz="0" w:space="0" w:color="auto"/>
                <w:bottom w:val="none" w:sz="0" w:space="0" w:color="auto"/>
                <w:right w:val="none" w:sz="0" w:space="0" w:color="auto"/>
              </w:divBdr>
            </w:div>
          </w:divsChild>
        </w:div>
        <w:div w:id="244997719">
          <w:marLeft w:val="0"/>
          <w:marRight w:val="0"/>
          <w:marTop w:val="0"/>
          <w:marBottom w:val="0"/>
          <w:divBdr>
            <w:top w:val="none" w:sz="0" w:space="0" w:color="auto"/>
            <w:left w:val="none" w:sz="0" w:space="0" w:color="auto"/>
            <w:bottom w:val="none" w:sz="0" w:space="0" w:color="auto"/>
            <w:right w:val="none" w:sz="0" w:space="0" w:color="auto"/>
          </w:divBdr>
          <w:divsChild>
            <w:div w:id="31005445">
              <w:marLeft w:val="0"/>
              <w:marRight w:val="0"/>
              <w:marTop w:val="0"/>
              <w:marBottom w:val="0"/>
              <w:divBdr>
                <w:top w:val="none" w:sz="0" w:space="0" w:color="auto"/>
                <w:left w:val="none" w:sz="0" w:space="0" w:color="auto"/>
                <w:bottom w:val="none" w:sz="0" w:space="0" w:color="auto"/>
                <w:right w:val="none" w:sz="0" w:space="0" w:color="auto"/>
              </w:divBdr>
            </w:div>
          </w:divsChild>
        </w:div>
        <w:div w:id="76095073">
          <w:marLeft w:val="0"/>
          <w:marRight w:val="0"/>
          <w:marTop w:val="0"/>
          <w:marBottom w:val="0"/>
          <w:divBdr>
            <w:top w:val="none" w:sz="0" w:space="0" w:color="auto"/>
            <w:left w:val="none" w:sz="0" w:space="0" w:color="auto"/>
            <w:bottom w:val="none" w:sz="0" w:space="0" w:color="auto"/>
            <w:right w:val="none" w:sz="0" w:space="0" w:color="auto"/>
          </w:divBdr>
          <w:divsChild>
            <w:div w:id="1258824583">
              <w:marLeft w:val="0"/>
              <w:marRight w:val="0"/>
              <w:marTop w:val="0"/>
              <w:marBottom w:val="0"/>
              <w:divBdr>
                <w:top w:val="none" w:sz="0" w:space="0" w:color="auto"/>
                <w:left w:val="none" w:sz="0" w:space="0" w:color="auto"/>
                <w:bottom w:val="none" w:sz="0" w:space="0" w:color="auto"/>
                <w:right w:val="none" w:sz="0" w:space="0" w:color="auto"/>
              </w:divBdr>
            </w:div>
          </w:divsChild>
        </w:div>
        <w:div w:id="693119368">
          <w:marLeft w:val="0"/>
          <w:marRight w:val="0"/>
          <w:marTop w:val="0"/>
          <w:marBottom w:val="0"/>
          <w:divBdr>
            <w:top w:val="none" w:sz="0" w:space="0" w:color="auto"/>
            <w:left w:val="none" w:sz="0" w:space="0" w:color="auto"/>
            <w:bottom w:val="none" w:sz="0" w:space="0" w:color="auto"/>
            <w:right w:val="none" w:sz="0" w:space="0" w:color="auto"/>
          </w:divBdr>
          <w:divsChild>
            <w:div w:id="2032756751">
              <w:marLeft w:val="0"/>
              <w:marRight w:val="0"/>
              <w:marTop w:val="0"/>
              <w:marBottom w:val="0"/>
              <w:divBdr>
                <w:top w:val="none" w:sz="0" w:space="0" w:color="auto"/>
                <w:left w:val="none" w:sz="0" w:space="0" w:color="auto"/>
                <w:bottom w:val="none" w:sz="0" w:space="0" w:color="auto"/>
                <w:right w:val="none" w:sz="0" w:space="0" w:color="auto"/>
              </w:divBdr>
            </w:div>
          </w:divsChild>
        </w:div>
        <w:div w:id="1791898042">
          <w:marLeft w:val="0"/>
          <w:marRight w:val="0"/>
          <w:marTop w:val="0"/>
          <w:marBottom w:val="0"/>
          <w:divBdr>
            <w:top w:val="none" w:sz="0" w:space="0" w:color="auto"/>
            <w:left w:val="none" w:sz="0" w:space="0" w:color="auto"/>
            <w:bottom w:val="none" w:sz="0" w:space="0" w:color="auto"/>
            <w:right w:val="none" w:sz="0" w:space="0" w:color="auto"/>
          </w:divBdr>
          <w:divsChild>
            <w:div w:id="1299528951">
              <w:marLeft w:val="0"/>
              <w:marRight w:val="0"/>
              <w:marTop w:val="0"/>
              <w:marBottom w:val="0"/>
              <w:divBdr>
                <w:top w:val="none" w:sz="0" w:space="0" w:color="auto"/>
                <w:left w:val="none" w:sz="0" w:space="0" w:color="auto"/>
                <w:bottom w:val="none" w:sz="0" w:space="0" w:color="auto"/>
                <w:right w:val="none" w:sz="0" w:space="0" w:color="auto"/>
              </w:divBdr>
            </w:div>
          </w:divsChild>
        </w:div>
        <w:div w:id="2103135669">
          <w:marLeft w:val="0"/>
          <w:marRight w:val="0"/>
          <w:marTop w:val="0"/>
          <w:marBottom w:val="0"/>
          <w:divBdr>
            <w:top w:val="none" w:sz="0" w:space="0" w:color="auto"/>
            <w:left w:val="none" w:sz="0" w:space="0" w:color="auto"/>
            <w:bottom w:val="none" w:sz="0" w:space="0" w:color="auto"/>
            <w:right w:val="none" w:sz="0" w:space="0" w:color="auto"/>
          </w:divBdr>
          <w:divsChild>
            <w:div w:id="1416896164">
              <w:marLeft w:val="0"/>
              <w:marRight w:val="0"/>
              <w:marTop w:val="0"/>
              <w:marBottom w:val="0"/>
              <w:divBdr>
                <w:top w:val="none" w:sz="0" w:space="0" w:color="auto"/>
                <w:left w:val="none" w:sz="0" w:space="0" w:color="auto"/>
                <w:bottom w:val="none" w:sz="0" w:space="0" w:color="auto"/>
                <w:right w:val="none" w:sz="0" w:space="0" w:color="auto"/>
              </w:divBdr>
            </w:div>
          </w:divsChild>
        </w:div>
        <w:div w:id="607853742">
          <w:marLeft w:val="0"/>
          <w:marRight w:val="0"/>
          <w:marTop w:val="0"/>
          <w:marBottom w:val="0"/>
          <w:divBdr>
            <w:top w:val="none" w:sz="0" w:space="0" w:color="auto"/>
            <w:left w:val="none" w:sz="0" w:space="0" w:color="auto"/>
            <w:bottom w:val="none" w:sz="0" w:space="0" w:color="auto"/>
            <w:right w:val="none" w:sz="0" w:space="0" w:color="auto"/>
          </w:divBdr>
          <w:divsChild>
            <w:div w:id="937567205">
              <w:marLeft w:val="0"/>
              <w:marRight w:val="0"/>
              <w:marTop w:val="0"/>
              <w:marBottom w:val="0"/>
              <w:divBdr>
                <w:top w:val="none" w:sz="0" w:space="0" w:color="auto"/>
                <w:left w:val="none" w:sz="0" w:space="0" w:color="auto"/>
                <w:bottom w:val="none" w:sz="0" w:space="0" w:color="auto"/>
                <w:right w:val="none" w:sz="0" w:space="0" w:color="auto"/>
              </w:divBdr>
            </w:div>
          </w:divsChild>
        </w:div>
        <w:div w:id="1198157218">
          <w:marLeft w:val="0"/>
          <w:marRight w:val="0"/>
          <w:marTop w:val="0"/>
          <w:marBottom w:val="0"/>
          <w:divBdr>
            <w:top w:val="none" w:sz="0" w:space="0" w:color="auto"/>
            <w:left w:val="none" w:sz="0" w:space="0" w:color="auto"/>
            <w:bottom w:val="none" w:sz="0" w:space="0" w:color="auto"/>
            <w:right w:val="none" w:sz="0" w:space="0" w:color="auto"/>
          </w:divBdr>
          <w:divsChild>
            <w:div w:id="1634942068">
              <w:marLeft w:val="0"/>
              <w:marRight w:val="0"/>
              <w:marTop w:val="0"/>
              <w:marBottom w:val="0"/>
              <w:divBdr>
                <w:top w:val="none" w:sz="0" w:space="0" w:color="auto"/>
                <w:left w:val="none" w:sz="0" w:space="0" w:color="auto"/>
                <w:bottom w:val="none" w:sz="0" w:space="0" w:color="auto"/>
                <w:right w:val="none" w:sz="0" w:space="0" w:color="auto"/>
              </w:divBdr>
            </w:div>
          </w:divsChild>
        </w:div>
        <w:div w:id="1834296332">
          <w:marLeft w:val="0"/>
          <w:marRight w:val="0"/>
          <w:marTop w:val="0"/>
          <w:marBottom w:val="0"/>
          <w:divBdr>
            <w:top w:val="none" w:sz="0" w:space="0" w:color="auto"/>
            <w:left w:val="none" w:sz="0" w:space="0" w:color="auto"/>
            <w:bottom w:val="none" w:sz="0" w:space="0" w:color="auto"/>
            <w:right w:val="none" w:sz="0" w:space="0" w:color="auto"/>
          </w:divBdr>
          <w:divsChild>
            <w:div w:id="2076510772">
              <w:marLeft w:val="0"/>
              <w:marRight w:val="0"/>
              <w:marTop w:val="0"/>
              <w:marBottom w:val="0"/>
              <w:divBdr>
                <w:top w:val="none" w:sz="0" w:space="0" w:color="auto"/>
                <w:left w:val="none" w:sz="0" w:space="0" w:color="auto"/>
                <w:bottom w:val="none" w:sz="0" w:space="0" w:color="auto"/>
                <w:right w:val="none" w:sz="0" w:space="0" w:color="auto"/>
              </w:divBdr>
            </w:div>
          </w:divsChild>
        </w:div>
        <w:div w:id="1583830827">
          <w:marLeft w:val="0"/>
          <w:marRight w:val="0"/>
          <w:marTop w:val="0"/>
          <w:marBottom w:val="0"/>
          <w:divBdr>
            <w:top w:val="none" w:sz="0" w:space="0" w:color="auto"/>
            <w:left w:val="none" w:sz="0" w:space="0" w:color="auto"/>
            <w:bottom w:val="none" w:sz="0" w:space="0" w:color="auto"/>
            <w:right w:val="none" w:sz="0" w:space="0" w:color="auto"/>
          </w:divBdr>
          <w:divsChild>
            <w:div w:id="1615557899">
              <w:marLeft w:val="0"/>
              <w:marRight w:val="0"/>
              <w:marTop w:val="0"/>
              <w:marBottom w:val="0"/>
              <w:divBdr>
                <w:top w:val="none" w:sz="0" w:space="0" w:color="auto"/>
                <w:left w:val="none" w:sz="0" w:space="0" w:color="auto"/>
                <w:bottom w:val="none" w:sz="0" w:space="0" w:color="auto"/>
                <w:right w:val="none" w:sz="0" w:space="0" w:color="auto"/>
              </w:divBdr>
            </w:div>
          </w:divsChild>
        </w:div>
        <w:div w:id="1404068128">
          <w:marLeft w:val="0"/>
          <w:marRight w:val="0"/>
          <w:marTop w:val="0"/>
          <w:marBottom w:val="0"/>
          <w:divBdr>
            <w:top w:val="none" w:sz="0" w:space="0" w:color="auto"/>
            <w:left w:val="none" w:sz="0" w:space="0" w:color="auto"/>
            <w:bottom w:val="none" w:sz="0" w:space="0" w:color="auto"/>
            <w:right w:val="none" w:sz="0" w:space="0" w:color="auto"/>
          </w:divBdr>
          <w:divsChild>
            <w:div w:id="1065839879">
              <w:marLeft w:val="0"/>
              <w:marRight w:val="0"/>
              <w:marTop w:val="0"/>
              <w:marBottom w:val="0"/>
              <w:divBdr>
                <w:top w:val="none" w:sz="0" w:space="0" w:color="auto"/>
                <w:left w:val="none" w:sz="0" w:space="0" w:color="auto"/>
                <w:bottom w:val="none" w:sz="0" w:space="0" w:color="auto"/>
                <w:right w:val="none" w:sz="0" w:space="0" w:color="auto"/>
              </w:divBdr>
            </w:div>
          </w:divsChild>
        </w:div>
        <w:div w:id="214433861">
          <w:marLeft w:val="0"/>
          <w:marRight w:val="0"/>
          <w:marTop w:val="0"/>
          <w:marBottom w:val="0"/>
          <w:divBdr>
            <w:top w:val="none" w:sz="0" w:space="0" w:color="auto"/>
            <w:left w:val="none" w:sz="0" w:space="0" w:color="auto"/>
            <w:bottom w:val="none" w:sz="0" w:space="0" w:color="auto"/>
            <w:right w:val="none" w:sz="0" w:space="0" w:color="auto"/>
          </w:divBdr>
          <w:divsChild>
            <w:div w:id="1070075185">
              <w:marLeft w:val="0"/>
              <w:marRight w:val="0"/>
              <w:marTop w:val="0"/>
              <w:marBottom w:val="0"/>
              <w:divBdr>
                <w:top w:val="none" w:sz="0" w:space="0" w:color="auto"/>
                <w:left w:val="none" w:sz="0" w:space="0" w:color="auto"/>
                <w:bottom w:val="none" w:sz="0" w:space="0" w:color="auto"/>
                <w:right w:val="none" w:sz="0" w:space="0" w:color="auto"/>
              </w:divBdr>
            </w:div>
          </w:divsChild>
        </w:div>
        <w:div w:id="366758464">
          <w:marLeft w:val="0"/>
          <w:marRight w:val="0"/>
          <w:marTop w:val="0"/>
          <w:marBottom w:val="0"/>
          <w:divBdr>
            <w:top w:val="none" w:sz="0" w:space="0" w:color="auto"/>
            <w:left w:val="none" w:sz="0" w:space="0" w:color="auto"/>
            <w:bottom w:val="none" w:sz="0" w:space="0" w:color="auto"/>
            <w:right w:val="none" w:sz="0" w:space="0" w:color="auto"/>
          </w:divBdr>
          <w:divsChild>
            <w:div w:id="1470131445">
              <w:marLeft w:val="0"/>
              <w:marRight w:val="0"/>
              <w:marTop w:val="0"/>
              <w:marBottom w:val="0"/>
              <w:divBdr>
                <w:top w:val="none" w:sz="0" w:space="0" w:color="auto"/>
                <w:left w:val="none" w:sz="0" w:space="0" w:color="auto"/>
                <w:bottom w:val="none" w:sz="0" w:space="0" w:color="auto"/>
                <w:right w:val="none" w:sz="0" w:space="0" w:color="auto"/>
              </w:divBdr>
            </w:div>
          </w:divsChild>
        </w:div>
        <w:div w:id="407044418">
          <w:marLeft w:val="0"/>
          <w:marRight w:val="0"/>
          <w:marTop w:val="0"/>
          <w:marBottom w:val="0"/>
          <w:divBdr>
            <w:top w:val="none" w:sz="0" w:space="0" w:color="auto"/>
            <w:left w:val="none" w:sz="0" w:space="0" w:color="auto"/>
            <w:bottom w:val="none" w:sz="0" w:space="0" w:color="auto"/>
            <w:right w:val="none" w:sz="0" w:space="0" w:color="auto"/>
          </w:divBdr>
          <w:divsChild>
            <w:div w:id="628171032">
              <w:marLeft w:val="0"/>
              <w:marRight w:val="0"/>
              <w:marTop w:val="0"/>
              <w:marBottom w:val="0"/>
              <w:divBdr>
                <w:top w:val="none" w:sz="0" w:space="0" w:color="auto"/>
                <w:left w:val="none" w:sz="0" w:space="0" w:color="auto"/>
                <w:bottom w:val="none" w:sz="0" w:space="0" w:color="auto"/>
                <w:right w:val="none" w:sz="0" w:space="0" w:color="auto"/>
              </w:divBdr>
            </w:div>
          </w:divsChild>
        </w:div>
        <w:div w:id="1680886011">
          <w:marLeft w:val="0"/>
          <w:marRight w:val="0"/>
          <w:marTop w:val="0"/>
          <w:marBottom w:val="0"/>
          <w:divBdr>
            <w:top w:val="none" w:sz="0" w:space="0" w:color="auto"/>
            <w:left w:val="none" w:sz="0" w:space="0" w:color="auto"/>
            <w:bottom w:val="none" w:sz="0" w:space="0" w:color="auto"/>
            <w:right w:val="none" w:sz="0" w:space="0" w:color="auto"/>
          </w:divBdr>
          <w:divsChild>
            <w:div w:id="1395155964">
              <w:marLeft w:val="0"/>
              <w:marRight w:val="0"/>
              <w:marTop w:val="0"/>
              <w:marBottom w:val="0"/>
              <w:divBdr>
                <w:top w:val="none" w:sz="0" w:space="0" w:color="auto"/>
                <w:left w:val="none" w:sz="0" w:space="0" w:color="auto"/>
                <w:bottom w:val="none" w:sz="0" w:space="0" w:color="auto"/>
                <w:right w:val="none" w:sz="0" w:space="0" w:color="auto"/>
              </w:divBdr>
            </w:div>
          </w:divsChild>
        </w:div>
        <w:div w:id="2021814464">
          <w:marLeft w:val="0"/>
          <w:marRight w:val="0"/>
          <w:marTop w:val="0"/>
          <w:marBottom w:val="0"/>
          <w:divBdr>
            <w:top w:val="none" w:sz="0" w:space="0" w:color="auto"/>
            <w:left w:val="none" w:sz="0" w:space="0" w:color="auto"/>
            <w:bottom w:val="none" w:sz="0" w:space="0" w:color="auto"/>
            <w:right w:val="none" w:sz="0" w:space="0" w:color="auto"/>
          </w:divBdr>
          <w:divsChild>
            <w:div w:id="1903171809">
              <w:marLeft w:val="0"/>
              <w:marRight w:val="0"/>
              <w:marTop w:val="0"/>
              <w:marBottom w:val="0"/>
              <w:divBdr>
                <w:top w:val="none" w:sz="0" w:space="0" w:color="auto"/>
                <w:left w:val="none" w:sz="0" w:space="0" w:color="auto"/>
                <w:bottom w:val="none" w:sz="0" w:space="0" w:color="auto"/>
                <w:right w:val="none" w:sz="0" w:space="0" w:color="auto"/>
              </w:divBdr>
            </w:div>
          </w:divsChild>
        </w:div>
        <w:div w:id="1508133520">
          <w:marLeft w:val="0"/>
          <w:marRight w:val="0"/>
          <w:marTop w:val="0"/>
          <w:marBottom w:val="0"/>
          <w:divBdr>
            <w:top w:val="none" w:sz="0" w:space="0" w:color="auto"/>
            <w:left w:val="none" w:sz="0" w:space="0" w:color="auto"/>
            <w:bottom w:val="none" w:sz="0" w:space="0" w:color="auto"/>
            <w:right w:val="none" w:sz="0" w:space="0" w:color="auto"/>
          </w:divBdr>
          <w:divsChild>
            <w:div w:id="783965173">
              <w:marLeft w:val="0"/>
              <w:marRight w:val="0"/>
              <w:marTop w:val="0"/>
              <w:marBottom w:val="0"/>
              <w:divBdr>
                <w:top w:val="none" w:sz="0" w:space="0" w:color="auto"/>
                <w:left w:val="none" w:sz="0" w:space="0" w:color="auto"/>
                <w:bottom w:val="none" w:sz="0" w:space="0" w:color="auto"/>
                <w:right w:val="none" w:sz="0" w:space="0" w:color="auto"/>
              </w:divBdr>
            </w:div>
          </w:divsChild>
        </w:div>
        <w:div w:id="230653372">
          <w:marLeft w:val="0"/>
          <w:marRight w:val="0"/>
          <w:marTop w:val="0"/>
          <w:marBottom w:val="0"/>
          <w:divBdr>
            <w:top w:val="none" w:sz="0" w:space="0" w:color="auto"/>
            <w:left w:val="none" w:sz="0" w:space="0" w:color="auto"/>
            <w:bottom w:val="none" w:sz="0" w:space="0" w:color="auto"/>
            <w:right w:val="none" w:sz="0" w:space="0" w:color="auto"/>
          </w:divBdr>
          <w:divsChild>
            <w:div w:id="335036447">
              <w:marLeft w:val="0"/>
              <w:marRight w:val="0"/>
              <w:marTop w:val="0"/>
              <w:marBottom w:val="0"/>
              <w:divBdr>
                <w:top w:val="none" w:sz="0" w:space="0" w:color="auto"/>
                <w:left w:val="none" w:sz="0" w:space="0" w:color="auto"/>
                <w:bottom w:val="none" w:sz="0" w:space="0" w:color="auto"/>
                <w:right w:val="none" w:sz="0" w:space="0" w:color="auto"/>
              </w:divBdr>
            </w:div>
          </w:divsChild>
        </w:div>
        <w:div w:id="717245471">
          <w:marLeft w:val="0"/>
          <w:marRight w:val="0"/>
          <w:marTop w:val="0"/>
          <w:marBottom w:val="0"/>
          <w:divBdr>
            <w:top w:val="none" w:sz="0" w:space="0" w:color="auto"/>
            <w:left w:val="none" w:sz="0" w:space="0" w:color="auto"/>
            <w:bottom w:val="none" w:sz="0" w:space="0" w:color="auto"/>
            <w:right w:val="none" w:sz="0" w:space="0" w:color="auto"/>
          </w:divBdr>
          <w:divsChild>
            <w:div w:id="860507232">
              <w:marLeft w:val="0"/>
              <w:marRight w:val="0"/>
              <w:marTop w:val="0"/>
              <w:marBottom w:val="0"/>
              <w:divBdr>
                <w:top w:val="none" w:sz="0" w:space="0" w:color="auto"/>
                <w:left w:val="none" w:sz="0" w:space="0" w:color="auto"/>
                <w:bottom w:val="none" w:sz="0" w:space="0" w:color="auto"/>
                <w:right w:val="none" w:sz="0" w:space="0" w:color="auto"/>
              </w:divBdr>
            </w:div>
          </w:divsChild>
        </w:div>
        <w:div w:id="307051426">
          <w:marLeft w:val="0"/>
          <w:marRight w:val="0"/>
          <w:marTop w:val="0"/>
          <w:marBottom w:val="0"/>
          <w:divBdr>
            <w:top w:val="none" w:sz="0" w:space="0" w:color="auto"/>
            <w:left w:val="none" w:sz="0" w:space="0" w:color="auto"/>
            <w:bottom w:val="none" w:sz="0" w:space="0" w:color="auto"/>
            <w:right w:val="none" w:sz="0" w:space="0" w:color="auto"/>
          </w:divBdr>
          <w:divsChild>
            <w:div w:id="1559630993">
              <w:marLeft w:val="0"/>
              <w:marRight w:val="0"/>
              <w:marTop w:val="0"/>
              <w:marBottom w:val="0"/>
              <w:divBdr>
                <w:top w:val="none" w:sz="0" w:space="0" w:color="auto"/>
                <w:left w:val="none" w:sz="0" w:space="0" w:color="auto"/>
                <w:bottom w:val="none" w:sz="0" w:space="0" w:color="auto"/>
                <w:right w:val="none" w:sz="0" w:space="0" w:color="auto"/>
              </w:divBdr>
            </w:div>
          </w:divsChild>
        </w:div>
        <w:div w:id="891425853">
          <w:marLeft w:val="0"/>
          <w:marRight w:val="0"/>
          <w:marTop w:val="0"/>
          <w:marBottom w:val="0"/>
          <w:divBdr>
            <w:top w:val="none" w:sz="0" w:space="0" w:color="auto"/>
            <w:left w:val="none" w:sz="0" w:space="0" w:color="auto"/>
            <w:bottom w:val="none" w:sz="0" w:space="0" w:color="auto"/>
            <w:right w:val="none" w:sz="0" w:space="0" w:color="auto"/>
          </w:divBdr>
          <w:divsChild>
            <w:div w:id="1220632020">
              <w:marLeft w:val="0"/>
              <w:marRight w:val="0"/>
              <w:marTop w:val="0"/>
              <w:marBottom w:val="0"/>
              <w:divBdr>
                <w:top w:val="none" w:sz="0" w:space="0" w:color="auto"/>
                <w:left w:val="none" w:sz="0" w:space="0" w:color="auto"/>
                <w:bottom w:val="none" w:sz="0" w:space="0" w:color="auto"/>
                <w:right w:val="none" w:sz="0" w:space="0" w:color="auto"/>
              </w:divBdr>
            </w:div>
          </w:divsChild>
        </w:div>
        <w:div w:id="626930843">
          <w:marLeft w:val="0"/>
          <w:marRight w:val="0"/>
          <w:marTop w:val="0"/>
          <w:marBottom w:val="0"/>
          <w:divBdr>
            <w:top w:val="none" w:sz="0" w:space="0" w:color="auto"/>
            <w:left w:val="none" w:sz="0" w:space="0" w:color="auto"/>
            <w:bottom w:val="none" w:sz="0" w:space="0" w:color="auto"/>
            <w:right w:val="none" w:sz="0" w:space="0" w:color="auto"/>
          </w:divBdr>
          <w:divsChild>
            <w:div w:id="2012101217">
              <w:marLeft w:val="0"/>
              <w:marRight w:val="0"/>
              <w:marTop w:val="0"/>
              <w:marBottom w:val="0"/>
              <w:divBdr>
                <w:top w:val="none" w:sz="0" w:space="0" w:color="auto"/>
                <w:left w:val="none" w:sz="0" w:space="0" w:color="auto"/>
                <w:bottom w:val="none" w:sz="0" w:space="0" w:color="auto"/>
                <w:right w:val="none" w:sz="0" w:space="0" w:color="auto"/>
              </w:divBdr>
            </w:div>
          </w:divsChild>
        </w:div>
        <w:div w:id="1494183929">
          <w:marLeft w:val="0"/>
          <w:marRight w:val="0"/>
          <w:marTop w:val="0"/>
          <w:marBottom w:val="0"/>
          <w:divBdr>
            <w:top w:val="none" w:sz="0" w:space="0" w:color="auto"/>
            <w:left w:val="none" w:sz="0" w:space="0" w:color="auto"/>
            <w:bottom w:val="none" w:sz="0" w:space="0" w:color="auto"/>
            <w:right w:val="none" w:sz="0" w:space="0" w:color="auto"/>
          </w:divBdr>
          <w:divsChild>
            <w:div w:id="1153065443">
              <w:marLeft w:val="0"/>
              <w:marRight w:val="0"/>
              <w:marTop w:val="0"/>
              <w:marBottom w:val="0"/>
              <w:divBdr>
                <w:top w:val="none" w:sz="0" w:space="0" w:color="auto"/>
                <w:left w:val="none" w:sz="0" w:space="0" w:color="auto"/>
                <w:bottom w:val="none" w:sz="0" w:space="0" w:color="auto"/>
                <w:right w:val="none" w:sz="0" w:space="0" w:color="auto"/>
              </w:divBdr>
            </w:div>
          </w:divsChild>
        </w:div>
        <w:div w:id="987827973">
          <w:marLeft w:val="0"/>
          <w:marRight w:val="0"/>
          <w:marTop w:val="0"/>
          <w:marBottom w:val="0"/>
          <w:divBdr>
            <w:top w:val="none" w:sz="0" w:space="0" w:color="auto"/>
            <w:left w:val="none" w:sz="0" w:space="0" w:color="auto"/>
            <w:bottom w:val="none" w:sz="0" w:space="0" w:color="auto"/>
            <w:right w:val="none" w:sz="0" w:space="0" w:color="auto"/>
          </w:divBdr>
          <w:divsChild>
            <w:div w:id="1188986857">
              <w:marLeft w:val="0"/>
              <w:marRight w:val="0"/>
              <w:marTop w:val="0"/>
              <w:marBottom w:val="0"/>
              <w:divBdr>
                <w:top w:val="none" w:sz="0" w:space="0" w:color="auto"/>
                <w:left w:val="none" w:sz="0" w:space="0" w:color="auto"/>
                <w:bottom w:val="none" w:sz="0" w:space="0" w:color="auto"/>
                <w:right w:val="none" w:sz="0" w:space="0" w:color="auto"/>
              </w:divBdr>
            </w:div>
          </w:divsChild>
        </w:div>
        <w:div w:id="754059067">
          <w:marLeft w:val="0"/>
          <w:marRight w:val="0"/>
          <w:marTop w:val="0"/>
          <w:marBottom w:val="0"/>
          <w:divBdr>
            <w:top w:val="none" w:sz="0" w:space="0" w:color="auto"/>
            <w:left w:val="none" w:sz="0" w:space="0" w:color="auto"/>
            <w:bottom w:val="none" w:sz="0" w:space="0" w:color="auto"/>
            <w:right w:val="none" w:sz="0" w:space="0" w:color="auto"/>
          </w:divBdr>
          <w:divsChild>
            <w:div w:id="1357653292">
              <w:marLeft w:val="0"/>
              <w:marRight w:val="0"/>
              <w:marTop w:val="0"/>
              <w:marBottom w:val="0"/>
              <w:divBdr>
                <w:top w:val="none" w:sz="0" w:space="0" w:color="auto"/>
                <w:left w:val="none" w:sz="0" w:space="0" w:color="auto"/>
                <w:bottom w:val="none" w:sz="0" w:space="0" w:color="auto"/>
                <w:right w:val="none" w:sz="0" w:space="0" w:color="auto"/>
              </w:divBdr>
            </w:div>
          </w:divsChild>
        </w:div>
        <w:div w:id="1712994385">
          <w:marLeft w:val="0"/>
          <w:marRight w:val="0"/>
          <w:marTop w:val="0"/>
          <w:marBottom w:val="0"/>
          <w:divBdr>
            <w:top w:val="none" w:sz="0" w:space="0" w:color="auto"/>
            <w:left w:val="none" w:sz="0" w:space="0" w:color="auto"/>
            <w:bottom w:val="none" w:sz="0" w:space="0" w:color="auto"/>
            <w:right w:val="none" w:sz="0" w:space="0" w:color="auto"/>
          </w:divBdr>
          <w:divsChild>
            <w:div w:id="2105875918">
              <w:marLeft w:val="0"/>
              <w:marRight w:val="0"/>
              <w:marTop w:val="0"/>
              <w:marBottom w:val="0"/>
              <w:divBdr>
                <w:top w:val="none" w:sz="0" w:space="0" w:color="auto"/>
                <w:left w:val="none" w:sz="0" w:space="0" w:color="auto"/>
                <w:bottom w:val="none" w:sz="0" w:space="0" w:color="auto"/>
                <w:right w:val="none" w:sz="0" w:space="0" w:color="auto"/>
              </w:divBdr>
            </w:div>
          </w:divsChild>
        </w:div>
        <w:div w:id="562562082">
          <w:marLeft w:val="0"/>
          <w:marRight w:val="0"/>
          <w:marTop w:val="0"/>
          <w:marBottom w:val="0"/>
          <w:divBdr>
            <w:top w:val="none" w:sz="0" w:space="0" w:color="auto"/>
            <w:left w:val="none" w:sz="0" w:space="0" w:color="auto"/>
            <w:bottom w:val="none" w:sz="0" w:space="0" w:color="auto"/>
            <w:right w:val="none" w:sz="0" w:space="0" w:color="auto"/>
          </w:divBdr>
          <w:divsChild>
            <w:div w:id="596406067">
              <w:marLeft w:val="0"/>
              <w:marRight w:val="0"/>
              <w:marTop w:val="0"/>
              <w:marBottom w:val="0"/>
              <w:divBdr>
                <w:top w:val="none" w:sz="0" w:space="0" w:color="auto"/>
                <w:left w:val="none" w:sz="0" w:space="0" w:color="auto"/>
                <w:bottom w:val="none" w:sz="0" w:space="0" w:color="auto"/>
                <w:right w:val="none" w:sz="0" w:space="0" w:color="auto"/>
              </w:divBdr>
            </w:div>
          </w:divsChild>
        </w:div>
        <w:div w:id="1865508936">
          <w:marLeft w:val="0"/>
          <w:marRight w:val="0"/>
          <w:marTop w:val="0"/>
          <w:marBottom w:val="0"/>
          <w:divBdr>
            <w:top w:val="none" w:sz="0" w:space="0" w:color="auto"/>
            <w:left w:val="none" w:sz="0" w:space="0" w:color="auto"/>
            <w:bottom w:val="none" w:sz="0" w:space="0" w:color="auto"/>
            <w:right w:val="none" w:sz="0" w:space="0" w:color="auto"/>
          </w:divBdr>
          <w:divsChild>
            <w:div w:id="193079145">
              <w:marLeft w:val="0"/>
              <w:marRight w:val="0"/>
              <w:marTop w:val="0"/>
              <w:marBottom w:val="0"/>
              <w:divBdr>
                <w:top w:val="none" w:sz="0" w:space="0" w:color="auto"/>
                <w:left w:val="none" w:sz="0" w:space="0" w:color="auto"/>
                <w:bottom w:val="none" w:sz="0" w:space="0" w:color="auto"/>
                <w:right w:val="none" w:sz="0" w:space="0" w:color="auto"/>
              </w:divBdr>
            </w:div>
          </w:divsChild>
        </w:div>
        <w:div w:id="1859805731">
          <w:marLeft w:val="0"/>
          <w:marRight w:val="0"/>
          <w:marTop w:val="0"/>
          <w:marBottom w:val="0"/>
          <w:divBdr>
            <w:top w:val="none" w:sz="0" w:space="0" w:color="auto"/>
            <w:left w:val="none" w:sz="0" w:space="0" w:color="auto"/>
            <w:bottom w:val="none" w:sz="0" w:space="0" w:color="auto"/>
            <w:right w:val="none" w:sz="0" w:space="0" w:color="auto"/>
          </w:divBdr>
          <w:divsChild>
            <w:div w:id="858854297">
              <w:marLeft w:val="0"/>
              <w:marRight w:val="0"/>
              <w:marTop w:val="0"/>
              <w:marBottom w:val="0"/>
              <w:divBdr>
                <w:top w:val="none" w:sz="0" w:space="0" w:color="auto"/>
                <w:left w:val="none" w:sz="0" w:space="0" w:color="auto"/>
                <w:bottom w:val="none" w:sz="0" w:space="0" w:color="auto"/>
                <w:right w:val="none" w:sz="0" w:space="0" w:color="auto"/>
              </w:divBdr>
            </w:div>
          </w:divsChild>
        </w:div>
        <w:div w:id="1152987514">
          <w:marLeft w:val="0"/>
          <w:marRight w:val="0"/>
          <w:marTop w:val="0"/>
          <w:marBottom w:val="0"/>
          <w:divBdr>
            <w:top w:val="none" w:sz="0" w:space="0" w:color="auto"/>
            <w:left w:val="none" w:sz="0" w:space="0" w:color="auto"/>
            <w:bottom w:val="none" w:sz="0" w:space="0" w:color="auto"/>
            <w:right w:val="none" w:sz="0" w:space="0" w:color="auto"/>
          </w:divBdr>
          <w:divsChild>
            <w:div w:id="185485235">
              <w:marLeft w:val="0"/>
              <w:marRight w:val="0"/>
              <w:marTop w:val="0"/>
              <w:marBottom w:val="0"/>
              <w:divBdr>
                <w:top w:val="none" w:sz="0" w:space="0" w:color="auto"/>
                <w:left w:val="none" w:sz="0" w:space="0" w:color="auto"/>
                <w:bottom w:val="none" w:sz="0" w:space="0" w:color="auto"/>
                <w:right w:val="none" w:sz="0" w:space="0" w:color="auto"/>
              </w:divBdr>
            </w:div>
          </w:divsChild>
        </w:div>
        <w:div w:id="852761591">
          <w:marLeft w:val="0"/>
          <w:marRight w:val="0"/>
          <w:marTop w:val="0"/>
          <w:marBottom w:val="0"/>
          <w:divBdr>
            <w:top w:val="none" w:sz="0" w:space="0" w:color="auto"/>
            <w:left w:val="none" w:sz="0" w:space="0" w:color="auto"/>
            <w:bottom w:val="none" w:sz="0" w:space="0" w:color="auto"/>
            <w:right w:val="none" w:sz="0" w:space="0" w:color="auto"/>
          </w:divBdr>
          <w:divsChild>
            <w:div w:id="1015109703">
              <w:marLeft w:val="0"/>
              <w:marRight w:val="0"/>
              <w:marTop w:val="0"/>
              <w:marBottom w:val="0"/>
              <w:divBdr>
                <w:top w:val="none" w:sz="0" w:space="0" w:color="auto"/>
                <w:left w:val="none" w:sz="0" w:space="0" w:color="auto"/>
                <w:bottom w:val="none" w:sz="0" w:space="0" w:color="auto"/>
                <w:right w:val="none" w:sz="0" w:space="0" w:color="auto"/>
              </w:divBdr>
            </w:div>
          </w:divsChild>
        </w:div>
        <w:div w:id="1459227281">
          <w:marLeft w:val="0"/>
          <w:marRight w:val="0"/>
          <w:marTop w:val="0"/>
          <w:marBottom w:val="0"/>
          <w:divBdr>
            <w:top w:val="none" w:sz="0" w:space="0" w:color="auto"/>
            <w:left w:val="none" w:sz="0" w:space="0" w:color="auto"/>
            <w:bottom w:val="none" w:sz="0" w:space="0" w:color="auto"/>
            <w:right w:val="none" w:sz="0" w:space="0" w:color="auto"/>
          </w:divBdr>
          <w:divsChild>
            <w:div w:id="1443302840">
              <w:marLeft w:val="0"/>
              <w:marRight w:val="0"/>
              <w:marTop w:val="0"/>
              <w:marBottom w:val="0"/>
              <w:divBdr>
                <w:top w:val="none" w:sz="0" w:space="0" w:color="auto"/>
                <w:left w:val="none" w:sz="0" w:space="0" w:color="auto"/>
                <w:bottom w:val="none" w:sz="0" w:space="0" w:color="auto"/>
                <w:right w:val="none" w:sz="0" w:space="0" w:color="auto"/>
              </w:divBdr>
            </w:div>
          </w:divsChild>
        </w:div>
        <w:div w:id="1941253012">
          <w:marLeft w:val="0"/>
          <w:marRight w:val="0"/>
          <w:marTop w:val="0"/>
          <w:marBottom w:val="0"/>
          <w:divBdr>
            <w:top w:val="none" w:sz="0" w:space="0" w:color="auto"/>
            <w:left w:val="none" w:sz="0" w:space="0" w:color="auto"/>
            <w:bottom w:val="none" w:sz="0" w:space="0" w:color="auto"/>
            <w:right w:val="none" w:sz="0" w:space="0" w:color="auto"/>
          </w:divBdr>
          <w:divsChild>
            <w:div w:id="1463579369">
              <w:marLeft w:val="0"/>
              <w:marRight w:val="0"/>
              <w:marTop w:val="0"/>
              <w:marBottom w:val="0"/>
              <w:divBdr>
                <w:top w:val="none" w:sz="0" w:space="0" w:color="auto"/>
                <w:left w:val="none" w:sz="0" w:space="0" w:color="auto"/>
                <w:bottom w:val="none" w:sz="0" w:space="0" w:color="auto"/>
                <w:right w:val="none" w:sz="0" w:space="0" w:color="auto"/>
              </w:divBdr>
            </w:div>
          </w:divsChild>
        </w:div>
        <w:div w:id="1439367835">
          <w:marLeft w:val="0"/>
          <w:marRight w:val="0"/>
          <w:marTop w:val="0"/>
          <w:marBottom w:val="0"/>
          <w:divBdr>
            <w:top w:val="none" w:sz="0" w:space="0" w:color="auto"/>
            <w:left w:val="none" w:sz="0" w:space="0" w:color="auto"/>
            <w:bottom w:val="none" w:sz="0" w:space="0" w:color="auto"/>
            <w:right w:val="none" w:sz="0" w:space="0" w:color="auto"/>
          </w:divBdr>
          <w:divsChild>
            <w:div w:id="1346974632">
              <w:marLeft w:val="0"/>
              <w:marRight w:val="0"/>
              <w:marTop w:val="0"/>
              <w:marBottom w:val="0"/>
              <w:divBdr>
                <w:top w:val="none" w:sz="0" w:space="0" w:color="auto"/>
                <w:left w:val="none" w:sz="0" w:space="0" w:color="auto"/>
                <w:bottom w:val="none" w:sz="0" w:space="0" w:color="auto"/>
                <w:right w:val="none" w:sz="0" w:space="0" w:color="auto"/>
              </w:divBdr>
            </w:div>
          </w:divsChild>
        </w:div>
        <w:div w:id="643848214">
          <w:marLeft w:val="0"/>
          <w:marRight w:val="0"/>
          <w:marTop w:val="0"/>
          <w:marBottom w:val="0"/>
          <w:divBdr>
            <w:top w:val="none" w:sz="0" w:space="0" w:color="auto"/>
            <w:left w:val="none" w:sz="0" w:space="0" w:color="auto"/>
            <w:bottom w:val="none" w:sz="0" w:space="0" w:color="auto"/>
            <w:right w:val="none" w:sz="0" w:space="0" w:color="auto"/>
          </w:divBdr>
          <w:divsChild>
            <w:div w:id="1856069566">
              <w:marLeft w:val="0"/>
              <w:marRight w:val="0"/>
              <w:marTop w:val="0"/>
              <w:marBottom w:val="0"/>
              <w:divBdr>
                <w:top w:val="none" w:sz="0" w:space="0" w:color="auto"/>
                <w:left w:val="none" w:sz="0" w:space="0" w:color="auto"/>
                <w:bottom w:val="none" w:sz="0" w:space="0" w:color="auto"/>
                <w:right w:val="none" w:sz="0" w:space="0" w:color="auto"/>
              </w:divBdr>
            </w:div>
          </w:divsChild>
        </w:div>
        <w:div w:id="931860089">
          <w:marLeft w:val="0"/>
          <w:marRight w:val="0"/>
          <w:marTop w:val="0"/>
          <w:marBottom w:val="0"/>
          <w:divBdr>
            <w:top w:val="none" w:sz="0" w:space="0" w:color="auto"/>
            <w:left w:val="none" w:sz="0" w:space="0" w:color="auto"/>
            <w:bottom w:val="none" w:sz="0" w:space="0" w:color="auto"/>
            <w:right w:val="none" w:sz="0" w:space="0" w:color="auto"/>
          </w:divBdr>
          <w:divsChild>
            <w:div w:id="1814641216">
              <w:marLeft w:val="0"/>
              <w:marRight w:val="0"/>
              <w:marTop w:val="0"/>
              <w:marBottom w:val="0"/>
              <w:divBdr>
                <w:top w:val="none" w:sz="0" w:space="0" w:color="auto"/>
                <w:left w:val="none" w:sz="0" w:space="0" w:color="auto"/>
                <w:bottom w:val="none" w:sz="0" w:space="0" w:color="auto"/>
                <w:right w:val="none" w:sz="0" w:space="0" w:color="auto"/>
              </w:divBdr>
            </w:div>
          </w:divsChild>
        </w:div>
        <w:div w:id="428694985">
          <w:marLeft w:val="0"/>
          <w:marRight w:val="0"/>
          <w:marTop w:val="0"/>
          <w:marBottom w:val="0"/>
          <w:divBdr>
            <w:top w:val="none" w:sz="0" w:space="0" w:color="auto"/>
            <w:left w:val="none" w:sz="0" w:space="0" w:color="auto"/>
            <w:bottom w:val="none" w:sz="0" w:space="0" w:color="auto"/>
            <w:right w:val="none" w:sz="0" w:space="0" w:color="auto"/>
          </w:divBdr>
          <w:divsChild>
            <w:div w:id="1133408618">
              <w:marLeft w:val="0"/>
              <w:marRight w:val="0"/>
              <w:marTop w:val="0"/>
              <w:marBottom w:val="0"/>
              <w:divBdr>
                <w:top w:val="none" w:sz="0" w:space="0" w:color="auto"/>
                <w:left w:val="none" w:sz="0" w:space="0" w:color="auto"/>
                <w:bottom w:val="none" w:sz="0" w:space="0" w:color="auto"/>
                <w:right w:val="none" w:sz="0" w:space="0" w:color="auto"/>
              </w:divBdr>
            </w:div>
          </w:divsChild>
        </w:div>
        <w:div w:id="1026371856">
          <w:marLeft w:val="0"/>
          <w:marRight w:val="0"/>
          <w:marTop w:val="0"/>
          <w:marBottom w:val="0"/>
          <w:divBdr>
            <w:top w:val="none" w:sz="0" w:space="0" w:color="auto"/>
            <w:left w:val="none" w:sz="0" w:space="0" w:color="auto"/>
            <w:bottom w:val="none" w:sz="0" w:space="0" w:color="auto"/>
            <w:right w:val="none" w:sz="0" w:space="0" w:color="auto"/>
          </w:divBdr>
          <w:divsChild>
            <w:div w:id="489250571">
              <w:marLeft w:val="0"/>
              <w:marRight w:val="0"/>
              <w:marTop w:val="0"/>
              <w:marBottom w:val="0"/>
              <w:divBdr>
                <w:top w:val="none" w:sz="0" w:space="0" w:color="auto"/>
                <w:left w:val="none" w:sz="0" w:space="0" w:color="auto"/>
                <w:bottom w:val="none" w:sz="0" w:space="0" w:color="auto"/>
                <w:right w:val="none" w:sz="0" w:space="0" w:color="auto"/>
              </w:divBdr>
            </w:div>
          </w:divsChild>
        </w:div>
        <w:div w:id="1462185409">
          <w:marLeft w:val="0"/>
          <w:marRight w:val="0"/>
          <w:marTop w:val="0"/>
          <w:marBottom w:val="0"/>
          <w:divBdr>
            <w:top w:val="none" w:sz="0" w:space="0" w:color="auto"/>
            <w:left w:val="none" w:sz="0" w:space="0" w:color="auto"/>
            <w:bottom w:val="none" w:sz="0" w:space="0" w:color="auto"/>
            <w:right w:val="none" w:sz="0" w:space="0" w:color="auto"/>
          </w:divBdr>
          <w:divsChild>
            <w:div w:id="929313864">
              <w:marLeft w:val="0"/>
              <w:marRight w:val="0"/>
              <w:marTop w:val="0"/>
              <w:marBottom w:val="0"/>
              <w:divBdr>
                <w:top w:val="none" w:sz="0" w:space="0" w:color="auto"/>
                <w:left w:val="none" w:sz="0" w:space="0" w:color="auto"/>
                <w:bottom w:val="none" w:sz="0" w:space="0" w:color="auto"/>
                <w:right w:val="none" w:sz="0" w:space="0" w:color="auto"/>
              </w:divBdr>
            </w:div>
          </w:divsChild>
        </w:div>
        <w:div w:id="1174805274">
          <w:marLeft w:val="0"/>
          <w:marRight w:val="0"/>
          <w:marTop w:val="0"/>
          <w:marBottom w:val="0"/>
          <w:divBdr>
            <w:top w:val="none" w:sz="0" w:space="0" w:color="auto"/>
            <w:left w:val="none" w:sz="0" w:space="0" w:color="auto"/>
            <w:bottom w:val="none" w:sz="0" w:space="0" w:color="auto"/>
            <w:right w:val="none" w:sz="0" w:space="0" w:color="auto"/>
          </w:divBdr>
          <w:divsChild>
            <w:div w:id="1462579232">
              <w:marLeft w:val="0"/>
              <w:marRight w:val="0"/>
              <w:marTop w:val="0"/>
              <w:marBottom w:val="0"/>
              <w:divBdr>
                <w:top w:val="none" w:sz="0" w:space="0" w:color="auto"/>
                <w:left w:val="none" w:sz="0" w:space="0" w:color="auto"/>
                <w:bottom w:val="none" w:sz="0" w:space="0" w:color="auto"/>
                <w:right w:val="none" w:sz="0" w:space="0" w:color="auto"/>
              </w:divBdr>
            </w:div>
          </w:divsChild>
        </w:div>
        <w:div w:id="825240556">
          <w:marLeft w:val="0"/>
          <w:marRight w:val="0"/>
          <w:marTop w:val="0"/>
          <w:marBottom w:val="0"/>
          <w:divBdr>
            <w:top w:val="none" w:sz="0" w:space="0" w:color="auto"/>
            <w:left w:val="none" w:sz="0" w:space="0" w:color="auto"/>
            <w:bottom w:val="none" w:sz="0" w:space="0" w:color="auto"/>
            <w:right w:val="none" w:sz="0" w:space="0" w:color="auto"/>
          </w:divBdr>
          <w:divsChild>
            <w:div w:id="968243766">
              <w:marLeft w:val="0"/>
              <w:marRight w:val="0"/>
              <w:marTop w:val="0"/>
              <w:marBottom w:val="0"/>
              <w:divBdr>
                <w:top w:val="none" w:sz="0" w:space="0" w:color="auto"/>
                <w:left w:val="none" w:sz="0" w:space="0" w:color="auto"/>
                <w:bottom w:val="none" w:sz="0" w:space="0" w:color="auto"/>
                <w:right w:val="none" w:sz="0" w:space="0" w:color="auto"/>
              </w:divBdr>
            </w:div>
          </w:divsChild>
        </w:div>
        <w:div w:id="1000428385">
          <w:marLeft w:val="0"/>
          <w:marRight w:val="0"/>
          <w:marTop w:val="0"/>
          <w:marBottom w:val="0"/>
          <w:divBdr>
            <w:top w:val="none" w:sz="0" w:space="0" w:color="auto"/>
            <w:left w:val="none" w:sz="0" w:space="0" w:color="auto"/>
            <w:bottom w:val="none" w:sz="0" w:space="0" w:color="auto"/>
            <w:right w:val="none" w:sz="0" w:space="0" w:color="auto"/>
          </w:divBdr>
          <w:divsChild>
            <w:div w:id="204145185">
              <w:marLeft w:val="0"/>
              <w:marRight w:val="0"/>
              <w:marTop w:val="0"/>
              <w:marBottom w:val="0"/>
              <w:divBdr>
                <w:top w:val="none" w:sz="0" w:space="0" w:color="auto"/>
                <w:left w:val="none" w:sz="0" w:space="0" w:color="auto"/>
                <w:bottom w:val="none" w:sz="0" w:space="0" w:color="auto"/>
                <w:right w:val="none" w:sz="0" w:space="0" w:color="auto"/>
              </w:divBdr>
            </w:div>
          </w:divsChild>
        </w:div>
        <w:div w:id="1115177639">
          <w:marLeft w:val="0"/>
          <w:marRight w:val="0"/>
          <w:marTop w:val="0"/>
          <w:marBottom w:val="0"/>
          <w:divBdr>
            <w:top w:val="none" w:sz="0" w:space="0" w:color="auto"/>
            <w:left w:val="none" w:sz="0" w:space="0" w:color="auto"/>
            <w:bottom w:val="none" w:sz="0" w:space="0" w:color="auto"/>
            <w:right w:val="none" w:sz="0" w:space="0" w:color="auto"/>
          </w:divBdr>
          <w:divsChild>
            <w:div w:id="1445074233">
              <w:marLeft w:val="0"/>
              <w:marRight w:val="0"/>
              <w:marTop w:val="0"/>
              <w:marBottom w:val="0"/>
              <w:divBdr>
                <w:top w:val="none" w:sz="0" w:space="0" w:color="auto"/>
                <w:left w:val="none" w:sz="0" w:space="0" w:color="auto"/>
                <w:bottom w:val="none" w:sz="0" w:space="0" w:color="auto"/>
                <w:right w:val="none" w:sz="0" w:space="0" w:color="auto"/>
              </w:divBdr>
            </w:div>
          </w:divsChild>
        </w:div>
        <w:div w:id="901215583">
          <w:marLeft w:val="0"/>
          <w:marRight w:val="0"/>
          <w:marTop w:val="0"/>
          <w:marBottom w:val="0"/>
          <w:divBdr>
            <w:top w:val="none" w:sz="0" w:space="0" w:color="auto"/>
            <w:left w:val="none" w:sz="0" w:space="0" w:color="auto"/>
            <w:bottom w:val="none" w:sz="0" w:space="0" w:color="auto"/>
            <w:right w:val="none" w:sz="0" w:space="0" w:color="auto"/>
          </w:divBdr>
          <w:divsChild>
            <w:div w:id="790518258">
              <w:marLeft w:val="0"/>
              <w:marRight w:val="0"/>
              <w:marTop w:val="0"/>
              <w:marBottom w:val="0"/>
              <w:divBdr>
                <w:top w:val="none" w:sz="0" w:space="0" w:color="auto"/>
                <w:left w:val="none" w:sz="0" w:space="0" w:color="auto"/>
                <w:bottom w:val="none" w:sz="0" w:space="0" w:color="auto"/>
                <w:right w:val="none" w:sz="0" w:space="0" w:color="auto"/>
              </w:divBdr>
            </w:div>
          </w:divsChild>
        </w:div>
        <w:div w:id="541482718">
          <w:marLeft w:val="0"/>
          <w:marRight w:val="0"/>
          <w:marTop w:val="0"/>
          <w:marBottom w:val="0"/>
          <w:divBdr>
            <w:top w:val="none" w:sz="0" w:space="0" w:color="auto"/>
            <w:left w:val="none" w:sz="0" w:space="0" w:color="auto"/>
            <w:bottom w:val="none" w:sz="0" w:space="0" w:color="auto"/>
            <w:right w:val="none" w:sz="0" w:space="0" w:color="auto"/>
          </w:divBdr>
          <w:divsChild>
            <w:div w:id="2032490439">
              <w:marLeft w:val="0"/>
              <w:marRight w:val="0"/>
              <w:marTop w:val="0"/>
              <w:marBottom w:val="0"/>
              <w:divBdr>
                <w:top w:val="none" w:sz="0" w:space="0" w:color="auto"/>
                <w:left w:val="none" w:sz="0" w:space="0" w:color="auto"/>
                <w:bottom w:val="none" w:sz="0" w:space="0" w:color="auto"/>
                <w:right w:val="none" w:sz="0" w:space="0" w:color="auto"/>
              </w:divBdr>
            </w:div>
          </w:divsChild>
        </w:div>
        <w:div w:id="1772818680">
          <w:marLeft w:val="0"/>
          <w:marRight w:val="0"/>
          <w:marTop w:val="0"/>
          <w:marBottom w:val="0"/>
          <w:divBdr>
            <w:top w:val="none" w:sz="0" w:space="0" w:color="auto"/>
            <w:left w:val="none" w:sz="0" w:space="0" w:color="auto"/>
            <w:bottom w:val="none" w:sz="0" w:space="0" w:color="auto"/>
            <w:right w:val="none" w:sz="0" w:space="0" w:color="auto"/>
          </w:divBdr>
          <w:divsChild>
            <w:div w:id="538667792">
              <w:marLeft w:val="0"/>
              <w:marRight w:val="0"/>
              <w:marTop w:val="0"/>
              <w:marBottom w:val="0"/>
              <w:divBdr>
                <w:top w:val="none" w:sz="0" w:space="0" w:color="auto"/>
                <w:left w:val="none" w:sz="0" w:space="0" w:color="auto"/>
                <w:bottom w:val="none" w:sz="0" w:space="0" w:color="auto"/>
                <w:right w:val="none" w:sz="0" w:space="0" w:color="auto"/>
              </w:divBdr>
            </w:div>
          </w:divsChild>
        </w:div>
        <w:div w:id="1025324094">
          <w:marLeft w:val="0"/>
          <w:marRight w:val="0"/>
          <w:marTop w:val="0"/>
          <w:marBottom w:val="0"/>
          <w:divBdr>
            <w:top w:val="none" w:sz="0" w:space="0" w:color="auto"/>
            <w:left w:val="none" w:sz="0" w:space="0" w:color="auto"/>
            <w:bottom w:val="none" w:sz="0" w:space="0" w:color="auto"/>
            <w:right w:val="none" w:sz="0" w:space="0" w:color="auto"/>
          </w:divBdr>
          <w:divsChild>
            <w:div w:id="302931826">
              <w:marLeft w:val="0"/>
              <w:marRight w:val="0"/>
              <w:marTop w:val="0"/>
              <w:marBottom w:val="0"/>
              <w:divBdr>
                <w:top w:val="none" w:sz="0" w:space="0" w:color="auto"/>
                <w:left w:val="none" w:sz="0" w:space="0" w:color="auto"/>
                <w:bottom w:val="none" w:sz="0" w:space="0" w:color="auto"/>
                <w:right w:val="none" w:sz="0" w:space="0" w:color="auto"/>
              </w:divBdr>
            </w:div>
          </w:divsChild>
        </w:div>
        <w:div w:id="2142336310">
          <w:marLeft w:val="0"/>
          <w:marRight w:val="0"/>
          <w:marTop w:val="0"/>
          <w:marBottom w:val="0"/>
          <w:divBdr>
            <w:top w:val="none" w:sz="0" w:space="0" w:color="auto"/>
            <w:left w:val="none" w:sz="0" w:space="0" w:color="auto"/>
            <w:bottom w:val="none" w:sz="0" w:space="0" w:color="auto"/>
            <w:right w:val="none" w:sz="0" w:space="0" w:color="auto"/>
          </w:divBdr>
          <w:divsChild>
            <w:div w:id="1211916124">
              <w:marLeft w:val="0"/>
              <w:marRight w:val="0"/>
              <w:marTop w:val="0"/>
              <w:marBottom w:val="0"/>
              <w:divBdr>
                <w:top w:val="none" w:sz="0" w:space="0" w:color="auto"/>
                <w:left w:val="none" w:sz="0" w:space="0" w:color="auto"/>
                <w:bottom w:val="none" w:sz="0" w:space="0" w:color="auto"/>
                <w:right w:val="none" w:sz="0" w:space="0" w:color="auto"/>
              </w:divBdr>
            </w:div>
          </w:divsChild>
        </w:div>
        <w:div w:id="426970895">
          <w:marLeft w:val="0"/>
          <w:marRight w:val="0"/>
          <w:marTop w:val="0"/>
          <w:marBottom w:val="0"/>
          <w:divBdr>
            <w:top w:val="none" w:sz="0" w:space="0" w:color="auto"/>
            <w:left w:val="none" w:sz="0" w:space="0" w:color="auto"/>
            <w:bottom w:val="none" w:sz="0" w:space="0" w:color="auto"/>
            <w:right w:val="none" w:sz="0" w:space="0" w:color="auto"/>
          </w:divBdr>
          <w:divsChild>
            <w:div w:id="1104039825">
              <w:marLeft w:val="0"/>
              <w:marRight w:val="0"/>
              <w:marTop w:val="0"/>
              <w:marBottom w:val="0"/>
              <w:divBdr>
                <w:top w:val="none" w:sz="0" w:space="0" w:color="auto"/>
                <w:left w:val="none" w:sz="0" w:space="0" w:color="auto"/>
                <w:bottom w:val="none" w:sz="0" w:space="0" w:color="auto"/>
                <w:right w:val="none" w:sz="0" w:space="0" w:color="auto"/>
              </w:divBdr>
            </w:div>
          </w:divsChild>
        </w:div>
        <w:div w:id="1983149624">
          <w:marLeft w:val="0"/>
          <w:marRight w:val="0"/>
          <w:marTop w:val="0"/>
          <w:marBottom w:val="0"/>
          <w:divBdr>
            <w:top w:val="none" w:sz="0" w:space="0" w:color="auto"/>
            <w:left w:val="none" w:sz="0" w:space="0" w:color="auto"/>
            <w:bottom w:val="none" w:sz="0" w:space="0" w:color="auto"/>
            <w:right w:val="none" w:sz="0" w:space="0" w:color="auto"/>
          </w:divBdr>
          <w:divsChild>
            <w:div w:id="1246722633">
              <w:marLeft w:val="0"/>
              <w:marRight w:val="0"/>
              <w:marTop w:val="0"/>
              <w:marBottom w:val="0"/>
              <w:divBdr>
                <w:top w:val="none" w:sz="0" w:space="0" w:color="auto"/>
                <w:left w:val="none" w:sz="0" w:space="0" w:color="auto"/>
                <w:bottom w:val="none" w:sz="0" w:space="0" w:color="auto"/>
                <w:right w:val="none" w:sz="0" w:space="0" w:color="auto"/>
              </w:divBdr>
            </w:div>
          </w:divsChild>
        </w:div>
        <w:div w:id="1244560999">
          <w:marLeft w:val="0"/>
          <w:marRight w:val="0"/>
          <w:marTop w:val="0"/>
          <w:marBottom w:val="0"/>
          <w:divBdr>
            <w:top w:val="none" w:sz="0" w:space="0" w:color="auto"/>
            <w:left w:val="none" w:sz="0" w:space="0" w:color="auto"/>
            <w:bottom w:val="none" w:sz="0" w:space="0" w:color="auto"/>
            <w:right w:val="none" w:sz="0" w:space="0" w:color="auto"/>
          </w:divBdr>
          <w:divsChild>
            <w:div w:id="1952517396">
              <w:marLeft w:val="0"/>
              <w:marRight w:val="0"/>
              <w:marTop w:val="0"/>
              <w:marBottom w:val="0"/>
              <w:divBdr>
                <w:top w:val="none" w:sz="0" w:space="0" w:color="auto"/>
                <w:left w:val="none" w:sz="0" w:space="0" w:color="auto"/>
                <w:bottom w:val="none" w:sz="0" w:space="0" w:color="auto"/>
                <w:right w:val="none" w:sz="0" w:space="0" w:color="auto"/>
              </w:divBdr>
            </w:div>
          </w:divsChild>
        </w:div>
        <w:div w:id="896403406">
          <w:marLeft w:val="0"/>
          <w:marRight w:val="0"/>
          <w:marTop w:val="0"/>
          <w:marBottom w:val="0"/>
          <w:divBdr>
            <w:top w:val="none" w:sz="0" w:space="0" w:color="auto"/>
            <w:left w:val="none" w:sz="0" w:space="0" w:color="auto"/>
            <w:bottom w:val="none" w:sz="0" w:space="0" w:color="auto"/>
            <w:right w:val="none" w:sz="0" w:space="0" w:color="auto"/>
          </w:divBdr>
          <w:divsChild>
            <w:div w:id="1624966723">
              <w:marLeft w:val="0"/>
              <w:marRight w:val="0"/>
              <w:marTop w:val="0"/>
              <w:marBottom w:val="0"/>
              <w:divBdr>
                <w:top w:val="none" w:sz="0" w:space="0" w:color="auto"/>
                <w:left w:val="none" w:sz="0" w:space="0" w:color="auto"/>
                <w:bottom w:val="none" w:sz="0" w:space="0" w:color="auto"/>
                <w:right w:val="none" w:sz="0" w:space="0" w:color="auto"/>
              </w:divBdr>
            </w:div>
          </w:divsChild>
        </w:div>
        <w:div w:id="174154303">
          <w:marLeft w:val="0"/>
          <w:marRight w:val="0"/>
          <w:marTop w:val="0"/>
          <w:marBottom w:val="0"/>
          <w:divBdr>
            <w:top w:val="none" w:sz="0" w:space="0" w:color="auto"/>
            <w:left w:val="none" w:sz="0" w:space="0" w:color="auto"/>
            <w:bottom w:val="none" w:sz="0" w:space="0" w:color="auto"/>
            <w:right w:val="none" w:sz="0" w:space="0" w:color="auto"/>
          </w:divBdr>
          <w:divsChild>
            <w:div w:id="2050300263">
              <w:marLeft w:val="0"/>
              <w:marRight w:val="0"/>
              <w:marTop w:val="0"/>
              <w:marBottom w:val="0"/>
              <w:divBdr>
                <w:top w:val="none" w:sz="0" w:space="0" w:color="auto"/>
                <w:left w:val="none" w:sz="0" w:space="0" w:color="auto"/>
                <w:bottom w:val="none" w:sz="0" w:space="0" w:color="auto"/>
                <w:right w:val="none" w:sz="0" w:space="0" w:color="auto"/>
              </w:divBdr>
            </w:div>
          </w:divsChild>
        </w:div>
        <w:div w:id="310793387">
          <w:marLeft w:val="0"/>
          <w:marRight w:val="0"/>
          <w:marTop w:val="0"/>
          <w:marBottom w:val="0"/>
          <w:divBdr>
            <w:top w:val="none" w:sz="0" w:space="0" w:color="auto"/>
            <w:left w:val="none" w:sz="0" w:space="0" w:color="auto"/>
            <w:bottom w:val="none" w:sz="0" w:space="0" w:color="auto"/>
            <w:right w:val="none" w:sz="0" w:space="0" w:color="auto"/>
          </w:divBdr>
          <w:divsChild>
            <w:div w:id="799766637">
              <w:marLeft w:val="0"/>
              <w:marRight w:val="0"/>
              <w:marTop w:val="0"/>
              <w:marBottom w:val="0"/>
              <w:divBdr>
                <w:top w:val="none" w:sz="0" w:space="0" w:color="auto"/>
                <w:left w:val="none" w:sz="0" w:space="0" w:color="auto"/>
                <w:bottom w:val="none" w:sz="0" w:space="0" w:color="auto"/>
                <w:right w:val="none" w:sz="0" w:space="0" w:color="auto"/>
              </w:divBdr>
            </w:div>
          </w:divsChild>
        </w:div>
        <w:div w:id="1340767967">
          <w:marLeft w:val="0"/>
          <w:marRight w:val="0"/>
          <w:marTop w:val="0"/>
          <w:marBottom w:val="0"/>
          <w:divBdr>
            <w:top w:val="none" w:sz="0" w:space="0" w:color="auto"/>
            <w:left w:val="none" w:sz="0" w:space="0" w:color="auto"/>
            <w:bottom w:val="none" w:sz="0" w:space="0" w:color="auto"/>
            <w:right w:val="none" w:sz="0" w:space="0" w:color="auto"/>
          </w:divBdr>
          <w:divsChild>
            <w:div w:id="953707456">
              <w:marLeft w:val="0"/>
              <w:marRight w:val="0"/>
              <w:marTop w:val="0"/>
              <w:marBottom w:val="0"/>
              <w:divBdr>
                <w:top w:val="none" w:sz="0" w:space="0" w:color="auto"/>
                <w:left w:val="none" w:sz="0" w:space="0" w:color="auto"/>
                <w:bottom w:val="none" w:sz="0" w:space="0" w:color="auto"/>
                <w:right w:val="none" w:sz="0" w:space="0" w:color="auto"/>
              </w:divBdr>
            </w:div>
          </w:divsChild>
        </w:div>
        <w:div w:id="789199832">
          <w:marLeft w:val="0"/>
          <w:marRight w:val="0"/>
          <w:marTop w:val="0"/>
          <w:marBottom w:val="0"/>
          <w:divBdr>
            <w:top w:val="none" w:sz="0" w:space="0" w:color="auto"/>
            <w:left w:val="none" w:sz="0" w:space="0" w:color="auto"/>
            <w:bottom w:val="none" w:sz="0" w:space="0" w:color="auto"/>
            <w:right w:val="none" w:sz="0" w:space="0" w:color="auto"/>
          </w:divBdr>
          <w:divsChild>
            <w:div w:id="1325283817">
              <w:marLeft w:val="0"/>
              <w:marRight w:val="0"/>
              <w:marTop w:val="0"/>
              <w:marBottom w:val="0"/>
              <w:divBdr>
                <w:top w:val="none" w:sz="0" w:space="0" w:color="auto"/>
                <w:left w:val="none" w:sz="0" w:space="0" w:color="auto"/>
                <w:bottom w:val="none" w:sz="0" w:space="0" w:color="auto"/>
                <w:right w:val="none" w:sz="0" w:space="0" w:color="auto"/>
              </w:divBdr>
            </w:div>
          </w:divsChild>
        </w:div>
        <w:div w:id="1799716283">
          <w:marLeft w:val="0"/>
          <w:marRight w:val="0"/>
          <w:marTop w:val="0"/>
          <w:marBottom w:val="0"/>
          <w:divBdr>
            <w:top w:val="none" w:sz="0" w:space="0" w:color="auto"/>
            <w:left w:val="none" w:sz="0" w:space="0" w:color="auto"/>
            <w:bottom w:val="none" w:sz="0" w:space="0" w:color="auto"/>
            <w:right w:val="none" w:sz="0" w:space="0" w:color="auto"/>
          </w:divBdr>
          <w:divsChild>
            <w:div w:id="1734699315">
              <w:marLeft w:val="0"/>
              <w:marRight w:val="0"/>
              <w:marTop w:val="0"/>
              <w:marBottom w:val="0"/>
              <w:divBdr>
                <w:top w:val="none" w:sz="0" w:space="0" w:color="auto"/>
                <w:left w:val="none" w:sz="0" w:space="0" w:color="auto"/>
                <w:bottom w:val="none" w:sz="0" w:space="0" w:color="auto"/>
                <w:right w:val="none" w:sz="0" w:space="0" w:color="auto"/>
              </w:divBdr>
            </w:div>
          </w:divsChild>
        </w:div>
        <w:div w:id="2076850783">
          <w:marLeft w:val="0"/>
          <w:marRight w:val="0"/>
          <w:marTop w:val="0"/>
          <w:marBottom w:val="0"/>
          <w:divBdr>
            <w:top w:val="none" w:sz="0" w:space="0" w:color="auto"/>
            <w:left w:val="none" w:sz="0" w:space="0" w:color="auto"/>
            <w:bottom w:val="none" w:sz="0" w:space="0" w:color="auto"/>
            <w:right w:val="none" w:sz="0" w:space="0" w:color="auto"/>
          </w:divBdr>
          <w:divsChild>
            <w:div w:id="232283289">
              <w:marLeft w:val="0"/>
              <w:marRight w:val="0"/>
              <w:marTop w:val="0"/>
              <w:marBottom w:val="0"/>
              <w:divBdr>
                <w:top w:val="none" w:sz="0" w:space="0" w:color="auto"/>
                <w:left w:val="none" w:sz="0" w:space="0" w:color="auto"/>
                <w:bottom w:val="none" w:sz="0" w:space="0" w:color="auto"/>
                <w:right w:val="none" w:sz="0" w:space="0" w:color="auto"/>
              </w:divBdr>
            </w:div>
          </w:divsChild>
        </w:div>
        <w:div w:id="1293250391">
          <w:marLeft w:val="0"/>
          <w:marRight w:val="0"/>
          <w:marTop w:val="0"/>
          <w:marBottom w:val="0"/>
          <w:divBdr>
            <w:top w:val="none" w:sz="0" w:space="0" w:color="auto"/>
            <w:left w:val="none" w:sz="0" w:space="0" w:color="auto"/>
            <w:bottom w:val="none" w:sz="0" w:space="0" w:color="auto"/>
            <w:right w:val="none" w:sz="0" w:space="0" w:color="auto"/>
          </w:divBdr>
          <w:divsChild>
            <w:div w:id="1470246393">
              <w:marLeft w:val="0"/>
              <w:marRight w:val="0"/>
              <w:marTop w:val="0"/>
              <w:marBottom w:val="0"/>
              <w:divBdr>
                <w:top w:val="none" w:sz="0" w:space="0" w:color="auto"/>
                <w:left w:val="none" w:sz="0" w:space="0" w:color="auto"/>
                <w:bottom w:val="none" w:sz="0" w:space="0" w:color="auto"/>
                <w:right w:val="none" w:sz="0" w:space="0" w:color="auto"/>
              </w:divBdr>
            </w:div>
          </w:divsChild>
        </w:div>
        <w:div w:id="195898597">
          <w:marLeft w:val="0"/>
          <w:marRight w:val="0"/>
          <w:marTop w:val="0"/>
          <w:marBottom w:val="0"/>
          <w:divBdr>
            <w:top w:val="none" w:sz="0" w:space="0" w:color="auto"/>
            <w:left w:val="none" w:sz="0" w:space="0" w:color="auto"/>
            <w:bottom w:val="none" w:sz="0" w:space="0" w:color="auto"/>
            <w:right w:val="none" w:sz="0" w:space="0" w:color="auto"/>
          </w:divBdr>
          <w:divsChild>
            <w:div w:id="1935941351">
              <w:marLeft w:val="0"/>
              <w:marRight w:val="0"/>
              <w:marTop w:val="0"/>
              <w:marBottom w:val="0"/>
              <w:divBdr>
                <w:top w:val="none" w:sz="0" w:space="0" w:color="auto"/>
                <w:left w:val="none" w:sz="0" w:space="0" w:color="auto"/>
                <w:bottom w:val="none" w:sz="0" w:space="0" w:color="auto"/>
                <w:right w:val="none" w:sz="0" w:space="0" w:color="auto"/>
              </w:divBdr>
            </w:div>
          </w:divsChild>
        </w:div>
        <w:div w:id="889728641">
          <w:marLeft w:val="0"/>
          <w:marRight w:val="0"/>
          <w:marTop w:val="0"/>
          <w:marBottom w:val="0"/>
          <w:divBdr>
            <w:top w:val="none" w:sz="0" w:space="0" w:color="auto"/>
            <w:left w:val="none" w:sz="0" w:space="0" w:color="auto"/>
            <w:bottom w:val="none" w:sz="0" w:space="0" w:color="auto"/>
            <w:right w:val="none" w:sz="0" w:space="0" w:color="auto"/>
          </w:divBdr>
          <w:divsChild>
            <w:div w:id="1487744315">
              <w:marLeft w:val="0"/>
              <w:marRight w:val="0"/>
              <w:marTop w:val="0"/>
              <w:marBottom w:val="0"/>
              <w:divBdr>
                <w:top w:val="none" w:sz="0" w:space="0" w:color="auto"/>
                <w:left w:val="none" w:sz="0" w:space="0" w:color="auto"/>
                <w:bottom w:val="none" w:sz="0" w:space="0" w:color="auto"/>
                <w:right w:val="none" w:sz="0" w:space="0" w:color="auto"/>
              </w:divBdr>
            </w:div>
          </w:divsChild>
        </w:div>
        <w:div w:id="1041243235">
          <w:marLeft w:val="0"/>
          <w:marRight w:val="0"/>
          <w:marTop w:val="0"/>
          <w:marBottom w:val="0"/>
          <w:divBdr>
            <w:top w:val="none" w:sz="0" w:space="0" w:color="auto"/>
            <w:left w:val="none" w:sz="0" w:space="0" w:color="auto"/>
            <w:bottom w:val="none" w:sz="0" w:space="0" w:color="auto"/>
            <w:right w:val="none" w:sz="0" w:space="0" w:color="auto"/>
          </w:divBdr>
          <w:divsChild>
            <w:div w:id="452410030">
              <w:marLeft w:val="0"/>
              <w:marRight w:val="0"/>
              <w:marTop w:val="0"/>
              <w:marBottom w:val="0"/>
              <w:divBdr>
                <w:top w:val="none" w:sz="0" w:space="0" w:color="auto"/>
                <w:left w:val="none" w:sz="0" w:space="0" w:color="auto"/>
                <w:bottom w:val="none" w:sz="0" w:space="0" w:color="auto"/>
                <w:right w:val="none" w:sz="0" w:space="0" w:color="auto"/>
              </w:divBdr>
            </w:div>
          </w:divsChild>
        </w:div>
        <w:div w:id="630942416">
          <w:marLeft w:val="0"/>
          <w:marRight w:val="0"/>
          <w:marTop w:val="0"/>
          <w:marBottom w:val="0"/>
          <w:divBdr>
            <w:top w:val="none" w:sz="0" w:space="0" w:color="auto"/>
            <w:left w:val="none" w:sz="0" w:space="0" w:color="auto"/>
            <w:bottom w:val="none" w:sz="0" w:space="0" w:color="auto"/>
            <w:right w:val="none" w:sz="0" w:space="0" w:color="auto"/>
          </w:divBdr>
          <w:divsChild>
            <w:div w:id="87770705">
              <w:marLeft w:val="0"/>
              <w:marRight w:val="0"/>
              <w:marTop w:val="0"/>
              <w:marBottom w:val="0"/>
              <w:divBdr>
                <w:top w:val="none" w:sz="0" w:space="0" w:color="auto"/>
                <w:left w:val="none" w:sz="0" w:space="0" w:color="auto"/>
                <w:bottom w:val="none" w:sz="0" w:space="0" w:color="auto"/>
                <w:right w:val="none" w:sz="0" w:space="0" w:color="auto"/>
              </w:divBdr>
            </w:div>
          </w:divsChild>
        </w:div>
        <w:div w:id="1373339329">
          <w:marLeft w:val="0"/>
          <w:marRight w:val="0"/>
          <w:marTop w:val="0"/>
          <w:marBottom w:val="0"/>
          <w:divBdr>
            <w:top w:val="none" w:sz="0" w:space="0" w:color="auto"/>
            <w:left w:val="none" w:sz="0" w:space="0" w:color="auto"/>
            <w:bottom w:val="none" w:sz="0" w:space="0" w:color="auto"/>
            <w:right w:val="none" w:sz="0" w:space="0" w:color="auto"/>
          </w:divBdr>
          <w:divsChild>
            <w:div w:id="1539078261">
              <w:marLeft w:val="0"/>
              <w:marRight w:val="0"/>
              <w:marTop w:val="0"/>
              <w:marBottom w:val="0"/>
              <w:divBdr>
                <w:top w:val="none" w:sz="0" w:space="0" w:color="auto"/>
                <w:left w:val="none" w:sz="0" w:space="0" w:color="auto"/>
                <w:bottom w:val="none" w:sz="0" w:space="0" w:color="auto"/>
                <w:right w:val="none" w:sz="0" w:space="0" w:color="auto"/>
              </w:divBdr>
            </w:div>
          </w:divsChild>
        </w:div>
        <w:div w:id="163933436">
          <w:marLeft w:val="0"/>
          <w:marRight w:val="0"/>
          <w:marTop w:val="0"/>
          <w:marBottom w:val="0"/>
          <w:divBdr>
            <w:top w:val="none" w:sz="0" w:space="0" w:color="auto"/>
            <w:left w:val="none" w:sz="0" w:space="0" w:color="auto"/>
            <w:bottom w:val="none" w:sz="0" w:space="0" w:color="auto"/>
            <w:right w:val="none" w:sz="0" w:space="0" w:color="auto"/>
          </w:divBdr>
          <w:divsChild>
            <w:div w:id="1686713117">
              <w:marLeft w:val="0"/>
              <w:marRight w:val="0"/>
              <w:marTop w:val="0"/>
              <w:marBottom w:val="0"/>
              <w:divBdr>
                <w:top w:val="none" w:sz="0" w:space="0" w:color="auto"/>
                <w:left w:val="none" w:sz="0" w:space="0" w:color="auto"/>
                <w:bottom w:val="none" w:sz="0" w:space="0" w:color="auto"/>
                <w:right w:val="none" w:sz="0" w:space="0" w:color="auto"/>
              </w:divBdr>
            </w:div>
          </w:divsChild>
        </w:div>
        <w:div w:id="1109467262">
          <w:marLeft w:val="0"/>
          <w:marRight w:val="0"/>
          <w:marTop w:val="0"/>
          <w:marBottom w:val="0"/>
          <w:divBdr>
            <w:top w:val="none" w:sz="0" w:space="0" w:color="auto"/>
            <w:left w:val="none" w:sz="0" w:space="0" w:color="auto"/>
            <w:bottom w:val="none" w:sz="0" w:space="0" w:color="auto"/>
            <w:right w:val="none" w:sz="0" w:space="0" w:color="auto"/>
          </w:divBdr>
          <w:divsChild>
            <w:div w:id="422183678">
              <w:marLeft w:val="0"/>
              <w:marRight w:val="0"/>
              <w:marTop w:val="0"/>
              <w:marBottom w:val="0"/>
              <w:divBdr>
                <w:top w:val="none" w:sz="0" w:space="0" w:color="auto"/>
                <w:left w:val="none" w:sz="0" w:space="0" w:color="auto"/>
                <w:bottom w:val="none" w:sz="0" w:space="0" w:color="auto"/>
                <w:right w:val="none" w:sz="0" w:space="0" w:color="auto"/>
              </w:divBdr>
            </w:div>
          </w:divsChild>
        </w:div>
        <w:div w:id="1473132548">
          <w:marLeft w:val="0"/>
          <w:marRight w:val="0"/>
          <w:marTop w:val="0"/>
          <w:marBottom w:val="0"/>
          <w:divBdr>
            <w:top w:val="none" w:sz="0" w:space="0" w:color="auto"/>
            <w:left w:val="none" w:sz="0" w:space="0" w:color="auto"/>
            <w:bottom w:val="none" w:sz="0" w:space="0" w:color="auto"/>
            <w:right w:val="none" w:sz="0" w:space="0" w:color="auto"/>
          </w:divBdr>
          <w:divsChild>
            <w:div w:id="361635397">
              <w:marLeft w:val="0"/>
              <w:marRight w:val="0"/>
              <w:marTop w:val="0"/>
              <w:marBottom w:val="0"/>
              <w:divBdr>
                <w:top w:val="none" w:sz="0" w:space="0" w:color="auto"/>
                <w:left w:val="none" w:sz="0" w:space="0" w:color="auto"/>
                <w:bottom w:val="none" w:sz="0" w:space="0" w:color="auto"/>
                <w:right w:val="none" w:sz="0" w:space="0" w:color="auto"/>
              </w:divBdr>
            </w:div>
          </w:divsChild>
        </w:div>
        <w:div w:id="590504490">
          <w:marLeft w:val="0"/>
          <w:marRight w:val="0"/>
          <w:marTop w:val="0"/>
          <w:marBottom w:val="0"/>
          <w:divBdr>
            <w:top w:val="none" w:sz="0" w:space="0" w:color="auto"/>
            <w:left w:val="none" w:sz="0" w:space="0" w:color="auto"/>
            <w:bottom w:val="none" w:sz="0" w:space="0" w:color="auto"/>
            <w:right w:val="none" w:sz="0" w:space="0" w:color="auto"/>
          </w:divBdr>
          <w:divsChild>
            <w:div w:id="442697956">
              <w:marLeft w:val="0"/>
              <w:marRight w:val="0"/>
              <w:marTop w:val="0"/>
              <w:marBottom w:val="0"/>
              <w:divBdr>
                <w:top w:val="none" w:sz="0" w:space="0" w:color="auto"/>
                <w:left w:val="none" w:sz="0" w:space="0" w:color="auto"/>
                <w:bottom w:val="none" w:sz="0" w:space="0" w:color="auto"/>
                <w:right w:val="none" w:sz="0" w:space="0" w:color="auto"/>
              </w:divBdr>
            </w:div>
          </w:divsChild>
        </w:div>
        <w:div w:id="333339574">
          <w:marLeft w:val="0"/>
          <w:marRight w:val="0"/>
          <w:marTop w:val="0"/>
          <w:marBottom w:val="0"/>
          <w:divBdr>
            <w:top w:val="none" w:sz="0" w:space="0" w:color="auto"/>
            <w:left w:val="none" w:sz="0" w:space="0" w:color="auto"/>
            <w:bottom w:val="none" w:sz="0" w:space="0" w:color="auto"/>
            <w:right w:val="none" w:sz="0" w:space="0" w:color="auto"/>
          </w:divBdr>
          <w:divsChild>
            <w:div w:id="103310684">
              <w:marLeft w:val="0"/>
              <w:marRight w:val="0"/>
              <w:marTop w:val="0"/>
              <w:marBottom w:val="0"/>
              <w:divBdr>
                <w:top w:val="none" w:sz="0" w:space="0" w:color="auto"/>
                <w:left w:val="none" w:sz="0" w:space="0" w:color="auto"/>
                <w:bottom w:val="none" w:sz="0" w:space="0" w:color="auto"/>
                <w:right w:val="none" w:sz="0" w:space="0" w:color="auto"/>
              </w:divBdr>
            </w:div>
          </w:divsChild>
        </w:div>
        <w:div w:id="1944923083">
          <w:marLeft w:val="0"/>
          <w:marRight w:val="0"/>
          <w:marTop w:val="0"/>
          <w:marBottom w:val="0"/>
          <w:divBdr>
            <w:top w:val="none" w:sz="0" w:space="0" w:color="auto"/>
            <w:left w:val="none" w:sz="0" w:space="0" w:color="auto"/>
            <w:bottom w:val="none" w:sz="0" w:space="0" w:color="auto"/>
            <w:right w:val="none" w:sz="0" w:space="0" w:color="auto"/>
          </w:divBdr>
          <w:divsChild>
            <w:div w:id="2075858565">
              <w:marLeft w:val="0"/>
              <w:marRight w:val="0"/>
              <w:marTop w:val="0"/>
              <w:marBottom w:val="0"/>
              <w:divBdr>
                <w:top w:val="none" w:sz="0" w:space="0" w:color="auto"/>
                <w:left w:val="none" w:sz="0" w:space="0" w:color="auto"/>
                <w:bottom w:val="none" w:sz="0" w:space="0" w:color="auto"/>
                <w:right w:val="none" w:sz="0" w:space="0" w:color="auto"/>
              </w:divBdr>
            </w:div>
          </w:divsChild>
        </w:div>
        <w:div w:id="1190491012">
          <w:marLeft w:val="0"/>
          <w:marRight w:val="0"/>
          <w:marTop w:val="0"/>
          <w:marBottom w:val="0"/>
          <w:divBdr>
            <w:top w:val="none" w:sz="0" w:space="0" w:color="auto"/>
            <w:left w:val="none" w:sz="0" w:space="0" w:color="auto"/>
            <w:bottom w:val="none" w:sz="0" w:space="0" w:color="auto"/>
            <w:right w:val="none" w:sz="0" w:space="0" w:color="auto"/>
          </w:divBdr>
          <w:divsChild>
            <w:div w:id="800265503">
              <w:marLeft w:val="0"/>
              <w:marRight w:val="0"/>
              <w:marTop w:val="0"/>
              <w:marBottom w:val="0"/>
              <w:divBdr>
                <w:top w:val="none" w:sz="0" w:space="0" w:color="auto"/>
                <w:left w:val="none" w:sz="0" w:space="0" w:color="auto"/>
                <w:bottom w:val="none" w:sz="0" w:space="0" w:color="auto"/>
                <w:right w:val="none" w:sz="0" w:space="0" w:color="auto"/>
              </w:divBdr>
            </w:div>
          </w:divsChild>
        </w:div>
        <w:div w:id="35013506">
          <w:marLeft w:val="0"/>
          <w:marRight w:val="0"/>
          <w:marTop w:val="0"/>
          <w:marBottom w:val="0"/>
          <w:divBdr>
            <w:top w:val="none" w:sz="0" w:space="0" w:color="auto"/>
            <w:left w:val="none" w:sz="0" w:space="0" w:color="auto"/>
            <w:bottom w:val="none" w:sz="0" w:space="0" w:color="auto"/>
            <w:right w:val="none" w:sz="0" w:space="0" w:color="auto"/>
          </w:divBdr>
          <w:divsChild>
            <w:div w:id="922183834">
              <w:marLeft w:val="0"/>
              <w:marRight w:val="0"/>
              <w:marTop w:val="0"/>
              <w:marBottom w:val="0"/>
              <w:divBdr>
                <w:top w:val="none" w:sz="0" w:space="0" w:color="auto"/>
                <w:left w:val="none" w:sz="0" w:space="0" w:color="auto"/>
                <w:bottom w:val="none" w:sz="0" w:space="0" w:color="auto"/>
                <w:right w:val="none" w:sz="0" w:space="0" w:color="auto"/>
              </w:divBdr>
            </w:div>
          </w:divsChild>
        </w:div>
        <w:div w:id="711659634">
          <w:marLeft w:val="0"/>
          <w:marRight w:val="0"/>
          <w:marTop w:val="0"/>
          <w:marBottom w:val="0"/>
          <w:divBdr>
            <w:top w:val="none" w:sz="0" w:space="0" w:color="auto"/>
            <w:left w:val="none" w:sz="0" w:space="0" w:color="auto"/>
            <w:bottom w:val="none" w:sz="0" w:space="0" w:color="auto"/>
            <w:right w:val="none" w:sz="0" w:space="0" w:color="auto"/>
          </w:divBdr>
          <w:divsChild>
            <w:div w:id="1567229106">
              <w:marLeft w:val="0"/>
              <w:marRight w:val="0"/>
              <w:marTop w:val="0"/>
              <w:marBottom w:val="0"/>
              <w:divBdr>
                <w:top w:val="none" w:sz="0" w:space="0" w:color="auto"/>
                <w:left w:val="none" w:sz="0" w:space="0" w:color="auto"/>
                <w:bottom w:val="none" w:sz="0" w:space="0" w:color="auto"/>
                <w:right w:val="none" w:sz="0" w:space="0" w:color="auto"/>
              </w:divBdr>
            </w:div>
          </w:divsChild>
        </w:div>
        <w:div w:id="1769693179">
          <w:marLeft w:val="0"/>
          <w:marRight w:val="0"/>
          <w:marTop w:val="0"/>
          <w:marBottom w:val="0"/>
          <w:divBdr>
            <w:top w:val="none" w:sz="0" w:space="0" w:color="auto"/>
            <w:left w:val="none" w:sz="0" w:space="0" w:color="auto"/>
            <w:bottom w:val="none" w:sz="0" w:space="0" w:color="auto"/>
            <w:right w:val="none" w:sz="0" w:space="0" w:color="auto"/>
          </w:divBdr>
          <w:divsChild>
            <w:div w:id="1934439607">
              <w:marLeft w:val="0"/>
              <w:marRight w:val="0"/>
              <w:marTop w:val="0"/>
              <w:marBottom w:val="0"/>
              <w:divBdr>
                <w:top w:val="none" w:sz="0" w:space="0" w:color="auto"/>
                <w:left w:val="none" w:sz="0" w:space="0" w:color="auto"/>
                <w:bottom w:val="none" w:sz="0" w:space="0" w:color="auto"/>
                <w:right w:val="none" w:sz="0" w:space="0" w:color="auto"/>
              </w:divBdr>
            </w:div>
          </w:divsChild>
        </w:div>
        <w:div w:id="909538826">
          <w:marLeft w:val="0"/>
          <w:marRight w:val="0"/>
          <w:marTop w:val="0"/>
          <w:marBottom w:val="0"/>
          <w:divBdr>
            <w:top w:val="none" w:sz="0" w:space="0" w:color="auto"/>
            <w:left w:val="none" w:sz="0" w:space="0" w:color="auto"/>
            <w:bottom w:val="none" w:sz="0" w:space="0" w:color="auto"/>
            <w:right w:val="none" w:sz="0" w:space="0" w:color="auto"/>
          </w:divBdr>
          <w:divsChild>
            <w:div w:id="1022589218">
              <w:marLeft w:val="0"/>
              <w:marRight w:val="0"/>
              <w:marTop w:val="0"/>
              <w:marBottom w:val="0"/>
              <w:divBdr>
                <w:top w:val="none" w:sz="0" w:space="0" w:color="auto"/>
                <w:left w:val="none" w:sz="0" w:space="0" w:color="auto"/>
                <w:bottom w:val="none" w:sz="0" w:space="0" w:color="auto"/>
                <w:right w:val="none" w:sz="0" w:space="0" w:color="auto"/>
              </w:divBdr>
            </w:div>
          </w:divsChild>
        </w:div>
        <w:div w:id="1824925606">
          <w:marLeft w:val="0"/>
          <w:marRight w:val="0"/>
          <w:marTop w:val="0"/>
          <w:marBottom w:val="0"/>
          <w:divBdr>
            <w:top w:val="none" w:sz="0" w:space="0" w:color="auto"/>
            <w:left w:val="none" w:sz="0" w:space="0" w:color="auto"/>
            <w:bottom w:val="none" w:sz="0" w:space="0" w:color="auto"/>
            <w:right w:val="none" w:sz="0" w:space="0" w:color="auto"/>
          </w:divBdr>
          <w:divsChild>
            <w:div w:id="223684463">
              <w:marLeft w:val="0"/>
              <w:marRight w:val="0"/>
              <w:marTop w:val="0"/>
              <w:marBottom w:val="0"/>
              <w:divBdr>
                <w:top w:val="none" w:sz="0" w:space="0" w:color="auto"/>
                <w:left w:val="none" w:sz="0" w:space="0" w:color="auto"/>
                <w:bottom w:val="none" w:sz="0" w:space="0" w:color="auto"/>
                <w:right w:val="none" w:sz="0" w:space="0" w:color="auto"/>
              </w:divBdr>
            </w:div>
          </w:divsChild>
        </w:div>
        <w:div w:id="1287469496">
          <w:marLeft w:val="0"/>
          <w:marRight w:val="0"/>
          <w:marTop w:val="0"/>
          <w:marBottom w:val="0"/>
          <w:divBdr>
            <w:top w:val="none" w:sz="0" w:space="0" w:color="auto"/>
            <w:left w:val="none" w:sz="0" w:space="0" w:color="auto"/>
            <w:bottom w:val="none" w:sz="0" w:space="0" w:color="auto"/>
            <w:right w:val="none" w:sz="0" w:space="0" w:color="auto"/>
          </w:divBdr>
          <w:divsChild>
            <w:div w:id="719019590">
              <w:marLeft w:val="0"/>
              <w:marRight w:val="0"/>
              <w:marTop w:val="0"/>
              <w:marBottom w:val="0"/>
              <w:divBdr>
                <w:top w:val="none" w:sz="0" w:space="0" w:color="auto"/>
                <w:left w:val="none" w:sz="0" w:space="0" w:color="auto"/>
                <w:bottom w:val="none" w:sz="0" w:space="0" w:color="auto"/>
                <w:right w:val="none" w:sz="0" w:space="0" w:color="auto"/>
              </w:divBdr>
            </w:div>
          </w:divsChild>
        </w:div>
        <w:div w:id="437876244">
          <w:marLeft w:val="0"/>
          <w:marRight w:val="0"/>
          <w:marTop w:val="0"/>
          <w:marBottom w:val="0"/>
          <w:divBdr>
            <w:top w:val="none" w:sz="0" w:space="0" w:color="auto"/>
            <w:left w:val="none" w:sz="0" w:space="0" w:color="auto"/>
            <w:bottom w:val="none" w:sz="0" w:space="0" w:color="auto"/>
            <w:right w:val="none" w:sz="0" w:space="0" w:color="auto"/>
          </w:divBdr>
          <w:divsChild>
            <w:div w:id="1382442892">
              <w:marLeft w:val="0"/>
              <w:marRight w:val="0"/>
              <w:marTop w:val="0"/>
              <w:marBottom w:val="0"/>
              <w:divBdr>
                <w:top w:val="none" w:sz="0" w:space="0" w:color="auto"/>
                <w:left w:val="none" w:sz="0" w:space="0" w:color="auto"/>
                <w:bottom w:val="none" w:sz="0" w:space="0" w:color="auto"/>
                <w:right w:val="none" w:sz="0" w:space="0" w:color="auto"/>
              </w:divBdr>
            </w:div>
          </w:divsChild>
        </w:div>
        <w:div w:id="272248396">
          <w:marLeft w:val="0"/>
          <w:marRight w:val="0"/>
          <w:marTop w:val="0"/>
          <w:marBottom w:val="0"/>
          <w:divBdr>
            <w:top w:val="none" w:sz="0" w:space="0" w:color="auto"/>
            <w:left w:val="none" w:sz="0" w:space="0" w:color="auto"/>
            <w:bottom w:val="none" w:sz="0" w:space="0" w:color="auto"/>
            <w:right w:val="none" w:sz="0" w:space="0" w:color="auto"/>
          </w:divBdr>
          <w:divsChild>
            <w:div w:id="2023622220">
              <w:marLeft w:val="0"/>
              <w:marRight w:val="0"/>
              <w:marTop w:val="0"/>
              <w:marBottom w:val="0"/>
              <w:divBdr>
                <w:top w:val="none" w:sz="0" w:space="0" w:color="auto"/>
                <w:left w:val="none" w:sz="0" w:space="0" w:color="auto"/>
                <w:bottom w:val="none" w:sz="0" w:space="0" w:color="auto"/>
                <w:right w:val="none" w:sz="0" w:space="0" w:color="auto"/>
              </w:divBdr>
            </w:div>
          </w:divsChild>
        </w:div>
        <w:div w:id="1833139773">
          <w:marLeft w:val="0"/>
          <w:marRight w:val="0"/>
          <w:marTop w:val="0"/>
          <w:marBottom w:val="0"/>
          <w:divBdr>
            <w:top w:val="none" w:sz="0" w:space="0" w:color="auto"/>
            <w:left w:val="none" w:sz="0" w:space="0" w:color="auto"/>
            <w:bottom w:val="none" w:sz="0" w:space="0" w:color="auto"/>
            <w:right w:val="none" w:sz="0" w:space="0" w:color="auto"/>
          </w:divBdr>
          <w:divsChild>
            <w:div w:id="603541469">
              <w:marLeft w:val="0"/>
              <w:marRight w:val="0"/>
              <w:marTop w:val="0"/>
              <w:marBottom w:val="0"/>
              <w:divBdr>
                <w:top w:val="none" w:sz="0" w:space="0" w:color="auto"/>
                <w:left w:val="none" w:sz="0" w:space="0" w:color="auto"/>
                <w:bottom w:val="none" w:sz="0" w:space="0" w:color="auto"/>
                <w:right w:val="none" w:sz="0" w:space="0" w:color="auto"/>
              </w:divBdr>
            </w:div>
          </w:divsChild>
        </w:div>
        <w:div w:id="1158693971">
          <w:marLeft w:val="0"/>
          <w:marRight w:val="0"/>
          <w:marTop w:val="0"/>
          <w:marBottom w:val="0"/>
          <w:divBdr>
            <w:top w:val="none" w:sz="0" w:space="0" w:color="auto"/>
            <w:left w:val="none" w:sz="0" w:space="0" w:color="auto"/>
            <w:bottom w:val="none" w:sz="0" w:space="0" w:color="auto"/>
            <w:right w:val="none" w:sz="0" w:space="0" w:color="auto"/>
          </w:divBdr>
          <w:divsChild>
            <w:div w:id="363753471">
              <w:marLeft w:val="0"/>
              <w:marRight w:val="0"/>
              <w:marTop w:val="0"/>
              <w:marBottom w:val="0"/>
              <w:divBdr>
                <w:top w:val="none" w:sz="0" w:space="0" w:color="auto"/>
                <w:left w:val="none" w:sz="0" w:space="0" w:color="auto"/>
                <w:bottom w:val="none" w:sz="0" w:space="0" w:color="auto"/>
                <w:right w:val="none" w:sz="0" w:space="0" w:color="auto"/>
              </w:divBdr>
            </w:div>
          </w:divsChild>
        </w:div>
        <w:div w:id="426583184">
          <w:marLeft w:val="0"/>
          <w:marRight w:val="0"/>
          <w:marTop w:val="0"/>
          <w:marBottom w:val="0"/>
          <w:divBdr>
            <w:top w:val="none" w:sz="0" w:space="0" w:color="auto"/>
            <w:left w:val="none" w:sz="0" w:space="0" w:color="auto"/>
            <w:bottom w:val="none" w:sz="0" w:space="0" w:color="auto"/>
            <w:right w:val="none" w:sz="0" w:space="0" w:color="auto"/>
          </w:divBdr>
          <w:divsChild>
            <w:div w:id="1008214065">
              <w:marLeft w:val="0"/>
              <w:marRight w:val="0"/>
              <w:marTop w:val="0"/>
              <w:marBottom w:val="0"/>
              <w:divBdr>
                <w:top w:val="none" w:sz="0" w:space="0" w:color="auto"/>
                <w:left w:val="none" w:sz="0" w:space="0" w:color="auto"/>
                <w:bottom w:val="none" w:sz="0" w:space="0" w:color="auto"/>
                <w:right w:val="none" w:sz="0" w:space="0" w:color="auto"/>
              </w:divBdr>
            </w:div>
          </w:divsChild>
        </w:div>
        <w:div w:id="235864211">
          <w:marLeft w:val="0"/>
          <w:marRight w:val="0"/>
          <w:marTop w:val="0"/>
          <w:marBottom w:val="0"/>
          <w:divBdr>
            <w:top w:val="none" w:sz="0" w:space="0" w:color="auto"/>
            <w:left w:val="none" w:sz="0" w:space="0" w:color="auto"/>
            <w:bottom w:val="none" w:sz="0" w:space="0" w:color="auto"/>
            <w:right w:val="none" w:sz="0" w:space="0" w:color="auto"/>
          </w:divBdr>
          <w:divsChild>
            <w:div w:id="1289042878">
              <w:marLeft w:val="0"/>
              <w:marRight w:val="0"/>
              <w:marTop w:val="0"/>
              <w:marBottom w:val="0"/>
              <w:divBdr>
                <w:top w:val="none" w:sz="0" w:space="0" w:color="auto"/>
                <w:left w:val="none" w:sz="0" w:space="0" w:color="auto"/>
                <w:bottom w:val="none" w:sz="0" w:space="0" w:color="auto"/>
                <w:right w:val="none" w:sz="0" w:space="0" w:color="auto"/>
              </w:divBdr>
            </w:div>
          </w:divsChild>
        </w:div>
        <w:div w:id="805585584">
          <w:marLeft w:val="0"/>
          <w:marRight w:val="0"/>
          <w:marTop w:val="0"/>
          <w:marBottom w:val="0"/>
          <w:divBdr>
            <w:top w:val="none" w:sz="0" w:space="0" w:color="auto"/>
            <w:left w:val="none" w:sz="0" w:space="0" w:color="auto"/>
            <w:bottom w:val="none" w:sz="0" w:space="0" w:color="auto"/>
            <w:right w:val="none" w:sz="0" w:space="0" w:color="auto"/>
          </w:divBdr>
          <w:divsChild>
            <w:div w:id="427316168">
              <w:marLeft w:val="0"/>
              <w:marRight w:val="0"/>
              <w:marTop w:val="0"/>
              <w:marBottom w:val="0"/>
              <w:divBdr>
                <w:top w:val="none" w:sz="0" w:space="0" w:color="auto"/>
                <w:left w:val="none" w:sz="0" w:space="0" w:color="auto"/>
                <w:bottom w:val="none" w:sz="0" w:space="0" w:color="auto"/>
                <w:right w:val="none" w:sz="0" w:space="0" w:color="auto"/>
              </w:divBdr>
            </w:div>
          </w:divsChild>
        </w:div>
        <w:div w:id="1639650912">
          <w:marLeft w:val="0"/>
          <w:marRight w:val="0"/>
          <w:marTop w:val="0"/>
          <w:marBottom w:val="0"/>
          <w:divBdr>
            <w:top w:val="none" w:sz="0" w:space="0" w:color="auto"/>
            <w:left w:val="none" w:sz="0" w:space="0" w:color="auto"/>
            <w:bottom w:val="none" w:sz="0" w:space="0" w:color="auto"/>
            <w:right w:val="none" w:sz="0" w:space="0" w:color="auto"/>
          </w:divBdr>
          <w:divsChild>
            <w:div w:id="131485627">
              <w:marLeft w:val="0"/>
              <w:marRight w:val="0"/>
              <w:marTop w:val="0"/>
              <w:marBottom w:val="0"/>
              <w:divBdr>
                <w:top w:val="none" w:sz="0" w:space="0" w:color="auto"/>
                <w:left w:val="none" w:sz="0" w:space="0" w:color="auto"/>
                <w:bottom w:val="none" w:sz="0" w:space="0" w:color="auto"/>
                <w:right w:val="none" w:sz="0" w:space="0" w:color="auto"/>
              </w:divBdr>
            </w:div>
          </w:divsChild>
        </w:div>
        <w:div w:id="1736704334">
          <w:marLeft w:val="0"/>
          <w:marRight w:val="0"/>
          <w:marTop w:val="0"/>
          <w:marBottom w:val="0"/>
          <w:divBdr>
            <w:top w:val="none" w:sz="0" w:space="0" w:color="auto"/>
            <w:left w:val="none" w:sz="0" w:space="0" w:color="auto"/>
            <w:bottom w:val="none" w:sz="0" w:space="0" w:color="auto"/>
            <w:right w:val="none" w:sz="0" w:space="0" w:color="auto"/>
          </w:divBdr>
          <w:divsChild>
            <w:div w:id="1949239342">
              <w:marLeft w:val="0"/>
              <w:marRight w:val="0"/>
              <w:marTop w:val="0"/>
              <w:marBottom w:val="0"/>
              <w:divBdr>
                <w:top w:val="none" w:sz="0" w:space="0" w:color="auto"/>
                <w:left w:val="none" w:sz="0" w:space="0" w:color="auto"/>
                <w:bottom w:val="none" w:sz="0" w:space="0" w:color="auto"/>
                <w:right w:val="none" w:sz="0" w:space="0" w:color="auto"/>
              </w:divBdr>
            </w:div>
          </w:divsChild>
        </w:div>
        <w:div w:id="1824619572">
          <w:marLeft w:val="0"/>
          <w:marRight w:val="0"/>
          <w:marTop w:val="0"/>
          <w:marBottom w:val="0"/>
          <w:divBdr>
            <w:top w:val="none" w:sz="0" w:space="0" w:color="auto"/>
            <w:left w:val="none" w:sz="0" w:space="0" w:color="auto"/>
            <w:bottom w:val="none" w:sz="0" w:space="0" w:color="auto"/>
            <w:right w:val="none" w:sz="0" w:space="0" w:color="auto"/>
          </w:divBdr>
          <w:divsChild>
            <w:div w:id="61412493">
              <w:marLeft w:val="0"/>
              <w:marRight w:val="0"/>
              <w:marTop w:val="0"/>
              <w:marBottom w:val="0"/>
              <w:divBdr>
                <w:top w:val="none" w:sz="0" w:space="0" w:color="auto"/>
                <w:left w:val="none" w:sz="0" w:space="0" w:color="auto"/>
                <w:bottom w:val="none" w:sz="0" w:space="0" w:color="auto"/>
                <w:right w:val="none" w:sz="0" w:space="0" w:color="auto"/>
              </w:divBdr>
            </w:div>
          </w:divsChild>
        </w:div>
        <w:div w:id="1831286222">
          <w:marLeft w:val="0"/>
          <w:marRight w:val="0"/>
          <w:marTop w:val="0"/>
          <w:marBottom w:val="0"/>
          <w:divBdr>
            <w:top w:val="none" w:sz="0" w:space="0" w:color="auto"/>
            <w:left w:val="none" w:sz="0" w:space="0" w:color="auto"/>
            <w:bottom w:val="none" w:sz="0" w:space="0" w:color="auto"/>
            <w:right w:val="none" w:sz="0" w:space="0" w:color="auto"/>
          </w:divBdr>
          <w:divsChild>
            <w:div w:id="71779462">
              <w:marLeft w:val="0"/>
              <w:marRight w:val="0"/>
              <w:marTop w:val="0"/>
              <w:marBottom w:val="0"/>
              <w:divBdr>
                <w:top w:val="none" w:sz="0" w:space="0" w:color="auto"/>
                <w:left w:val="none" w:sz="0" w:space="0" w:color="auto"/>
                <w:bottom w:val="none" w:sz="0" w:space="0" w:color="auto"/>
                <w:right w:val="none" w:sz="0" w:space="0" w:color="auto"/>
              </w:divBdr>
            </w:div>
          </w:divsChild>
        </w:div>
        <w:div w:id="1103376262">
          <w:marLeft w:val="0"/>
          <w:marRight w:val="0"/>
          <w:marTop w:val="0"/>
          <w:marBottom w:val="0"/>
          <w:divBdr>
            <w:top w:val="none" w:sz="0" w:space="0" w:color="auto"/>
            <w:left w:val="none" w:sz="0" w:space="0" w:color="auto"/>
            <w:bottom w:val="none" w:sz="0" w:space="0" w:color="auto"/>
            <w:right w:val="none" w:sz="0" w:space="0" w:color="auto"/>
          </w:divBdr>
          <w:divsChild>
            <w:div w:id="998312605">
              <w:marLeft w:val="0"/>
              <w:marRight w:val="0"/>
              <w:marTop w:val="0"/>
              <w:marBottom w:val="0"/>
              <w:divBdr>
                <w:top w:val="none" w:sz="0" w:space="0" w:color="auto"/>
                <w:left w:val="none" w:sz="0" w:space="0" w:color="auto"/>
                <w:bottom w:val="none" w:sz="0" w:space="0" w:color="auto"/>
                <w:right w:val="none" w:sz="0" w:space="0" w:color="auto"/>
              </w:divBdr>
            </w:div>
          </w:divsChild>
        </w:div>
        <w:div w:id="786126434">
          <w:marLeft w:val="0"/>
          <w:marRight w:val="0"/>
          <w:marTop w:val="0"/>
          <w:marBottom w:val="0"/>
          <w:divBdr>
            <w:top w:val="none" w:sz="0" w:space="0" w:color="auto"/>
            <w:left w:val="none" w:sz="0" w:space="0" w:color="auto"/>
            <w:bottom w:val="none" w:sz="0" w:space="0" w:color="auto"/>
            <w:right w:val="none" w:sz="0" w:space="0" w:color="auto"/>
          </w:divBdr>
          <w:divsChild>
            <w:div w:id="805589846">
              <w:marLeft w:val="0"/>
              <w:marRight w:val="0"/>
              <w:marTop w:val="0"/>
              <w:marBottom w:val="0"/>
              <w:divBdr>
                <w:top w:val="none" w:sz="0" w:space="0" w:color="auto"/>
                <w:left w:val="none" w:sz="0" w:space="0" w:color="auto"/>
                <w:bottom w:val="none" w:sz="0" w:space="0" w:color="auto"/>
                <w:right w:val="none" w:sz="0" w:space="0" w:color="auto"/>
              </w:divBdr>
            </w:div>
          </w:divsChild>
        </w:div>
        <w:div w:id="1742486894">
          <w:marLeft w:val="0"/>
          <w:marRight w:val="0"/>
          <w:marTop w:val="0"/>
          <w:marBottom w:val="0"/>
          <w:divBdr>
            <w:top w:val="none" w:sz="0" w:space="0" w:color="auto"/>
            <w:left w:val="none" w:sz="0" w:space="0" w:color="auto"/>
            <w:bottom w:val="none" w:sz="0" w:space="0" w:color="auto"/>
            <w:right w:val="none" w:sz="0" w:space="0" w:color="auto"/>
          </w:divBdr>
          <w:divsChild>
            <w:div w:id="336272729">
              <w:marLeft w:val="0"/>
              <w:marRight w:val="0"/>
              <w:marTop w:val="0"/>
              <w:marBottom w:val="0"/>
              <w:divBdr>
                <w:top w:val="none" w:sz="0" w:space="0" w:color="auto"/>
                <w:left w:val="none" w:sz="0" w:space="0" w:color="auto"/>
                <w:bottom w:val="none" w:sz="0" w:space="0" w:color="auto"/>
                <w:right w:val="none" w:sz="0" w:space="0" w:color="auto"/>
              </w:divBdr>
            </w:div>
          </w:divsChild>
        </w:div>
        <w:div w:id="707412245">
          <w:marLeft w:val="0"/>
          <w:marRight w:val="0"/>
          <w:marTop w:val="0"/>
          <w:marBottom w:val="0"/>
          <w:divBdr>
            <w:top w:val="none" w:sz="0" w:space="0" w:color="auto"/>
            <w:left w:val="none" w:sz="0" w:space="0" w:color="auto"/>
            <w:bottom w:val="none" w:sz="0" w:space="0" w:color="auto"/>
            <w:right w:val="none" w:sz="0" w:space="0" w:color="auto"/>
          </w:divBdr>
          <w:divsChild>
            <w:div w:id="1188252094">
              <w:marLeft w:val="0"/>
              <w:marRight w:val="0"/>
              <w:marTop w:val="0"/>
              <w:marBottom w:val="0"/>
              <w:divBdr>
                <w:top w:val="none" w:sz="0" w:space="0" w:color="auto"/>
                <w:left w:val="none" w:sz="0" w:space="0" w:color="auto"/>
                <w:bottom w:val="none" w:sz="0" w:space="0" w:color="auto"/>
                <w:right w:val="none" w:sz="0" w:space="0" w:color="auto"/>
              </w:divBdr>
            </w:div>
          </w:divsChild>
        </w:div>
        <w:div w:id="1733888713">
          <w:marLeft w:val="0"/>
          <w:marRight w:val="0"/>
          <w:marTop w:val="0"/>
          <w:marBottom w:val="0"/>
          <w:divBdr>
            <w:top w:val="none" w:sz="0" w:space="0" w:color="auto"/>
            <w:left w:val="none" w:sz="0" w:space="0" w:color="auto"/>
            <w:bottom w:val="none" w:sz="0" w:space="0" w:color="auto"/>
            <w:right w:val="none" w:sz="0" w:space="0" w:color="auto"/>
          </w:divBdr>
          <w:divsChild>
            <w:div w:id="1261987560">
              <w:marLeft w:val="0"/>
              <w:marRight w:val="0"/>
              <w:marTop w:val="0"/>
              <w:marBottom w:val="0"/>
              <w:divBdr>
                <w:top w:val="none" w:sz="0" w:space="0" w:color="auto"/>
                <w:left w:val="none" w:sz="0" w:space="0" w:color="auto"/>
                <w:bottom w:val="none" w:sz="0" w:space="0" w:color="auto"/>
                <w:right w:val="none" w:sz="0" w:space="0" w:color="auto"/>
              </w:divBdr>
            </w:div>
          </w:divsChild>
        </w:div>
        <w:div w:id="554119247">
          <w:marLeft w:val="0"/>
          <w:marRight w:val="0"/>
          <w:marTop w:val="0"/>
          <w:marBottom w:val="0"/>
          <w:divBdr>
            <w:top w:val="none" w:sz="0" w:space="0" w:color="auto"/>
            <w:left w:val="none" w:sz="0" w:space="0" w:color="auto"/>
            <w:bottom w:val="none" w:sz="0" w:space="0" w:color="auto"/>
            <w:right w:val="none" w:sz="0" w:space="0" w:color="auto"/>
          </w:divBdr>
          <w:divsChild>
            <w:div w:id="1222904510">
              <w:marLeft w:val="0"/>
              <w:marRight w:val="0"/>
              <w:marTop w:val="0"/>
              <w:marBottom w:val="0"/>
              <w:divBdr>
                <w:top w:val="none" w:sz="0" w:space="0" w:color="auto"/>
                <w:left w:val="none" w:sz="0" w:space="0" w:color="auto"/>
                <w:bottom w:val="none" w:sz="0" w:space="0" w:color="auto"/>
                <w:right w:val="none" w:sz="0" w:space="0" w:color="auto"/>
              </w:divBdr>
            </w:div>
          </w:divsChild>
        </w:div>
        <w:div w:id="64108798">
          <w:marLeft w:val="0"/>
          <w:marRight w:val="0"/>
          <w:marTop w:val="0"/>
          <w:marBottom w:val="0"/>
          <w:divBdr>
            <w:top w:val="none" w:sz="0" w:space="0" w:color="auto"/>
            <w:left w:val="none" w:sz="0" w:space="0" w:color="auto"/>
            <w:bottom w:val="none" w:sz="0" w:space="0" w:color="auto"/>
            <w:right w:val="none" w:sz="0" w:space="0" w:color="auto"/>
          </w:divBdr>
          <w:divsChild>
            <w:div w:id="1638993294">
              <w:marLeft w:val="0"/>
              <w:marRight w:val="0"/>
              <w:marTop w:val="0"/>
              <w:marBottom w:val="0"/>
              <w:divBdr>
                <w:top w:val="none" w:sz="0" w:space="0" w:color="auto"/>
                <w:left w:val="none" w:sz="0" w:space="0" w:color="auto"/>
                <w:bottom w:val="none" w:sz="0" w:space="0" w:color="auto"/>
                <w:right w:val="none" w:sz="0" w:space="0" w:color="auto"/>
              </w:divBdr>
            </w:div>
          </w:divsChild>
        </w:div>
        <w:div w:id="1160655844">
          <w:marLeft w:val="0"/>
          <w:marRight w:val="0"/>
          <w:marTop w:val="0"/>
          <w:marBottom w:val="0"/>
          <w:divBdr>
            <w:top w:val="none" w:sz="0" w:space="0" w:color="auto"/>
            <w:left w:val="none" w:sz="0" w:space="0" w:color="auto"/>
            <w:bottom w:val="none" w:sz="0" w:space="0" w:color="auto"/>
            <w:right w:val="none" w:sz="0" w:space="0" w:color="auto"/>
          </w:divBdr>
          <w:divsChild>
            <w:div w:id="118229475">
              <w:marLeft w:val="0"/>
              <w:marRight w:val="0"/>
              <w:marTop w:val="0"/>
              <w:marBottom w:val="0"/>
              <w:divBdr>
                <w:top w:val="none" w:sz="0" w:space="0" w:color="auto"/>
                <w:left w:val="none" w:sz="0" w:space="0" w:color="auto"/>
                <w:bottom w:val="none" w:sz="0" w:space="0" w:color="auto"/>
                <w:right w:val="none" w:sz="0" w:space="0" w:color="auto"/>
              </w:divBdr>
            </w:div>
          </w:divsChild>
        </w:div>
        <w:div w:id="716590185">
          <w:marLeft w:val="0"/>
          <w:marRight w:val="0"/>
          <w:marTop w:val="0"/>
          <w:marBottom w:val="0"/>
          <w:divBdr>
            <w:top w:val="none" w:sz="0" w:space="0" w:color="auto"/>
            <w:left w:val="none" w:sz="0" w:space="0" w:color="auto"/>
            <w:bottom w:val="none" w:sz="0" w:space="0" w:color="auto"/>
            <w:right w:val="none" w:sz="0" w:space="0" w:color="auto"/>
          </w:divBdr>
          <w:divsChild>
            <w:div w:id="1429275479">
              <w:marLeft w:val="0"/>
              <w:marRight w:val="0"/>
              <w:marTop w:val="0"/>
              <w:marBottom w:val="0"/>
              <w:divBdr>
                <w:top w:val="none" w:sz="0" w:space="0" w:color="auto"/>
                <w:left w:val="none" w:sz="0" w:space="0" w:color="auto"/>
                <w:bottom w:val="none" w:sz="0" w:space="0" w:color="auto"/>
                <w:right w:val="none" w:sz="0" w:space="0" w:color="auto"/>
              </w:divBdr>
            </w:div>
          </w:divsChild>
        </w:div>
        <w:div w:id="1860046751">
          <w:marLeft w:val="0"/>
          <w:marRight w:val="0"/>
          <w:marTop w:val="0"/>
          <w:marBottom w:val="0"/>
          <w:divBdr>
            <w:top w:val="none" w:sz="0" w:space="0" w:color="auto"/>
            <w:left w:val="none" w:sz="0" w:space="0" w:color="auto"/>
            <w:bottom w:val="none" w:sz="0" w:space="0" w:color="auto"/>
            <w:right w:val="none" w:sz="0" w:space="0" w:color="auto"/>
          </w:divBdr>
          <w:divsChild>
            <w:div w:id="1852179976">
              <w:marLeft w:val="0"/>
              <w:marRight w:val="0"/>
              <w:marTop w:val="0"/>
              <w:marBottom w:val="0"/>
              <w:divBdr>
                <w:top w:val="none" w:sz="0" w:space="0" w:color="auto"/>
                <w:left w:val="none" w:sz="0" w:space="0" w:color="auto"/>
                <w:bottom w:val="none" w:sz="0" w:space="0" w:color="auto"/>
                <w:right w:val="none" w:sz="0" w:space="0" w:color="auto"/>
              </w:divBdr>
            </w:div>
          </w:divsChild>
        </w:div>
        <w:div w:id="2010255959">
          <w:marLeft w:val="0"/>
          <w:marRight w:val="0"/>
          <w:marTop w:val="0"/>
          <w:marBottom w:val="0"/>
          <w:divBdr>
            <w:top w:val="none" w:sz="0" w:space="0" w:color="auto"/>
            <w:left w:val="none" w:sz="0" w:space="0" w:color="auto"/>
            <w:bottom w:val="none" w:sz="0" w:space="0" w:color="auto"/>
            <w:right w:val="none" w:sz="0" w:space="0" w:color="auto"/>
          </w:divBdr>
          <w:divsChild>
            <w:div w:id="1523325063">
              <w:marLeft w:val="0"/>
              <w:marRight w:val="0"/>
              <w:marTop w:val="0"/>
              <w:marBottom w:val="0"/>
              <w:divBdr>
                <w:top w:val="none" w:sz="0" w:space="0" w:color="auto"/>
                <w:left w:val="none" w:sz="0" w:space="0" w:color="auto"/>
                <w:bottom w:val="none" w:sz="0" w:space="0" w:color="auto"/>
                <w:right w:val="none" w:sz="0" w:space="0" w:color="auto"/>
              </w:divBdr>
            </w:div>
          </w:divsChild>
        </w:div>
        <w:div w:id="785544174">
          <w:marLeft w:val="0"/>
          <w:marRight w:val="0"/>
          <w:marTop w:val="0"/>
          <w:marBottom w:val="0"/>
          <w:divBdr>
            <w:top w:val="none" w:sz="0" w:space="0" w:color="auto"/>
            <w:left w:val="none" w:sz="0" w:space="0" w:color="auto"/>
            <w:bottom w:val="none" w:sz="0" w:space="0" w:color="auto"/>
            <w:right w:val="none" w:sz="0" w:space="0" w:color="auto"/>
          </w:divBdr>
          <w:divsChild>
            <w:div w:id="415203265">
              <w:marLeft w:val="0"/>
              <w:marRight w:val="0"/>
              <w:marTop w:val="0"/>
              <w:marBottom w:val="0"/>
              <w:divBdr>
                <w:top w:val="none" w:sz="0" w:space="0" w:color="auto"/>
                <w:left w:val="none" w:sz="0" w:space="0" w:color="auto"/>
                <w:bottom w:val="none" w:sz="0" w:space="0" w:color="auto"/>
                <w:right w:val="none" w:sz="0" w:space="0" w:color="auto"/>
              </w:divBdr>
            </w:div>
          </w:divsChild>
        </w:div>
        <w:div w:id="2127700952">
          <w:marLeft w:val="0"/>
          <w:marRight w:val="0"/>
          <w:marTop w:val="0"/>
          <w:marBottom w:val="0"/>
          <w:divBdr>
            <w:top w:val="none" w:sz="0" w:space="0" w:color="auto"/>
            <w:left w:val="none" w:sz="0" w:space="0" w:color="auto"/>
            <w:bottom w:val="none" w:sz="0" w:space="0" w:color="auto"/>
            <w:right w:val="none" w:sz="0" w:space="0" w:color="auto"/>
          </w:divBdr>
          <w:divsChild>
            <w:div w:id="248925099">
              <w:marLeft w:val="0"/>
              <w:marRight w:val="0"/>
              <w:marTop w:val="0"/>
              <w:marBottom w:val="0"/>
              <w:divBdr>
                <w:top w:val="none" w:sz="0" w:space="0" w:color="auto"/>
                <w:left w:val="none" w:sz="0" w:space="0" w:color="auto"/>
                <w:bottom w:val="none" w:sz="0" w:space="0" w:color="auto"/>
                <w:right w:val="none" w:sz="0" w:space="0" w:color="auto"/>
              </w:divBdr>
            </w:div>
          </w:divsChild>
        </w:div>
        <w:div w:id="782766780">
          <w:marLeft w:val="0"/>
          <w:marRight w:val="0"/>
          <w:marTop w:val="0"/>
          <w:marBottom w:val="0"/>
          <w:divBdr>
            <w:top w:val="none" w:sz="0" w:space="0" w:color="auto"/>
            <w:left w:val="none" w:sz="0" w:space="0" w:color="auto"/>
            <w:bottom w:val="none" w:sz="0" w:space="0" w:color="auto"/>
            <w:right w:val="none" w:sz="0" w:space="0" w:color="auto"/>
          </w:divBdr>
        </w:div>
      </w:divsChild>
    </w:div>
    <w:div w:id="925842190">
      <w:bodyDiv w:val="1"/>
      <w:marLeft w:val="0"/>
      <w:marRight w:val="0"/>
      <w:marTop w:val="0"/>
      <w:marBottom w:val="0"/>
      <w:divBdr>
        <w:top w:val="none" w:sz="0" w:space="0" w:color="auto"/>
        <w:left w:val="none" w:sz="0" w:space="0" w:color="auto"/>
        <w:bottom w:val="none" w:sz="0" w:space="0" w:color="auto"/>
        <w:right w:val="none" w:sz="0" w:space="0" w:color="auto"/>
      </w:divBdr>
      <w:divsChild>
        <w:div w:id="1258755433">
          <w:marLeft w:val="0"/>
          <w:marRight w:val="0"/>
          <w:marTop w:val="0"/>
          <w:marBottom w:val="0"/>
          <w:divBdr>
            <w:top w:val="none" w:sz="0" w:space="0" w:color="auto"/>
            <w:left w:val="none" w:sz="0" w:space="0" w:color="auto"/>
            <w:bottom w:val="none" w:sz="0" w:space="0" w:color="auto"/>
            <w:right w:val="none" w:sz="0" w:space="0" w:color="auto"/>
          </w:divBdr>
          <w:divsChild>
            <w:div w:id="2007511342">
              <w:marLeft w:val="0"/>
              <w:marRight w:val="0"/>
              <w:marTop w:val="0"/>
              <w:marBottom w:val="0"/>
              <w:divBdr>
                <w:top w:val="none" w:sz="0" w:space="0" w:color="auto"/>
                <w:left w:val="none" w:sz="0" w:space="0" w:color="auto"/>
                <w:bottom w:val="none" w:sz="0" w:space="0" w:color="auto"/>
                <w:right w:val="none" w:sz="0" w:space="0" w:color="auto"/>
              </w:divBdr>
            </w:div>
          </w:divsChild>
        </w:div>
        <w:div w:id="522210073">
          <w:marLeft w:val="0"/>
          <w:marRight w:val="0"/>
          <w:marTop w:val="0"/>
          <w:marBottom w:val="0"/>
          <w:divBdr>
            <w:top w:val="none" w:sz="0" w:space="0" w:color="auto"/>
            <w:left w:val="none" w:sz="0" w:space="0" w:color="auto"/>
            <w:bottom w:val="none" w:sz="0" w:space="0" w:color="auto"/>
            <w:right w:val="none" w:sz="0" w:space="0" w:color="auto"/>
          </w:divBdr>
          <w:divsChild>
            <w:div w:id="1597245428">
              <w:marLeft w:val="0"/>
              <w:marRight w:val="0"/>
              <w:marTop w:val="0"/>
              <w:marBottom w:val="0"/>
              <w:divBdr>
                <w:top w:val="none" w:sz="0" w:space="0" w:color="auto"/>
                <w:left w:val="none" w:sz="0" w:space="0" w:color="auto"/>
                <w:bottom w:val="none" w:sz="0" w:space="0" w:color="auto"/>
                <w:right w:val="none" w:sz="0" w:space="0" w:color="auto"/>
              </w:divBdr>
            </w:div>
          </w:divsChild>
        </w:div>
        <w:div w:id="1383024159">
          <w:marLeft w:val="0"/>
          <w:marRight w:val="0"/>
          <w:marTop w:val="0"/>
          <w:marBottom w:val="0"/>
          <w:divBdr>
            <w:top w:val="none" w:sz="0" w:space="0" w:color="auto"/>
            <w:left w:val="none" w:sz="0" w:space="0" w:color="auto"/>
            <w:bottom w:val="none" w:sz="0" w:space="0" w:color="auto"/>
            <w:right w:val="none" w:sz="0" w:space="0" w:color="auto"/>
          </w:divBdr>
          <w:divsChild>
            <w:div w:id="44670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557646">
      <w:bodyDiv w:val="1"/>
      <w:marLeft w:val="0"/>
      <w:marRight w:val="0"/>
      <w:marTop w:val="0"/>
      <w:marBottom w:val="0"/>
      <w:divBdr>
        <w:top w:val="none" w:sz="0" w:space="0" w:color="auto"/>
        <w:left w:val="none" w:sz="0" w:space="0" w:color="auto"/>
        <w:bottom w:val="none" w:sz="0" w:space="0" w:color="auto"/>
        <w:right w:val="none" w:sz="0" w:space="0" w:color="auto"/>
      </w:divBdr>
      <w:divsChild>
        <w:div w:id="464200077">
          <w:marLeft w:val="0"/>
          <w:marRight w:val="0"/>
          <w:marTop w:val="0"/>
          <w:marBottom w:val="0"/>
          <w:divBdr>
            <w:top w:val="none" w:sz="0" w:space="0" w:color="auto"/>
            <w:left w:val="none" w:sz="0" w:space="0" w:color="auto"/>
            <w:bottom w:val="none" w:sz="0" w:space="0" w:color="auto"/>
            <w:right w:val="none" w:sz="0" w:space="0" w:color="auto"/>
          </w:divBdr>
        </w:div>
        <w:div w:id="1066612045">
          <w:marLeft w:val="0"/>
          <w:marRight w:val="0"/>
          <w:marTop w:val="0"/>
          <w:marBottom w:val="150"/>
          <w:divBdr>
            <w:top w:val="none" w:sz="0" w:space="0" w:color="auto"/>
            <w:left w:val="none" w:sz="0" w:space="0" w:color="auto"/>
            <w:bottom w:val="none" w:sz="0" w:space="0" w:color="auto"/>
            <w:right w:val="none" w:sz="0" w:space="0" w:color="auto"/>
          </w:divBdr>
        </w:div>
        <w:div w:id="1746804091">
          <w:marLeft w:val="0"/>
          <w:marRight w:val="0"/>
          <w:marTop w:val="0"/>
          <w:marBottom w:val="150"/>
          <w:divBdr>
            <w:top w:val="none" w:sz="0" w:space="0" w:color="auto"/>
            <w:left w:val="none" w:sz="0" w:space="0" w:color="auto"/>
            <w:bottom w:val="none" w:sz="0" w:space="0" w:color="auto"/>
            <w:right w:val="none" w:sz="0" w:space="0" w:color="auto"/>
          </w:divBdr>
        </w:div>
        <w:div w:id="1386373382">
          <w:marLeft w:val="0"/>
          <w:marRight w:val="0"/>
          <w:marTop w:val="0"/>
          <w:marBottom w:val="0"/>
          <w:divBdr>
            <w:top w:val="none" w:sz="0" w:space="0" w:color="auto"/>
            <w:left w:val="none" w:sz="0" w:space="0" w:color="auto"/>
            <w:bottom w:val="none" w:sz="0" w:space="0" w:color="auto"/>
            <w:right w:val="none" w:sz="0" w:space="0" w:color="auto"/>
          </w:divBdr>
          <w:divsChild>
            <w:div w:id="1571424382">
              <w:marLeft w:val="0"/>
              <w:marRight w:val="0"/>
              <w:marTop w:val="0"/>
              <w:marBottom w:val="0"/>
              <w:divBdr>
                <w:top w:val="none" w:sz="0" w:space="0" w:color="auto"/>
                <w:left w:val="none" w:sz="0" w:space="0" w:color="auto"/>
                <w:bottom w:val="none" w:sz="0" w:space="0" w:color="auto"/>
                <w:right w:val="none" w:sz="0" w:space="0" w:color="auto"/>
              </w:divBdr>
            </w:div>
            <w:div w:id="114963500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15675992">
      <w:bodyDiv w:val="1"/>
      <w:marLeft w:val="0"/>
      <w:marRight w:val="0"/>
      <w:marTop w:val="0"/>
      <w:marBottom w:val="0"/>
      <w:divBdr>
        <w:top w:val="none" w:sz="0" w:space="0" w:color="auto"/>
        <w:left w:val="none" w:sz="0" w:space="0" w:color="auto"/>
        <w:bottom w:val="none" w:sz="0" w:space="0" w:color="auto"/>
        <w:right w:val="none" w:sz="0" w:space="0" w:color="auto"/>
      </w:divBdr>
      <w:divsChild>
        <w:div w:id="1511917428">
          <w:marLeft w:val="0"/>
          <w:marRight w:val="0"/>
          <w:marTop w:val="0"/>
          <w:marBottom w:val="0"/>
          <w:divBdr>
            <w:top w:val="none" w:sz="0" w:space="0" w:color="auto"/>
            <w:left w:val="none" w:sz="0" w:space="0" w:color="auto"/>
            <w:bottom w:val="none" w:sz="0" w:space="0" w:color="auto"/>
            <w:right w:val="none" w:sz="0" w:space="0" w:color="auto"/>
          </w:divBdr>
          <w:divsChild>
            <w:div w:id="1826581367">
              <w:marLeft w:val="0"/>
              <w:marRight w:val="0"/>
              <w:marTop w:val="0"/>
              <w:marBottom w:val="0"/>
              <w:divBdr>
                <w:top w:val="none" w:sz="0" w:space="0" w:color="auto"/>
                <w:left w:val="none" w:sz="0" w:space="0" w:color="auto"/>
                <w:bottom w:val="none" w:sz="0" w:space="0" w:color="auto"/>
                <w:right w:val="none" w:sz="0" w:space="0" w:color="auto"/>
              </w:divBdr>
            </w:div>
          </w:divsChild>
        </w:div>
        <w:div w:id="1455561649">
          <w:marLeft w:val="0"/>
          <w:marRight w:val="0"/>
          <w:marTop w:val="0"/>
          <w:marBottom w:val="0"/>
          <w:divBdr>
            <w:top w:val="none" w:sz="0" w:space="0" w:color="auto"/>
            <w:left w:val="none" w:sz="0" w:space="0" w:color="auto"/>
            <w:bottom w:val="none" w:sz="0" w:space="0" w:color="auto"/>
            <w:right w:val="none" w:sz="0" w:space="0" w:color="auto"/>
          </w:divBdr>
          <w:divsChild>
            <w:div w:id="2140100780">
              <w:marLeft w:val="0"/>
              <w:marRight w:val="0"/>
              <w:marTop w:val="0"/>
              <w:marBottom w:val="0"/>
              <w:divBdr>
                <w:top w:val="none" w:sz="0" w:space="0" w:color="auto"/>
                <w:left w:val="none" w:sz="0" w:space="0" w:color="auto"/>
                <w:bottom w:val="none" w:sz="0" w:space="0" w:color="auto"/>
                <w:right w:val="none" w:sz="0" w:space="0" w:color="auto"/>
              </w:divBdr>
            </w:div>
          </w:divsChild>
        </w:div>
        <w:div w:id="190072728">
          <w:marLeft w:val="0"/>
          <w:marRight w:val="0"/>
          <w:marTop w:val="0"/>
          <w:marBottom w:val="0"/>
          <w:divBdr>
            <w:top w:val="none" w:sz="0" w:space="0" w:color="auto"/>
            <w:left w:val="none" w:sz="0" w:space="0" w:color="auto"/>
            <w:bottom w:val="none" w:sz="0" w:space="0" w:color="auto"/>
            <w:right w:val="none" w:sz="0" w:space="0" w:color="auto"/>
          </w:divBdr>
          <w:divsChild>
            <w:div w:id="1967656020">
              <w:marLeft w:val="0"/>
              <w:marRight w:val="0"/>
              <w:marTop w:val="0"/>
              <w:marBottom w:val="0"/>
              <w:divBdr>
                <w:top w:val="none" w:sz="0" w:space="0" w:color="auto"/>
                <w:left w:val="none" w:sz="0" w:space="0" w:color="auto"/>
                <w:bottom w:val="none" w:sz="0" w:space="0" w:color="auto"/>
                <w:right w:val="none" w:sz="0" w:space="0" w:color="auto"/>
              </w:divBdr>
            </w:div>
          </w:divsChild>
        </w:div>
        <w:div w:id="2121410984">
          <w:marLeft w:val="0"/>
          <w:marRight w:val="0"/>
          <w:marTop w:val="0"/>
          <w:marBottom w:val="0"/>
          <w:divBdr>
            <w:top w:val="none" w:sz="0" w:space="0" w:color="auto"/>
            <w:left w:val="none" w:sz="0" w:space="0" w:color="auto"/>
            <w:bottom w:val="none" w:sz="0" w:space="0" w:color="auto"/>
            <w:right w:val="none" w:sz="0" w:space="0" w:color="auto"/>
          </w:divBdr>
          <w:divsChild>
            <w:div w:id="484198385">
              <w:marLeft w:val="0"/>
              <w:marRight w:val="0"/>
              <w:marTop w:val="0"/>
              <w:marBottom w:val="0"/>
              <w:divBdr>
                <w:top w:val="none" w:sz="0" w:space="0" w:color="auto"/>
                <w:left w:val="none" w:sz="0" w:space="0" w:color="auto"/>
                <w:bottom w:val="none" w:sz="0" w:space="0" w:color="auto"/>
                <w:right w:val="none" w:sz="0" w:space="0" w:color="auto"/>
              </w:divBdr>
            </w:div>
          </w:divsChild>
        </w:div>
        <w:div w:id="1591620267">
          <w:marLeft w:val="0"/>
          <w:marRight w:val="0"/>
          <w:marTop w:val="0"/>
          <w:marBottom w:val="0"/>
          <w:divBdr>
            <w:top w:val="none" w:sz="0" w:space="0" w:color="auto"/>
            <w:left w:val="none" w:sz="0" w:space="0" w:color="auto"/>
            <w:bottom w:val="none" w:sz="0" w:space="0" w:color="auto"/>
            <w:right w:val="none" w:sz="0" w:space="0" w:color="auto"/>
          </w:divBdr>
          <w:divsChild>
            <w:div w:id="835808773">
              <w:marLeft w:val="0"/>
              <w:marRight w:val="0"/>
              <w:marTop w:val="0"/>
              <w:marBottom w:val="0"/>
              <w:divBdr>
                <w:top w:val="none" w:sz="0" w:space="0" w:color="auto"/>
                <w:left w:val="none" w:sz="0" w:space="0" w:color="auto"/>
                <w:bottom w:val="none" w:sz="0" w:space="0" w:color="auto"/>
                <w:right w:val="none" w:sz="0" w:space="0" w:color="auto"/>
              </w:divBdr>
            </w:div>
          </w:divsChild>
        </w:div>
        <w:div w:id="2072657470">
          <w:marLeft w:val="0"/>
          <w:marRight w:val="0"/>
          <w:marTop w:val="0"/>
          <w:marBottom w:val="0"/>
          <w:divBdr>
            <w:top w:val="none" w:sz="0" w:space="0" w:color="auto"/>
            <w:left w:val="none" w:sz="0" w:space="0" w:color="auto"/>
            <w:bottom w:val="none" w:sz="0" w:space="0" w:color="auto"/>
            <w:right w:val="none" w:sz="0" w:space="0" w:color="auto"/>
          </w:divBdr>
          <w:divsChild>
            <w:div w:id="1937208111">
              <w:marLeft w:val="0"/>
              <w:marRight w:val="0"/>
              <w:marTop w:val="0"/>
              <w:marBottom w:val="0"/>
              <w:divBdr>
                <w:top w:val="none" w:sz="0" w:space="0" w:color="auto"/>
                <w:left w:val="none" w:sz="0" w:space="0" w:color="auto"/>
                <w:bottom w:val="none" w:sz="0" w:space="0" w:color="auto"/>
                <w:right w:val="none" w:sz="0" w:space="0" w:color="auto"/>
              </w:divBdr>
            </w:div>
          </w:divsChild>
        </w:div>
        <w:div w:id="1433553639">
          <w:marLeft w:val="0"/>
          <w:marRight w:val="0"/>
          <w:marTop w:val="0"/>
          <w:marBottom w:val="0"/>
          <w:divBdr>
            <w:top w:val="none" w:sz="0" w:space="0" w:color="auto"/>
            <w:left w:val="none" w:sz="0" w:space="0" w:color="auto"/>
            <w:bottom w:val="none" w:sz="0" w:space="0" w:color="auto"/>
            <w:right w:val="none" w:sz="0" w:space="0" w:color="auto"/>
          </w:divBdr>
          <w:divsChild>
            <w:div w:id="1829445606">
              <w:marLeft w:val="0"/>
              <w:marRight w:val="0"/>
              <w:marTop w:val="0"/>
              <w:marBottom w:val="0"/>
              <w:divBdr>
                <w:top w:val="none" w:sz="0" w:space="0" w:color="auto"/>
                <w:left w:val="none" w:sz="0" w:space="0" w:color="auto"/>
                <w:bottom w:val="none" w:sz="0" w:space="0" w:color="auto"/>
                <w:right w:val="none" w:sz="0" w:space="0" w:color="auto"/>
              </w:divBdr>
            </w:div>
          </w:divsChild>
        </w:div>
        <w:div w:id="1391030079">
          <w:marLeft w:val="0"/>
          <w:marRight w:val="0"/>
          <w:marTop w:val="0"/>
          <w:marBottom w:val="0"/>
          <w:divBdr>
            <w:top w:val="none" w:sz="0" w:space="0" w:color="auto"/>
            <w:left w:val="none" w:sz="0" w:space="0" w:color="auto"/>
            <w:bottom w:val="none" w:sz="0" w:space="0" w:color="auto"/>
            <w:right w:val="none" w:sz="0" w:space="0" w:color="auto"/>
          </w:divBdr>
          <w:divsChild>
            <w:div w:id="320234348">
              <w:marLeft w:val="0"/>
              <w:marRight w:val="0"/>
              <w:marTop w:val="0"/>
              <w:marBottom w:val="0"/>
              <w:divBdr>
                <w:top w:val="none" w:sz="0" w:space="0" w:color="auto"/>
                <w:left w:val="none" w:sz="0" w:space="0" w:color="auto"/>
                <w:bottom w:val="none" w:sz="0" w:space="0" w:color="auto"/>
                <w:right w:val="none" w:sz="0" w:space="0" w:color="auto"/>
              </w:divBdr>
            </w:div>
          </w:divsChild>
        </w:div>
        <w:div w:id="1499880555">
          <w:marLeft w:val="0"/>
          <w:marRight w:val="0"/>
          <w:marTop w:val="0"/>
          <w:marBottom w:val="0"/>
          <w:divBdr>
            <w:top w:val="none" w:sz="0" w:space="0" w:color="auto"/>
            <w:left w:val="none" w:sz="0" w:space="0" w:color="auto"/>
            <w:bottom w:val="none" w:sz="0" w:space="0" w:color="auto"/>
            <w:right w:val="none" w:sz="0" w:space="0" w:color="auto"/>
          </w:divBdr>
          <w:divsChild>
            <w:div w:id="1594389071">
              <w:marLeft w:val="0"/>
              <w:marRight w:val="0"/>
              <w:marTop w:val="0"/>
              <w:marBottom w:val="0"/>
              <w:divBdr>
                <w:top w:val="none" w:sz="0" w:space="0" w:color="auto"/>
                <w:left w:val="none" w:sz="0" w:space="0" w:color="auto"/>
                <w:bottom w:val="none" w:sz="0" w:space="0" w:color="auto"/>
                <w:right w:val="none" w:sz="0" w:space="0" w:color="auto"/>
              </w:divBdr>
            </w:div>
          </w:divsChild>
        </w:div>
        <w:div w:id="770593136">
          <w:marLeft w:val="0"/>
          <w:marRight w:val="0"/>
          <w:marTop w:val="0"/>
          <w:marBottom w:val="0"/>
          <w:divBdr>
            <w:top w:val="none" w:sz="0" w:space="0" w:color="auto"/>
            <w:left w:val="none" w:sz="0" w:space="0" w:color="auto"/>
            <w:bottom w:val="none" w:sz="0" w:space="0" w:color="auto"/>
            <w:right w:val="none" w:sz="0" w:space="0" w:color="auto"/>
          </w:divBdr>
          <w:divsChild>
            <w:div w:id="555623438">
              <w:marLeft w:val="0"/>
              <w:marRight w:val="0"/>
              <w:marTop w:val="0"/>
              <w:marBottom w:val="0"/>
              <w:divBdr>
                <w:top w:val="none" w:sz="0" w:space="0" w:color="auto"/>
                <w:left w:val="none" w:sz="0" w:space="0" w:color="auto"/>
                <w:bottom w:val="none" w:sz="0" w:space="0" w:color="auto"/>
                <w:right w:val="none" w:sz="0" w:space="0" w:color="auto"/>
              </w:divBdr>
            </w:div>
          </w:divsChild>
        </w:div>
        <w:div w:id="674723195">
          <w:marLeft w:val="0"/>
          <w:marRight w:val="0"/>
          <w:marTop w:val="0"/>
          <w:marBottom w:val="0"/>
          <w:divBdr>
            <w:top w:val="none" w:sz="0" w:space="0" w:color="auto"/>
            <w:left w:val="none" w:sz="0" w:space="0" w:color="auto"/>
            <w:bottom w:val="none" w:sz="0" w:space="0" w:color="auto"/>
            <w:right w:val="none" w:sz="0" w:space="0" w:color="auto"/>
          </w:divBdr>
          <w:divsChild>
            <w:div w:id="1289701345">
              <w:marLeft w:val="0"/>
              <w:marRight w:val="0"/>
              <w:marTop w:val="0"/>
              <w:marBottom w:val="0"/>
              <w:divBdr>
                <w:top w:val="none" w:sz="0" w:space="0" w:color="auto"/>
                <w:left w:val="none" w:sz="0" w:space="0" w:color="auto"/>
                <w:bottom w:val="none" w:sz="0" w:space="0" w:color="auto"/>
                <w:right w:val="none" w:sz="0" w:space="0" w:color="auto"/>
              </w:divBdr>
            </w:div>
          </w:divsChild>
        </w:div>
        <w:div w:id="824392635">
          <w:marLeft w:val="0"/>
          <w:marRight w:val="0"/>
          <w:marTop w:val="0"/>
          <w:marBottom w:val="0"/>
          <w:divBdr>
            <w:top w:val="none" w:sz="0" w:space="0" w:color="auto"/>
            <w:left w:val="none" w:sz="0" w:space="0" w:color="auto"/>
            <w:bottom w:val="none" w:sz="0" w:space="0" w:color="auto"/>
            <w:right w:val="none" w:sz="0" w:space="0" w:color="auto"/>
          </w:divBdr>
          <w:divsChild>
            <w:div w:id="428700234">
              <w:marLeft w:val="0"/>
              <w:marRight w:val="0"/>
              <w:marTop w:val="0"/>
              <w:marBottom w:val="0"/>
              <w:divBdr>
                <w:top w:val="none" w:sz="0" w:space="0" w:color="auto"/>
                <w:left w:val="none" w:sz="0" w:space="0" w:color="auto"/>
                <w:bottom w:val="none" w:sz="0" w:space="0" w:color="auto"/>
                <w:right w:val="none" w:sz="0" w:space="0" w:color="auto"/>
              </w:divBdr>
            </w:div>
          </w:divsChild>
        </w:div>
        <w:div w:id="897790421">
          <w:marLeft w:val="0"/>
          <w:marRight w:val="0"/>
          <w:marTop w:val="0"/>
          <w:marBottom w:val="0"/>
          <w:divBdr>
            <w:top w:val="none" w:sz="0" w:space="0" w:color="auto"/>
            <w:left w:val="none" w:sz="0" w:space="0" w:color="auto"/>
            <w:bottom w:val="none" w:sz="0" w:space="0" w:color="auto"/>
            <w:right w:val="none" w:sz="0" w:space="0" w:color="auto"/>
          </w:divBdr>
          <w:divsChild>
            <w:div w:id="6058951">
              <w:marLeft w:val="0"/>
              <w:marRight w:val="0"/>
              <w:marTop w:val="0"/>
              <w:marBottom w:val="0"/>
              <w:divBdr>
                <w:top w:val="none" w:sz="0" w:space="0" w:color="auto"/>
                <w:left w:val="none" w:sz="0" w:space="0" w:color="auto"/>
                <w:bottom w:val="none" w:sz="0" w:space="0" w:color="auto"/>
                <w:right w:val="none" w:sz="0" w:space="0" w:color="auto"/>
              </w:divBdr>
            </w:div>
          </w:divsChild>
        </w:div>
        <w:div w:id="352539333">
          <w:marLeft w:val="0"/>
          <w:marRight w:val="0"/>
          <w:marTop w:val="0"/>
          <w:marBottom w:val="0"/>
          <w:divBdr>
            <w:top w:val="none" w:sz="0" w:space="0" w:color="auto"/>
            <w:left w:val="none" w:sz="0" w:space="0" w:color="auto"/>
            <w:bottom w:val="none" w:sz="0" w:space="0" w:color="auto"/>
            <w:right w:val="none" w:sz="0" w:space="0" w:color="auto"/>
          </w:divBdr>
          <w:divsChild>
            <w:div w:id="1479034468">
              <w:marLeft w:val="0"/>
              <w:marRight w:val="0"/>
              <w:marTop w:val="0"/>
              <w:marBottom w:val="0"/>
              <w:divBdr>
                <w:top w:val="none" w:sz="0" w:space="0" w:color="auto"/>
                <w:left w:val="none" w:sz="0" w:space="0" w:color="auto"/>
                <w:bottom w:val="none" w:sz="0" w:space="0" w:color="auto"/>
                <w:right w:val="none" w:sz="0" w:space="0" w:color="auto"/>
              </w:divBdr>
            </w:div>
          </w:divsChild>
        </w:div>
        <w:div w:id="60180139">
          <w:marLeft w:val="0"/>
          <w:marRight w:val="0"/>
          <w:marTop w:val="0"/>
          <w:marBottom w:val="0"/>
          <w:divBdr>
            <w:top w:val="none" w:sz="0" w:space="0" w:color="auto"/>
            <w:left w:val="none" w:sz="0" w:space="0" w:color="auto"/>
            <w:bottom w:val="none" w:sz="0" w:space="0" w:color="auto"/>
            <w:right w:val="none" w:sz="0" w:space="0" w:color="auto"/>
          </w:divBdr>
          <w:divsChild>
            <w:div w:id="1757555448">
              <w:marLeft w:val="0"/>
              <w:marRight w:val="0"/>
              <w:marTop w:val="0"/>
              <w:marBottom w:val="0"/>
              <w:divBdr>
                <w:top w:val="none" w:sz="0" w:space="0" w:color="auto"/>
                <w:left w:val="none" w:sz="0" w:space="0" w:color="auto"/>
                <w:bottom w:val="none" w:sz="0" w:space="0" w:color="auto"/>
                <w:right w:val="none" w:sz="0" w:space="0" w:color="auto"/>
              </w:divBdr>
            </w:div>
          </w:divsChild>
        </w:div>
        <w:div w:id="1607035636">
          <w:marLeft w:val="0"/>
          <w:marRight w:val="0"/>
          <w:marTop w:val="0"/>
          <w:marBottom w:val="0"/>
          <w:divBdr>
            <w:top w:val="none" w:sz="0" w:space="0" w:color="auto"/>
            <w:left w:val="none" w:sz="0" w:space="0" w:color="auto"/>
            <w:bottom w:val="none" w:sz="0" w:space="0" w:color="auto"/>
            <w:right w:val="none" w:sz="0" w:space="0" w:color="auto"/>
          </w:divBdr>
          <w:divsChild>
            <w:div w:id="493956438">
              <w:marLeft w:val="0"/>
              <w:marRight w:val="0"/>
              <w:marTop w:val="0"/>
              <w:marBottom w:val="0"/>
              <w:divBdr>
                <w:top w:val="none" w:sz="0" w:space="0" w:color="auto"/>
                <w:left w:val="none" w:sz="0" w:space="0" w:color="auto"/>
                <w:bottom w:val="none" w:sz="0" w:space="0" w:color="auto"/>
                <w:right w:val="none" w:sz="0" w:space="0" w:color="auto"/>
              </w:divBdr>
            </w:div>
          </w:divsChild>
        </w:div>
        <w:div w:id="555354643">
          <w:marLeft w:val="0"/>
          <w:marRight w:val="0"/>
          <w:marTop w:val="0"/>
          <w:marBottom w:val="0"/>
          <w:divBdr>
            <w:top w:val="none" w:sz="0" w:space="0" w:color="auto"/>
            <w:left w:val="none" w:sz="0" w:space="0" w:color="auto"/>
            <w:bottom w:val="none" w:sz="0" w:space="0" w:color="auto"/>
            <w:right w:val="none" w:sz="0" w:space="0" w:color="auto"/>
          </w:divBdr>
          <w:divsChild>
            <w:div w:id="1158889280">
              <w:marLeft w:val="0"/>
              <w:marRight w:val="0"/>
              <w:marTop w:val="0"/>
              <w:marBottom w:val="0"/>
              <w:divBdr>
                <w:top w:val="none" w:sz="0" w:space="0" w:color="auto"/>
                <w:left w:val="none" w:sz="0" w:space="0" w:color="auto"/>
                <w:bottom w:val="none" w:sz="0" w:space="0" w:color="auto"/>
                <w:right w:val="none" w:sz="0" w:space="0" w:color="auto"/>
              </w:divBdr>
            </w:div>
          </w:divsChild>
        </w:div>
        <w:div w:id="1471702348">
          <w:marLeft w:val="0"/>
          <w:marRight w:val="0"/>
          <w:marTop w:val="0"/>
          <w:marBottom w:val="0"/>
          <w:divBdr>
            <w:top w:val="none" w:sz="0" w:space="0" w:color="auto"/>
            <w:left w:val="none" w:sz="0" w:space="0" w:color="auto"/>
            <w:bottom w:val="none" w:sz="0" w:space="0" w:color="auto"/>
            <w:right w:val="none" w:sz="0" w:space="0" w:color="auto"/>
          </w:divBdr>
          <w:divsChild>
            <w:div w:id="8026960">
              <w:marLeft w:val="0"/>
              <w:marRight w:val="0"/>
              <w:marTop w:val="0"/>
              <w:marBottom w:val="0"/>
              <w:divBdr>
                <w:top w:val="none" w:sz="0" w:space="0" w:color="auto"/>
                <w:left w:val="none" w:sz="0" w:space="0" w:color="auto"/>
                <w:bottom w:val="none" w:sz="0" w:space="0" w:color="auto"/>
                <w:right w:val="none" w:sz="0" w:space="0" w:color="auto"/>
              </w:divBdr>
            </w:div>
          </w:divsChild>
        </w:div>
        <w:div w:id="500856338">
          <w:marLeft w:val="0"/>
          <w:marRight w:val="0"/>
          <w:marTop w:val="0"/>
          <w:marBottom w:val="0"/>
          <w:divBdr>
            <w:top w:val="none" w:sz="0" w:space="0" w:color="auto"/>
            <w:left w:val="none" w:sz="0" w:space="0" w:color="auto"/>
            <w:bottom w:val="none" w:sz="0" w:space="0" w:color="auto"/>
            <w:right w:val="none" w:sz="0" w:space="0" w:color="auto"/>
          </w:divBdr>
          <w:divsChild>
            <w:div w:id="991955662">
              <w:marLeft w:val="0"/>
              <w:marRight w:val="0"/>
              <w:marTop w:val="0"/>
              <w:marBottom w:val="0"/>
              <w:divBdr>
                <w:top w:val="none" w:sz="0" w:space="0" w:color="auto"/>
                <w:left w:val="none" w:sz="0" w:space="0" w:color="auto"/>
                <w:bottom w:val="none" w:sz="0" w:space="0" w:color="auto"/>
                <w:right w:val="none" w:sz="0" w:space="0" w:color="auto"/>
              </w:divBdr>
            </w:div>
          </w:divsChild>
        </w:div>
        <w:div w:id="1884978159">
          <w:marLeft w:val="0"/>
          <w:marRight w:val="0"/>
          <w:marTop w:val="0"/>
          <w:marBottom w:val="0"/>
          <w:divBdr>
            <w:top w:val="none" w:sz="0" w:space="0" w:color="auto"/>
            <w:left w:val="none" w:sz="0" w:space="0" w:color="auto"/>
            <w:bottom w:val="none" w:sz="0" w:space="0" w:color="auto"/>
            <w:right w:val="none" w:sz="0" w:space="0" w:color="auto"/>
          </w:divBdr>
          <w:divsChild>
            <w:div w:id="773407551">
              <w:marLeft w:val="0"/>
              <w:marRight w:val="0"/>
              <w:marTop w:val="0"/>
              <w:marBottom w:val="0"/>
              <w:divBdr>
                <w:top w:val="none" w:sz="0" w:space="0" w:color="auto"/>
                <w:left w:val="none" w:sz="0" w:space="0" w:color="auto"/>
                <w:bottom w:val="none" w:sz="0" w:space="0" w:color="auto"/>
                <w:right w:val="none" w:sz="0" w:space="0" w:color="auto"/>
              </w:divBdr>
            </w:div>
          </w:divsChild>
        </w:div>
        <w:div w:id="1221097024">
          <w:marLeft w:val="0"/>
          <w:marRight w:val="0"/>
          <w:marTop w:val="0"/>
          <w:marBottom w:val="0"/>
          <w:divBdr>
            <w:top w:val="none" w:sz="0" w:space="0" w:color="auto"/>
            <w:left w:val="none" w:sz="0" w:space="0" w:color="auto"/>
            <w:bottom w:val="none" w:sz="0" w:space="0" w:color="auto"/>
            <w:right w:val="none" w:sz="0" w:space="0" w:color="auto"/>
          </w:divBdr>
          <w:divsChild>
            <w:div w:id="979842380">
              <w:marLeft w:val="0"/>
              <w:marRight w:val="0"/>
              <w:marTop w:val="0"/>
              <w:marBottom w:val="0"/>
              <w:divBdr>
                <w:top w:val="none" w:sz="0" w:space="0" w:color="auto"/>
                <w:left w:val="none" w:sz="0" w:space="0" w:color="auto"/>
                <w:bottom w:val="none" w:sz="0" w:space="0" w:color="auto"/>
                <w:right w:val="none" w:sz="0" w:space="0" w:color="auto"/>
              </w:divBdr>
            </w:div>
          </w:divsChild>
        </w:div>
        <w:div w:id="792479378">
          <w:marLeft w:val="0"/>
          <w:marRight w:val="0"/>
          <w:marTop w:val="0"/>
          <w:marBottom w:val="0"/>
          <w:divBdr>
            <w:top w:val="none" w:sz="0" w:space="0" w:color="auto"/>
            <w:left w:val="none" w:sz="0" w:space="0" w:color="auto"/>
            <w:bottom w:val="none" w:sz="0" w:space="0" w:color="auto"/>
            <w:right w:val="none" w:sz="0" w:space="0" w:color="auto"/>
          </w:divBdr>
          <w:divsChild>
            <w:div w:id="373190949">
              <w:marLeft w:val="0"/>
              <w:marRight w:val="0"/>
              <w:marTop w:val="0"/>
              <w:marBottom w:val="0"/>
              <w:divBdr>
                <w:top w:val="none" w:sz="0" w:space="0" w:color="auto"/>
                <w:left w:val="none" w:sz="0" w:space="0" w:color="auto"/>
                <w:bottom w:val="none" w:sz="0" w:space="0" w:color="auto"/>
                <w:right w:val="none" w:sz="0" w:space="0" w:color="auto"/>
              </w:divBdr>
            </w:div>
          </w:divsChild>
        </w:div>
        <w:div w:id="632176284">
          <w:marLeft w:val="0"/>
          <w:marRight w:val="0"/>
          <w:marTop w:val="0"/>
          <w:marBottom w:val="0"/>
          <w:divBdr>
            <w:top w:val="none" w:sz="0" w:space="0" w:color="auto"/>
            <w:left w:val="none" w:sz="0" w:space="0" w:color="auto"/>
            <w:bottom w:val="none" w:sz="0" w:space="0" w:color="auto"/>
            <w:right w:val="none" w:sz="0" w:space="0" w:color="auto"/>
          </w:divBdr>
          <w:divsChild>
            <w:div w:id="2018582745">
              <w:marLeft w:val="0"/>
              <w:marRight w:val="0"/>
              <w:marTop w:val="0"/>
              <w:marBottom w:val="0"/>
              <w:divBdr>
                <w:top w:val="none" w:sz="0" w:space="0" w:color="auto"/>
                <w:left w:val="none" w:sz="0" w:space="0" w:color="auto"/>
                <w:bottom w:val="none" w:sz="0" w:space="0" w:color="auto"/>
                <w:right w:val="none" w:sz="0" w:space="0" w:color="auto"/>
              </w:divBdr>
            </w:div>
          </w:divsChild>
        </w:div>
        <w:div w:id="356858271">
          <w:marLeft w:val="0"/>
          <w:marRight w:val="0"/>
          <w:marTop w:val="0"/>
          <w:marBottom w:val="0"/>
          <w:divBdr>
            <w:top w:val="none" w:sz="0" w:space="0" w:color="auto"/>
            <w:left w:val="none" w:sz="0" w:space="0" w:color="auto"/>
            <w:bottom w:val="none" w:sz="0" w:space="0" w:color="auto"/>
            <w:right w:val="none" w:sz="0" w:space="0" w:color="auto"/>
          </w:divBdr>
          <w:divsChild>
            <w:div w:id="2130732116">
              <w:marLeft w:val="0"/>
              <w:marRight w:val="0"/>
              <w:marTop w:val="0"/>
              <w:marBottom w:val="0"/>
              <w:divBdr>
                <w:top w:val="none" w:sz="0" w:space="0" w:color="auto"/>
                <w:left w:val="none" w:sz="0" w:space="0" w:color="auto"/>
                <w:bottom w:val="none" w:sz="0" w:space="0" w:color="auto"/>
                <w:right w:val="none" w:sz="0" w:space="0" w:color="auto"/>
              </w:divBdr>
            </w:div>
          </w:divsChild>
        </w:div>
        <w:div w:id="1821845417">
          <w:marLeft w:val="0"/>
          <w:marRight w:val="0"/>
          <w:marTop w:val="0"/>
          <w:marBottom w:val="0"/>
          <w:divBdr>
            <w:top w:val="none" w:sz="0" w:space="0" w:color="auto"/>
            <w:left w:val="none" w:sz="0" w:space="0" w:color="auto"/>
            <w:bottom w:val="none" w:sz="0" w:space="0" w:color="auto"/>
            <w:right w:val="none" w:sz="0" w:space="0" w:color="auto"/>
          </w:divBdr>
          <w:divsChild>
            <w:div w:id="844973567">
              <w:marLeft w:val="0"/>
              <w:marRight w:val="0"/>
              <w:marTop w:val="0"/>
              <w:marBottom w:val="0"/>
              <w:divBdr>
                <w:top w:val="none" w:sz="0" w:space="0" w:color="auto"/>
                <w:left w:val="none" w:sz="0" w:space="0" w:color="auto"/>
                <w:bottom w:val="none" w:sz="0" w:space="0" w:color="auto"/>
                <w:right w:val="none" w:sz="0" w:space="0" w:color="auto"/>
              </w:divBdr>
            </w:div>
          </w:divsChild>
        </w:div>
        <w:div w:id="1816410148">
          <w:marLeft w:val="0"/>
          <w:marRight w:val="0"/>
          <w:marTop w:val="0"/>
          <w:marBottom w:val="0"/>
          <w:divBdr>
            <w:top w:val="none" w:sz="0" w:space="0" w:color="auto"/>
            <w:left w:val="none" w:sz="0" w:space="0" w:color="auto"/>
            <w:bottom w:val="none" w:sz="0" w:space="0" w:color="auto"/>
            <w:right w:val="none" w:sz="0" w:space="0" w:color="auto"/>
          </w:divBdr>
          <w:divsChild>
            <w:div w:id="147787700">
              <w:marLeft w:val="0"/>
              <w:marRight w:val="0"/>
              <w:marTop w:val="0"/>
              <w:marBottom w:val="0"/>
              <w:divBdr>
                <w:top w:val="none" w:sz="0" w:space="0" w:color="auto"/>
                <w:left w:val="none" w:sz="0" w:space="0" w:color="auto"/>
                <w:bottom w:val="none" w:sz="0" w:space="0" w:color="auto"/>
                <w:right w:val="none" w:sz="0" w:space="0" w:color="auto"/>
              </w:divBdr>
            </w:div>
          </w:divsChild>
        </w:div>
        <w:div w:id="1531142787">
          <w:marLeft w:val="0"/>
          <w:marRight w:val="0"/>
          <w:marTop w:val="0"/>
          <w:marBottom w:val="0"/>
          <w:divBdr>
            <w:top w:val="none" w:sz="0" w:space="0" w:color="auto"/>
            <w:left w:val="none" w:sz="0" w:space="0" w:color="auto"/>
            <w:bottom w:val="none" w:sz="0" w:space="0" w:color="auto"/>
            <w:right w:val="none" w:sz="0" w:space="0" w:color="auto"/>
          </w:divBdr>
          <w:divsChild>
            <w:div w:id="1436902363">
              <w:marLeft w:val="0"/>
              <w:marRight w:val="0"/>
              <w:marTop w:val="0"/>
              <w:marBottom w:val="0"/>
              <w:divBdr>
                <w:top w:val="none" w:sz="0" w:space="0" w:color="auto"/>
                <w:left w:val="none" w:sz="0" w:space="0" w:color="auto"/>
                <w:bottom w:val="none" w:sz="0" w:space="0" w:color="auto"/>
                <w:right w:val="none" w:sz="0" w:space="0" w:color="auto"/>
              </w:divBdr>
            </w:div>
          </w:divsChild>
        </w:div>
        <w:div w:id="1133250647">
          <w:marLeft w:val="0"/>
          <w:marRight w:val="0"/>
          <w:marTop w:val="0"/>
          <w:marBottom w:val="0"/>
          <w:divBdr>
            <w:top w:val="none" w:sz="0" w:space="0" w:color="auto"/>
            <w:left w:val="none" w:sz="0" w:space="0" w:color="auto"/>
            <w:bottom w:val="none" w:sz="0" w:space="0" w:color="auto"/>
            <w:right w:val="none" w:sz="0" w:space="0" w:color="auto"/>
          </w:divBdr>
          <w:divsChild>
            <w:div w:id="1607884708">
              <w:marLeft w:val="0"/>
              <w:marRight w:val="0"/>
              <w:marTop w:val="0"/>
              <w:marBottom w:val="0"/>
              <w:divBdr>
                <w:top w:val="none" w:sz="0" w:space="0" w:color="auto"/>
                <w:left w:val="none" w:sz="0" w:space="0" w:color="auto"/>
                <w:bottom w:val="none" w:sz="0" w:space="0" w:color="auto"/>
                <w:right w:val="none" w:sz="0" w:space="0" w:color="auto"/>
              </w:divBdr>
            </w:div>
          </w:divsChild>
        </w:div>
        <w:div w:id="433980476">
          <w:marLeft w:val="0"/>
          <w:marRight w:val="0"/>
          <w:marTop w:val="0"/>
          <w:marBottom w:val="0"/>
          <w:divBdr>
            <w:top w:val="none" w:sz="0" w:space="0" w:color="auto"/>
            <w:left w:val="none" w:sz="0" w:space="0" w:color="auto"/>
            <w:bottom w:val="none" w:sz="0" w:space="0" w:color="auto"/>
            <w:right w:val="none" w:sz="0" w:space="0" w:color="auto"/>
          </w:divBdr>
          <w:divsChild>
            <w:div w:id="204761843">
              <w:marLeft w:val="0"/>
              <w:marRight w:val="0"/>
              <w:marTop w:val="0"/>
              <w:marBottom w:val="0"/>
              <w:divBdr>
                <w:top w:val="none" w:sz="0" w:space="0" w:color="auto"/>
                <w:left w:val="none" w:sz="0" w:space="0" w:color="auto"/>
                <w:bottom w:val="none" w:sz="0" w:space="0" w:color="auto"/>
                <w:right w:val="none" w:sz="0" w:space="0" w:color="auto"/>
              </w:divBdr>
            </w:div>
          </w:divsChild>
        </w:div>
        <w:div w:id="361592818">
          <w:marLeft w:val="0"/>
          <w:marRight w:val="0"/>
          <w:marTop w:val="0"/>
          <w:marBottom w:val="0"/>
          <w:divBdr>
            <w:top w:val="none" w:sz="0" w:space="0" w:color="auto"/>
            <w:left w:val="none" w:sz="0" w:space="0" w:color="auto"/>
            <w:bottom w:val="none" w:sz="0" w:space="0" w:color="auto"/>
            <w:right w:val="none" w:sz="0" w:space="0" w:color="auto"/>
          </w:divBdr>
          <w:divsChild>
            <w:div w:id="2099405037">
              <w:marLeft w:val="0"/>
              <w:marRight w:val="0"/>
              <w:marTop w:val="0"/>
              <w:marBottom w:val="0"/>
              <w:divBdr>
                <w:top w:val="none" w:sz="0" w:space="0" w:color="auto"/>
                <w:left w:val="none" w:sz="0" w:space="0" w:color="auto"/>
                <w:bottom w:val="none" w:sz="0" w:space="0" w:color="auto"/>
                <w:right w:val="none" w:sz="0" w:space="0" w:color="auto"/>
              </w:divBdr>
            </w:div>
          </w:divsChild>
        </w:div>
        <w:div w:id="1016427116">
          <w:marLeft w:val="0"/>
          <w:marRight w:val="0"/>
          <w:marTop w:val="0"/>
          <w:marBottom w:val="0"/>
          <w:divBdr>
            <w:top w:val="none" w:sz="0" w:space="0" w:color="auto"/>
            <w:left w:val="none" w:sz="0" w:space="0" w:color="auto"/>
            <w:bottom w:val="none" w:sz="0" w:space="0" w:color="auto"/>
            <w:right w:val="none" w:sz="0" w:space="0" w:color="auto"/>
          </w:divBdr>
          <w:divsChild>
            <w:div w:id="969552044">
              <w:marLeft w:val="0"/>
              <w:marRight w:val="0"/>
              <w:marTop w:val="0"/>
              <w:marBottom w:val="0"/>
              <w:divBdr>
                <w:top w:val="none" w:sz="0" w:space="0" w:color="auto"/>
                <w:left w:val="none" w:sz="0" w:space="0" w:color="auto"/>
                <w:bottom w:val="none" w:sz="0" w:space="0" w:color="auto"/>
                <w:right w:val="none" w:sz="0" w:space="0" w:color="auto"/>
              </w:divBdr>
            </w:div>
          </w:divsChild>
        </w:div>
        <w:div w:id="1564606791">
          <w:marLeft w:val="0"/>
          <w:marRight w:val="0"/>
          <w:marTop w:val="0"/>
          <w:marBottom w:val="0"/>
          <w:divBdr>
            <w:top w:val="none" w:sz="0" w:space="0" w:color="auto"/>
            <w:left w:val="none" w:sz="0" w:space="0" w:color="auto"/>
            <w:bottom w:val="none" w:sz="0" w:space="0" w:color="auto"/>
            <w:right w:val="none" w:sz="0" w:space="0" w:color="auto"/>
          </w:divBdr>
          <w:divsChild>
            <w:div w:id="1032462104">
              <w:marLeft w:val="0"/>
              <w:marRight w:val="0"/>
              <w:marTop w:val="0"/>
              <w:marBottom w:val="0"/>
              <w:divBdr>
                <w:top w:val="none" w:sz="0" w:space="0" w:color="auto"/>
                <w:left w:val="none" w:sz="0" w:space="0" w:color="auto"/>
                <w:bottom w:val="none" w:sz="0" w:space="0" w:color="auto"/>
                <w:right w:val="none" w:sz="0" w:space="0" w:color="auto"/>
              </w:divBdr>
            </w:div>
          </w:divsChild>
        </w:div>
        <w:div w:id="765616309">
          <w:marLeft w:val="0"/>
          <w:marRight w:val="0"/>
          <w:marTop w:val="0"/>
          <w:marBottom w:val="0"/>
          <w:divBdr>
            <w:top w:val="none" w:sz="0" w:space="0" w:color="auto"/>
            <w:left w:val="none" w:sz="0" w:space="0" w:color="auto"/>
            <w:bottom w:val="none" w:sz="0" w:space="0" w:color="auto"/>
            <w:right w:val="none" w:sz="0" w:space="0" w:color="auto"/>
          </w:divBdr>
          <w:divsChild>
            <w:div w:id="233930021">
              <w:marLeft w:val="0"/>
              <w:marRight w:val="0"/>
              <w:marTop w:val="0"/>
              <w:marBottom w:val="0"/>
              <w:divBdr>
                <w:top w:val="none" w:sz="0" w:space="0" w:color="auto"/>
                <w:left w:val="none" w:sz="0" w:space="0" w:color="auto"/>
                <w:bottom w:val="none" w:sz="0" w:space="0" w:color="auto"/>
                <w:right w:val="none" w:sz="0" w:space="0" w:color="auto"/>
              </w:divBdr>
            </w:div>
          </w:divsChild>
        </w:div>
        <w:div w:id="479033693">
          <w:marLeft w:val="0"/>
          <w:marRight w:val="0"/>
          <w:marTop w:val="0"/>
          <w:marBottom w:val="0"/>
          <w:divBdr>
            <w:top w:val="none" w:sz="0" w:space="0" w:color="auto"/>
            <w:left w:val="none" w:sz="0" w:space="0" w:color="auto"/>
            <w:bottom w:val="none" w:sz="0" w:space="0" w:color="auto"/>
            <w:right w:val="none" w:sz="0" w:space="0" w:color="auto"/>
          </w:divBdr>
          <w:divsChild>
            <w:div w:id="494610485">
              <w:marLeft w:val="0"/>
              <w:marRight w:val="0"/>
              <w:marTop w:val="0"/>
              <w:marBottom w:val="0"/>
              <w:divBdr>
                <w:top w:val="none" w:sz="0" w:space="0" w:color="auto"/>
                <w:left w:val="none" w:sz="0" w:space="0" w:color="auto"/>
                <w:bottom w:val="none" w:sz="0" w:space="0" w:color="auto"/>
                <w:right w:val="none" w:sz="0" w:space="0" w:color="auto"/>
              </w:divBdr>
            </w:div>
          </w:divsChild>
        </w:div>
        <w:div w:id="712929091">
          <w:marLeft w:val="0"/>
          <w:marRight w:val="0"/>
          <w:marTop w:val="0"/>
          <w:marBottom w:val="0"/>
          <w:divBdr>
            <w:top w:val="none" w:sz="0" w:space="0" w:color="auto"/>
            <w:left w:val="none" w:sz="0" w:space="0" w:color="auto"/>
            <w:bottom w:val="none" w:sz="0" w:space="0" w:color="auto"/>
            <w:right w:val="none" w:sz="0" w:space="0" w:color="auto"/>
          </w:divBdr>
          <w:divsChild>
            <w:div w:id="571814249">
              <w:marLeft w:val="0"/>
              <w:marRight w:val="0"/>
              <w:marTop w:val="0"/>
              <w:marBottom w:val="0"/>
              <w:divBdr>
                <w:top w:val="none" w:sz="0" w:space="0" w:color="auto"/>
                <w:left w:val="none" w:sz="0" w:space="0" w:color="auto"/>
                <w:bottom w:val="none" w:sz="0" w:space="0" w:color="auto"/>
                <w:right w:val="none" w:sz="0" w:space="0" w:color="auto"/>
              </w:divBdr>
            </w:div>
          </w:divsChild>
        </w:div>
        <w:div w:id="1050298976">
          <w:marLeft w:val="0"/>
          <w:marRight w:val="0"/>
          <w:marTop w:val="0"/>
          <w:marBottom w:val="0"/>
          <w:divBdr>
            <w:top w:val="none" w:sz="0" w:space="0" w:color="auto"/>
            <w:left w:val="none" w:sz="0" w:space="0" w:color="auto"/>
            <w:bottom w:val="none" w:sz="0" w:space="0" w:color="auto"/>
            <w:right w:val="none" w:sz="0" w:space="0" w:color="auto"/>
          </w:divBdr>
          <w:divsChild>
            <w:div w:id="3592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4201913000005089"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relatoria.colombiacompra.gov.co/ficha/4201913000005089" TargetMode="External"/><Relationship Id="rId5" Type="http://schemas.openxmlformats.org/officeDocument/2006/relationships/styles" Target="styles.xml"/><Relationship Id="rId10" Type="http://schemas.openxmlformats.org/officeDocument/2006/relationships/hyperlink" Target="http://relatoria.colombiacompra.gov.co/ficha/4201913000005089" TargetMode="External"/><Relationship Id="rId4" Type="http://schemas.openxmlformats.org/officeDocument/2006/relationships/numbering" Target="numbering.xml"/><Relationship Id="rId9" Type="http://schemas.openxmlformats.org/officeDocument/2006/relationships/hyperlink" Target="http://relatoria.colombiacompra.gov.co/ficha/420191300000508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F698097-6561-468F-9955-DCA64FC7C5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EF276A-2E13-4F85-81AB-F648BA8206E2}">
  <ds:schemaRefs>
    <ds:schemaRef ds:uri="http://schemas.microsoft.com/sharepoint/v3/contenttype/forms"/>
  </ds:schemaRefs>
</ds:datastoreItem>
</file>

<file path=customXml/itemProps3.xml><?xml version="1.0" encoding="utf-8"?>
<ds:datastoreItem xmlns:ds="http://schemas.openxmlformats.org/officeDocument/2006/customXml" ds:itemID="{04BB508F-8732-4958-BAAB-9BFBCD1E0755}">
  <ds:schemaRefs>
    <ds:schemaRef ds:uri="http://schemas.microsoft.com/office/2006/metadata/properties"/>
    <ds:schemaRef ds:uri="http://purl.org/dc/dcmitype/"/>
    <ds:schemaRef ds:uri="9d85dbaf-23eb-4e57-a637-93dcacc8b1a1"/>
    <ds:schemaRef ds:uri="http://schemas.microsoft.com/office/2006/documentManagement/types"/>
    <ds:schemaRef ds:uri="http://purl.org/dc/terms/"/>
    <ds:schemaRef ds:uri="http://www.w3.org/XML/1998/namespace"/>
    <ds:schemaRef ds:uri="a6cb9e4b-f1d1-4245-83ec-6cad768d538a"/>
    <ds:schemaRef ds:uri="http://schemas.microsoft.com/office/infopath/2007/PartnerControls"/>
    <ds:schemaRef ds:uri="http://schemas.openxmlformats.org/package/2006/metadata/core-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22269</Words>
  <Characters>122481</Characters>
  <Application>Microsoft Office Word</Application>
  <DocSecurity>0</DocSecurity>
  <Lines>1020</Lines>
  <Paragraphs>288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Edwin Johan Chocontá Quintero</cp:lastModifiedBy>
  <cp:revision>2</cp:revision>
  <dcterms:created xsi:type="dcterms:W3CDTF">2022-08-08T15:41:00Z</dcterms:created>
  <dcterms:modified xsi:type="dcterms:W3CDTF">2022-08-08T15:41:00Z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