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D01FA" w14:textId="3A560DF6" w:rsidR="12B98272" w:rsidRDefault="12B98272" w:rsidP="12B98272">
      <w:pPr>
        <w:spacing w:after="0" w:line="240" w:lineRule="auto"/>
        <w:ind w:left="1701" w:right="1581"/>
        <w:jc w:val="both"/>
        <w:rPr>
          <w:rFonts w:ascii="Arial" w:eastAsia="Arial" w:hAnsi="Arial" w:cs="Arial"/>
          <w:b/>
          <w:bCs/>
          <w:color w:val="FF0000"/>
          <w:sz w:val="20"/>
          <w:szCs w:val="20"/>
        </w:rPr>
      </w:pPr>
    </w:p>
    <w:p w14:paraId="0562148F" w14:textId="5524F712" w:rsidR="007F1A19" w:rsidRDefault="007F1A19" w:rsidP="007F1A19">
      <w:pPr>
        <w:spacing w:after="0" w:line="240" w:lineRule="auto"/>
        <w:ind w:left="1701" w:right="1581"/>
        <w:jc w:val="both"/>
        <w:rPr>
          <w:rFonts w:ascii="Arial" w:eastAsia="Arial" w:hAnsi="Arial" w:cs="Arial"/>
          <w:color w:val="FF0000"/>
          <w:sz w:val="20"/>
          <w:szCs w:val="20"/>
        </w:rPr>
      </w:pPr>
      <w:bookmarkStart w:id="0" w:name="_Hlk48988720"/>
      <w:bookmarkStart w:id="1" w:name="_Hlk46840473"/>
      <w:r w:rsidRPr="00CD3860">
        <w:rPr>
          <w:rFonts w:ascii="Arial" w:eastAsia="Arial" w:hAnsi="Arial" w:cs="Arial"/>
          <w:b/>
          <w:bCs/>
          <w:color w:val="FF0000"/>
          <w:sz w:val="20"/>
          <w:szCs w:val="20"/>
        </w:rPr>
        <w:t>Nota:</w:t>
      </w:r>
      <w:r w:rsidRPr="000B24CB">
        <w:rPr>
          <w:rFonts w:ascii="Arial" w:eastAsia="Arial" w:hAnsi="Arial" w:cs="Arial"/>
          <w:color w:val="FF0000"/>
          <w:sz w:val="20"/>
          <w:szCs w:val="20"/>
        </w:rPr>
        <w:t xml:space="preserve"> </w:t>
      </w:r>
      <w:r>
        <w:rPr>
          <w:rFonts w:ascii="Arial" w:eastAsia="Arial" w:hAnsi="Arial" w:cs="Arial"/>
          <w:color w:val="FF0000"/>
          <w:sz w:val="20"/>
          <w:szCs w:val="20"/>
        </w:rPr>
        <w:t xml:space="preserve">la siguiente norma se trascribe completa, pero de ella </w:t>
      </w:r>
      <w:r w:rsidRPr="00CD3860">
        <w:rPr>
          <w:rFonts w:ascii="Arial" w:eastAsia="Arial" w:hAnsi="Arial" w:cs="Arial"/>
          <w:color w:val="FF0000"/>
          <w:sz w:val="20"/>
          <w:szCs w:val="20"/>
        </w:rPr>
        <w:t>la Agencia Nacional</w:t>
      </w:r>
      <w:r>
        <w:rPr>
          <w:rFonts w:ascii="Arial" w:eastAsia="Arial" w:hAnsi="Arial" w:cs="Arial"/>
          <w:color w:val="FF0000"/>
          <w:sz w:val="20"/>
          <w:szCs w:val="20"/>
        </w:rPr>
        <w:t xml:space="preserve"> </w:t>
      </w:r>
      <w:r w:rsidRPr="00CD3860">
        <w:rPr>
          <w:rFonts w:ascii="Arial" w:eastAsia="Arial" w:hAnsi="Arial" w:cs="Arial"/>
          <w:color w:val="FF0000"/>
          <w:sz w:val="20"/>
          <w:szCs w:val="20"/>
        </w:rPr>
        <w:t>de Contratación Pública </w:t>
      </w:r>
      <w:r>
        <w:rPr>
          <w:rFonts w:ascii="Arial" w:eastAsia="Arial" w:hAnsi="Arial" w:cs="Arial"/>
          <w:color w:val="FF0000"/>
          <w:sz w:val="20"/>
          <w:szCs w:val="20"/>
        </w:rPr>
        <w:t>–</w:t>
      </w:r>
      <w:r w:rsidRPr="00CD3860">
        <w:rPr>
          <w:rFonts w:ascii="Arial" w:eastAsia="Arial" w:hAnsi="Arial" w:cs="Arial"/>
          <w:color w:val="FF0000"/>
          <w:sz w:val="20"/>
          <w:szCs w:val="20"/>
        </w:rPr>
        <w:t>Colombia Compra Eficiente</w:t>
      </w:r>
      <w:r>
        <w:rPr>
          <w:rFonts w:ascii="Arial" w:eastAsia="Arial" w:hAnsi="Arial" w:cs="Arial"/>
          <w:color w:val="FF0000"/>
          <w:sz w:val="20"/>
          <w:szCs w:val="20"/>
        </w:rPr>
        <w:t xml:space="preserve">– solo </w:t>
      </w:r>
      <w:r w:rsidRPr="00CD3860">
        <w:rPr>
          <w:rFonts w:ascii="Arial" w:eastAsia="Arial" w:hAnsi="Arial" w:cs="Arial"/>
          <w:color w:val="FF0000"/>
          <w:sz w:val="20"/>
          <w:szCs w:val="20"/>
        </w:rPr>
        <w:t>ha emitido conceptos</w:t>
      </w:r>
      <w:r>
        <w:rPr>
          <w:rFonts w:ascii="Arial" w:eastAsia="Arial" w:hAnsi="Arial" w:cs="Arial"/>
          <w:color w:val="FF0000"/>
          <w:sz w:val="20"/>
          <w:szCs w:val="20"/>
        </w:rPr>
        <w:t xml:space="preserve"> que interpretan</w:t>
      </w:r>
      <w:r w:rsidRPr="00CD3860">
        <w:rPr>
          <w:rFonts w:ascii="Arial" w:eastAsia="Arial" w:hAnsi="Arial" w:cs="Arial"/>
          <w:color w:val="FF0000"/>
          <w:sz w:val="20"/>
          <w:szCs w:val="20"/>
        </w:rPr>
        <w:t> </w:t>
      </w:r>
      <w:r>
        <w:rPr>
          <w:rFonts w:ascii="Arial" w:eastAsia="Arial" w:hAnsi="Arial" w:cs="Arial"/>
          <w:color w:val="FF0000"/>
          <w:sz w:val="20"/>
          <w:szCs w:val="20"/>
        </w:rPr>
        <w:t>las siguientes disposiciones relacionadas con la contratación estatal:</w:t>
      </w:r>
      <w:r w:rsidR="0085553F">
        <w:rPr>
          <w:rFonts w:ascii="Arial" w:eastAsia="Arial" w:hAnsi="Arial" w:cs="Arial"/>
          <w:color w:val="FF0000"/>
          <w:sz w:val="20"/>
          <w:szCs w:val="20"/>
        </w:rPr>
        <w:t xml:space="preserve"> </w:t>
      </w:r>
    </w:p>
    <w:p w14:paraId="1EBB5338" w14:textId="77777777" w:rsidR="007F1A19" w:rsidRDefault="007F1A19" w:rsidP="007F1A19">
      <w:pPr>
        <w:spacing w:after="0" w:line="240" w:lineRule="auto"/>
        <w:ind w:left="1701" w:right="1581"/>
        <w:jc w:val="both"/>
        <w:rPr>
          <w:rFonts w:ascii="Arial" w:eastAsia="Arial" w:hAnsi="Arial" w:cs="Arial"/>
          <w:color w:val="FF0000"/>
          <w:sz w:val="20"/>
          <w:szCs w:val="20"/>
        </w:rPr>
      </w:pPr>
    </w:p>
    <w:p w14:paraId="137457B3" w14:textId="77777777" w:rsidR="007F1A19" w:rsidRPr="00987585" w:rsidRDefault="007F1A19" w:rsidP="007F1A19">
      <w:pPr>
        <w:spacing w:after="0" w:line="240" w:lineRule="auto"/>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bookmarkEnd w:id="0"/>
    <w:bookmarkEnd w:id="1"/>
    <w:p w14:paraId="5642CAA5" w14:textId="77777777" w:rsidR="00907247" w:rsidRPr="009A0E79" w:rsidRDefault="00907247" w:rsidP="00A82EEF">
      <w:pPr>
        <w:spacing w:after="0" w:line="240" w:lineRule="auto"/>
        <w:rPr>
          <w:rFonts w:ascii="Arial" w:eastAsia="Times New Roman" w:hAnsi="Arial" w:cs="Arial"/>
          <w:b/>
          <w:bCs/>
          <w:color w:val="000000"/>
          <w:lang w:eastAsia="es-CO"/>
        </w:rPr>
      </w:pPr>
    </w:p>
    <w:p w14:paraId="40B9FDED" w14:textId="3DFE0CEE" w:rsidR="00711124" w:rsidRPr="009A0E79" w:rsidRDefault="00711124" w:rsidP="00D808F4">
      <w:pPr>
        <w:spacing w:after="0" w:line="240" w:lineRule="auto"/>
        <w:jc w:val="center"/>
        <w:rPr>
          <w:rFonts w:ascii="Arial" w:eastAsia="Times New Roman" w:hAnsi="Arial" w:cs="Arial"/>
          <w:b/>
          <w:bCs/>
          <w:color w:val="000000"/>
          <w:lang w:eastAsia="es-CO"/>
        </w:rPr>
      </w:pPr>
      <w:r w:rsidRPr="009A0E79">
        <w:rPr>
          <w:rFonts w:ascii="Arial" w:eastAsia="Times New Roman" w:hAnsi="Arial" w:cs="Arial"/>
          <w:b/>
          <w:bCs/>
          <w:color w:val="000000"/>
          <w:lang w:eastAsia="es-CO"/>
        </w:rPr>
        <w:t>DECRETO 2467 DE 2018</w:t>
      </w:r>
    </w:p>
    <w:p w14:paraId="54CBCAED" w14:textId="77777777" w:rsidR="0099669D" w:rsidRPr="009A0E79" w:rsidRDefault="0099669D" w:rsidP="00D808F4">
      <w:pPr>
        <w:spacing w:after="0" w:line="240" w:lineRule="auto"/>
        <w:jc w:val="center"/>
        <w:rPr>
          <w:rFonts w:ascii="Arial" w:eastAsia="Times New Roman" w:hAnsi="Arial" w:cs="Arial"/>
          <w:b/>
          <w:bCs/>
          <w:color w:val="000000"/>
          <w:lang w:eastAsia="es-CO"/>
        </w:rPr>
      </w:pPr>
    </w:p>
    <w:p w14:paraId="0DC03E1B" w14:textId="45F2DFB5" w:rsidR="00711124" w:rsidRPr="009A0E79" w:rsidRDefault="00D808F4" w:rsidP="00D808F4">
      <w:pPr>
        <w:spacing w:after="0" w:line="240" w:lineRule="auto"/>
        <w:jc w:val="center"/>
        <w:rPr>
          <w:rFonts w:ascii="Arial" w:eastAsia="Times New Roman" w:hAnsi="Arial" w:cs="Arial"/>
          <w:b/>
          <w:bCs/>
          <w:color w:val="000000"/>
          <w:lang w:eastAsia="es-CO"/>
        </w:rPr>
      </w:pPr>
      <w:r w:rsidRPr="009A0E79">
        <w:rPr>
          <w:rFonts w:ascii="Arial" w:eastAsia="Times New Roman" w:hAnsi="Arial" w:cs="Arial"/>
          <w:b/>
          <w:bCs/>
          <w:color w:val="000000"/>
          <w:lang w:eastAsia="es-CO"/>
        </w:rPr>
        <w:t>P</w:t>
      </w:r>
      <w:r w:rsidR="00711124" w:rsidRPr="009A0E79">
        <w:rPr>
          <w:rFonts w:ascii="Arial" w:eastAsia="Times New Roman" w:hAnsi="Arial" w:cs="Arial"/>
          <w:b/>
          <w:bCs/>
          <w:color w:val="000000"/>
          <w:lang w:eastAsia="es-CO"/>
        </w:rPr>
        <w:t>or el cual se liquida el Presupuesto General de la Nación para la vigencia fiscal de 2019, se detallan las apropiaciones y se clasifican y definen los gastos</w:t>
      </w:r>
    </w:p>
    <w:p w14:paraId="671EB295" w14:textId="77777777" w:rsidR="0099669D" w:rsidRPr="009A0E79" w:rsidRDefault="0099669D" w:rsidP="00D808F4">
      <w:pPr>
        <w:spacing w:after="0" w:line="240" w:lineRule="auto"/>
        <w:jc w:val="center"/>
        <w:rPr>
          <w:rFonts w:ascii="Arial" w:eastAsia="Times New Roman" w:hAnsi="Arial" w:cs="Arial"/>
          <w:b/>
          <w:bCs/>
          <w:color w:val="000000"/>
          <w:lang w:eastAsia="es-CO"/>
        </w:rPr>
      </w:pPr>
    </w:p>
    <w:p w14:paraId="7559ED08" w14:textId="5C37418C" w:rsidR="00711124" w:rsidRDefault="00711124" w:rsidP="00D808F4">
      <w:pPr>
        <w:spacing w:after="0" w:line="240" w:lineRule="auto"/>
        <w:jc w:val="center"/>
        <w:rPr>
          <w:rFonts w:ascii="Arial" w:eastAsia="Times New Roman" w:hAnsi="Arial" w:cs="Arial"/>
          <w:b/>
          <w:bCs/>
          <w:color w:val="000000"/>
          <w:lang w:eastAsia="es-CO"/>
        </w:rPr>
      </w:pPr>
      <w:bookmarkStart w:id="2" w:name="ver_30180107"/>
      <w:bookmarkEnd w:id="2"/>
      <w:r w:rsidRPr="009A0E79">
        <w:rPr>
          <w:rFonts w:ascii="Arial" w:eastAsia="Times New Roman" w:hAnsi="Arial" w:cs="Arial"/>
          <w:b/>
          <w:bCs/>
          <w:color w:val="000000"/>
          <w:lang w:eastAsia="es-CO"/>
        </w:rPr>
        <w:t xml:space="preserve">El </w:t>
      </w:r>
      <w:proofErr w:type="gramStart"/>
      <w:r w:rsidRPr="009A0E79">
        <w:rPr>
          <w:rFonts w:ascii="Arial" w:eastAsia="Times New Roman" w:hAnsi="Arial" w:cs="Arial"/>
          <w:b/>
          <w:bCs/>
          <w:color w:val="000000"/>
          <w:lang w:eastAsia="es-CO"/>
        </w:rPr>
        <w:t>Presidente</w:t>
      </w:r>
      <w:proofErr w:type="gramEnd"/>
      <w:r w:rsidRPr="009A0E79">
        <w:rPr>
          <w:rFonts w:ascii="Arial" w:eastAsia="Times New Roman" w:hAnsi="Arial" w:cs="Arial"/>
          <w:b/>
          <w:bCs/>
          <w:color w:val="000000"/>
          <w:lang w:eastAsia="es-CO"/>
        </w:rPr>
        <w:t xml:space="preserve"> de la República de Colombia, en ejercicio de las facultades constitucionales y legales, </w:t>
      </w:r>
    </w:p>
    <w:p w14:paraId="5615499B" w14:textId="77777777" w:rsidR="00C232B2" w:rsidRPr="009A0E79" w:rsidRDefault="00C232B2" w:rsidP="00D808F4">
      <w:pPr>
        <w:spacing w:after="0" w:line="240" w:lineRule="auto"/>
        <w:jc w:val="center"/>
        <w:rPr>
          <w:rFonts w:ascii="Arial" w:eastAsia="Times New Roman" w:hAnsi="Arial" w:cs="Arial"/>
          <w:b/>
          <w:bCs/>
          <w:color w:val="000000"/>
          <w:lang w:eastAsia="es-CO"/>
        </w:rPr>
      </w:pPr>
    </w:p>
    <w:p w14:paraId="15E73B67" w14:textId="5112EE6A" w:rsidR="00711124" w:rsidRPr="009A0E79" w:rsidRDefault="00711124" w:rsidP="00D808F4">
      <w:pPr>
        <w:spacing w:after="0" w:line="240" w:lineRule="auto"/>
        <w:jc w:val="center"/>
        <w:rPr>
          <w:rFonts w:ascii="Arial" w:eastAsia="Times New Roman" w:hAnsi="Arial" w:cs="Arial"/>
          <w:b/>
          <w:bCs/>
          <w:color w:val="000000"/>
          <w:lang w:eastAsia="es-CO"/>
        </w:rPr>
      </w:pPr>
      <w:r w:rsidRPr="009A0E79">
        <w:rPr>
          <w:rFonts w:ascii="Arial" w:eastAsia="Times New Roman" w:hAnsi="Arial" w:cs="Arial"/>
          <w:b/>
          <w:bCs/>
          <w:color w:val="000000"/>
          <w:lang w:eastAsia="es-CO"/>
        </w:rPr>
        <w:t>CONSIDERANDO:</w:t>
      </w:r>
    </w:p>
    <w:p w14:paraId="62DE9CAE"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  </w:t>
      </w:r>
    </w:p>
    <w:p w14:paraId="112DBD3E"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Que el artículo 67 del Estatuto Orgánico del Presupuesto General de la Nación faculta al Gobierno nacional para dictar el Decreto de Liquidación del Presupuesto General de la Nación; </w:t>
      </w:r>
    </w:p>
    <w:p w14:paraId="22C1BAEF"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  </w:t>
      </w:r>
    </w:p>
    <w:p w14:paraId="7D2D1A45"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Que el citado artículo establece que el decreto se acompañará con un anexo que tendrá el detalle del gasto para el año fiscal respectivo; </w:t>
      </w:r>
    </w:p>
    <w:p w14:paraId="4655B2CA"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  </w:t>
      </w:r>
    </w:p>
    <w:p w14:paraId="60B8D49C"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Que el artículo 22 de la Ley 1940 de 2018 “Por la cual se decreta el presupuesto de rentas y recursos de capital y ley de apropiaciones para la vigencia fiscal del 1o. de enero al 31 de diciembre de 2019” faculta al Gobierno nacional para que en el decreto de liquidación clasifique los ingresos y gastos y defina estos últimos; </w:t>
      </w:r>
    </w:p>
    <w:p w14:paraId="2DC14DB9"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  </w:t>
      </w:r>
    </w:p>
    <w:p w14:paraId="6BCF7F02"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Que el artículo 209 de la Constitución Política señala que la función administrativa está al servicio de los intereses generales y se desarrolla con fundamento en los principios de eficacia, economía y celeridad, entre otros; </w:t>
      </w:r>
    </w:p>
    <w:p w14:paraId="12485089"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  </w:t>
      </w:r>
    </w:p>
    <w:p w14:paraId="7B466551" w14:textId="4ED8573E" w:rsidR="00711124" w:rsidRDefault="00711124" w:rsidP="00D808F4">
      <w:pPr>
        <w:spacing w:after="0" w:line="240" w:lineRule="auto"/>
        <w:jc w:val="center"/>
        <w:rPr>
          <w:rFonts w:ascii="Arial" w:eastAsia="Times New Roman" w:hAnsi="Arial" w:cs="Arial"/>
          <w:b/>
          <w:bCs/>
          <w:color w:val="000000"/>
          <w:lang w:eastAsia="es-CO"/>
        </w:rPr>
      </w:pPr>
      <w:r w:rsidRPr="009A0E79">
        <w:rPr>
          <w:rFonts w:ascii="Arial" w:eastAsia="Times New Roman" w:hAnsi="Arial" w:cs="Arial"/>
          <w:b/>
          <w:bCs/>
          <w:color w:val="000000"/>
          <w:lang w:eastAsia="es-CO"/>
        </w:rPr>
        <w:t>DECRETA:</w:t>
      </w:r>
    </w:p>
    <w:p w14:paraId="5C97D192" w14:textId="77777777" w:rsidR="00A82EEF" w:rsidRPr="009A0E79" w:rsidRDefault="00A82EEF" w:rsidP="00D808F4">
      <w:pPr>
        <w:spacing w:after="0" w:line="240" w:lineRule="auto"/>
        <w:jc w:val="center"/>
        <w:rPr>
          <w:rFonts w:ascii="Arial" w:eastAsia="Times New Roman" w:hAnsi="Arial" w:cs="Arial"/>
          <w:b/>
          <w:bCs/>
          <w:color w:val="000000"/>
          <w:lang w:eastAsia="es-CO"/>
        </w:rPr>
      </w:pPr>
    </w:p>
    <w:p w14:paraId="3E566E6F" w14:textId="30EB9504" w:rsidR="003541E9" w:rsidRPr="009A0E79" w:rsidRDefault="003541E9" w:rsidP="00D808F4">
      <w:pPr>
        <w:pStyle w:val="NormalWeb"/>
        <w:spacing w:before="0" w:beforeAutospacing="0" w:after="0" w:afterAutospacing="0"/>
        <w:jc w:val="center"/>
        <w:rPr>
          <w:rFonts w:ascii="Arial" w:hAnsi="Arial" w:cs="Arial"/>
          <w:b/>
          <w:bCs/>
          <w:color w:val="000000"/>
          <w:sz w:val="22"/>
          <w:szCs w:val="22"/>
        </w:rPr>
      </w:pPr>
      <w:r w:rsidRPr="009A0E79">
        <w:rPr>
          <w:rFonts w:ascii="Arial" w:hAnsi="Arial" w:cs="Arial"/>
          <w:b/>
          <w:bCs/>
          <w:color w:val="000000"/>
          <w:sz w:val="22"/>
          <w:szCs w:val="22"/>
        </w:rPr>
        <w:t>PRIMERA PARTE</w:t>
      </w:r>
    </w:p>
    <w:p w14:paraId="58C08023" w14:textId="77777777" w:rsidR="00D808F4" w:rsidRPr="009A0E79" w:rsidRDefault="00D808F4" w:rsidP="00D808F4">
      <w:pPr>
        <w:pStyle w:val="NormalWeb"/>
        <w:spacing w:before="0" w:beforeAutospacing="0" w:after="0" w:afterAutospacing="0"/>
        <w:jc w:val="center"/>
        <w:rPr>
          <w:rFonts w:ascii="Arial" w:hAnsi="Arial" w:cs="Arial"/>
          <w:b/>
          <w:bCs/>
          <w:color w:val="000000"/>
          <w:sz w:val="22"/>
          <w:szCs w:val="22"/>
        </w:rPr>
      </w:pPr>
    </w:p>
    <w:p w14:paraId="14D77F34"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w:t>
      </w:r>
      <w:r w:rsidRPr="009A0E79">
        <w:rPr>
          <w:rFonts w:ascii="Arial" w:hAnsi="Arial" w:cs="Arial"/>
          <w:color w:val="000000"/>
          <w:sz w:val="22"/>
          <w:szCs w:val="22"/>
        </w:rPr>
        <w:t>. Fíjense los cómputos del presupuesto de rentas y recursos de capital del Tesoro de la Nación para la vigencia fiscal del 1° de enero al 31 de diciembre de 2019, en la suma de doscientos cuarenta y cuatro billones novecientos noventa y siete mil trescientos cinco millones doscientos nueve mil novecientos veintisiete pesos moneda legal ($244,997,305,209,927), según el detalle del Presupuesto de Rentas y Recursos de Capital para el 2019, así: </w:t>
      </w:r>
    </w:p>
    <w:p w14:paraId="35782AD4"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1EB9CB32" w14:textId="5BD31872" w:rsidR="003541E9" w:rsidRPr="009A0E79" w:rsidRDefault="003541E9" w:rsidP="0014378D">
      <w:pPr>
        <w:pStyle w:val="NormalWeb"/>
        <w:spacing w:before="0" w:beforeAutospacing="0" w:after="0" w:afterAutospacing="0"/>
        <w:jc w:val="center"/>
        <w:rPr>
          <w:rFonts w:ascii="Arial" w:hAnsi="Arial" w:cs="Arial"/>
          <w:color w:val="000000"/>
          <w:sz w:val="22"/>
          <w:szCs w:val="22"/>
        </w:rPr>
      </w:pPr>
      <w:bookmarkStart w:id="3" w:name="ver_30180323"/>
      <w:bookmarkEnd w:id="3"/>
      <w:r w:rsidRPr="009A0E79">
        <w:rPr>
          <w:rStyle w:val="Textoennegrita"/>
          <w:rFonts w:ascii="Arial" w:hAnsi="Arial" w:cs="Arial"/>
          <w:color w:val="000000"/>
          <w:sz w:val="22"/>
          <w:szCs w:val="22"/>
        </w:rPr>
        <w:t>SEGUNDA PARTE</w:t>
      </w:r>
    </w:p>
    <w:p w14:paraId="58B4F79B"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318BE939"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proofErr w:type="spellStart"/>
      <w:r w:rsidRPr="009A0E79">
        <w:rPr>
          <w:rStyle w:val="Textoennegrita"/>
          <w:rFonts w:ascii="Arial" w:hAnsi="Arial" w:cs="Arial"/>
          <w:b w:val="0"/>
          <w:bCs w:val="0"/>
          <w:color w:val="000000"/>
          <w:sz w:val="22"/>
          <w:szCs w:val="22"/>
        </w:rPr>
        <w:t>Articulo</w:t>
      </w:r>
      <w:proofErr w:type="spellEnd"/>
      <w:r w:rsidRPr="009A0E79">
        <w:rPr>
          <w:rStyle w:val="Textoennegrita"/>
          <w:rFonts w:ascii="Arial" w:hAnsi="Arial" w:cs="Arial"/>
          <w:b w:val="0"/>
          <w:bCs w:val="0"/>
          <w:color w:val="000000"/>
          <w:sz w:val="22"/>
          <w:szCs w:val="22"/>
        </w:rPr>
        <w:t xml:space="preserve"> 2:</w:t>
      </w:r>
      <w:r w:rsidRPr="009A0E79">
        <w:rPr>
          <w:rFonts w:ascii="Arial" w:hAnsi="Arial" w:cs="Arial"/>
          <w:color w:val="000000"/>
          <w:sz w:val="22"/>
          <w:szCs w:val="22"/>
        </w:rPr>
        <w:t xml:space="preserve"> Presupuesto de Gastos o Ley de Apropiaciones. Aprópiese para atender los gastos de funcionamiento, inversión y servicio de la deuda pública del Presupuesto General de la Nación durante la vigencia fiscal del 1° de enero al 31 de diciembre de 2019 una suma por valor de doscientos cincuenta y ocho billones novecientos noventa y siete mil trescientos cinco millones </w:t>
      </w:r>
      <w:proofErr w:type="spellStart"/>
      <w:r w:rsidRPr="009A0E79">
        <w:rPr>
          <w:rFonts w:ascii="Arial" w:hAnsi="Arial" w:cs="Arial"/>
          <w:color w:val="000000"/>
          <w:sz w:val="22"/>
          <w:szCs w:val="22"/>
        </w:rPr>
        <w:lastRenderedPageBreak/>
        <w:t>dosciento</w:t>
      </w:r>
      <w:proofErr w:type="spellEnd"/>
      <w:r w:rsidRPr="009A0E79">
        <w:rPr>
          <w:rFonts w:ascii="Arial" w:hAnsi="Arial" w:cs="Arial"/>
          <w:color w:val="000000"/>
          <w:sz w:val="22"/>
          <w:szCs w:val="22"/>
        </w:rPr>
        <w:t xml:space="preserve"> nueve mil novecientos veintisiete pesos moneda legal (258.997.305.209.927) según el detalle que se encuentra a continuación: </w:t>
      </w:r>
    </w:p>
    <w:p w14:paraId="5F7F0978"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07CCFDE9" w14:textId="77777777" w:rsidR="003541E9" w:rsidRPr="009A0E79" w:rsidRDefault="003541E9" w:rsidP="0014378D">
      <w:pPr>
        <w:pStyle w:val="parrafo-division"/>
        <w:spacing w:before="0" w:beforeAutospacing="0" w:after="0" w:afterAutospacing="0"/>
        <w:jc w:val="center"/>
        <w:rPr>
          <w:rFonts w:ascii="Arial" w:hAnsi="Arial" w:cs="Arial"/>
          <w:b/>
          <w:bCs/>
          <w:color w:val="000000"/>
          <w:sz w:val="22"/>
          <w:szCs w:val="22"/>
        </w:rPr>
      </w:pPr>
      <w:bookmarkStart w:id="4" w:name="ver_30180145"/>
      <w:bookmarkEnd w:id="4"/>
      <w:r w:rsidRPr="009A0E79">
        <w:rPr>
          <w:rFonts w:ascii="Arial" w:hAnsi="Arial" w:cs="Arial"/>
          <w:b/>
          <w:bCs/>
          <w:color w:val="000000"/>
          <w:sz w:val="22"/>
          <w:szCs w:val="22"/>
        </w:rPr>
        <w:t>TERCERA PARTE</w:t>
      </w:r>
    </w:p>
    <w:p w14:paraId="5E357B21" w14:textId="77777777" w:rsidR="003541E9" w:rsidRPr="009A0E79" w:rsidRDefault="003541E9" w:rsidP="0014378D">
      <w:pPr>
        <w:pStyle w:val="parrafo-division"/>
        <w:spacing w:before="0" w:beforeAutospacing="0" w:after="0" w:afterAutospacing="0"/>
        <w:jc w:val="center"/>
        <w:rPr>
          <w:rFonts w:ascii="Arial" w:hAnsi="Arial" w:cs="Arial"/>
          <w:b/>
          <w:bCs/>
          <w:color w:val="000000"/>
          <w:sz w:val="22"/>
          <w:szCs w:val="22"/>
        </w:rPr>
      </w:pPr>
      <w:r w:rsidRPr="009A0E79">
        <w:rPr>
          <w:rStyle w:val="Textoennegrita"/>
          <w:rFonts w:ascii="Arial" w:hAnsi="Arial" w:cs="Arial"/>
          <w:color w:val="000000"/>
          <w:sz w:val="22"/>
          <w:szCs w:val="22"/>
        </w:rPr>
        <w:t>DISPOSICIONES GENERALES</w:t>
      </w:r>
    </w:p>
    <w:p w14:paraId="44C196A0" w14:textId="77777777" w:rsidR="003541E9" w:rsidRPr="009A0E79" w:rsidRDefault="003541E9" w:rsidP="00D808F4">
      <w:pPr>
        <w:spacing w:after="0" w:line="240" w:lineRule="auto"/>
        <w:jc w:val="both"/>
        <w:rPr>
          <w:rFonts w:ascii="Arial" w:hAnsi="Arial" w:cs="Arial"/>
          <w:color w:val="000000"/>
        </w:rPr>
      </w:pPr>
      <w:bookmarkStart w:id="5" w:name="ver_30180144"/>
      <w:bookmarkEnd w:id="5"/>
    </w:p>
    <w:p w14:paraId="51BC58B5"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3°.</w:t>
      </w:r>
      <w:r w:rsidRPr="009A0E79">
        <w:rPr>
          <w:rFonts w:ascii="Arial" w:hAnsi="Arial" w:cs="Arial"/>
          <w:color w:val="000000"/>
          <w:sz w:val="22"/>
          <w:szCs w:val="22"/>
        </w:rPr>
        <w:t> Las disposiciones generales del presente decreto son complementarias de las Leyes 38 de 1989, 179 de 1994, 225 de 1995, 819 de 2003, 1473 de 2011 y 1508 de 2012 y demás normas de carácter orgánico y deben aplicarse en armonía con estas. </w:t>
      </w:r>
    </w:p>
    <w:p w14:paraId="217830BF" w14:textId="77777777" w:rsidR="0099669D" w:rsidRPr="009A0E79" w:rsidRDefault="0099669D" w:rsidP="00D808F4">
      <w:pPr>
        <w:pStyle w:val="NormalWeb"/>
        <w:spacing w:before="0" w:beforeAutospacing="0" w:after="0" w:afterAutospacing="0"/>
        <w:jc w:val="both"/>
        <w:rPr>
          <w:rFonts w:ascii="Arial" w:hAnsi="Arial" w:cs="Arial"/>
          <w:color w:val="000000"/>
          <w:sz w:val="22"/>
          <w:szCs w:val="22"/>
        </w:rPr>
      </w:pPr>
    </w:p>
    <w:p w14:paraId="41A3F6C3" w14:textId="138FDD9E"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Estas normas rigen para los órganos que conforman el Presupuesto General de la Nación, y para los recursos de la Nación asignados a las Empresas Industriales y Comerciales del Estado y a las Sociedades de Economía Mixta con el régimen de aquellas. </w:t>
      </w:r>
    </w:p>
    <w:p w14:paraId="1135C214" w14:textId="77777777" w:rsidR="0014378D" w:rsidRPr="009A0E79" w:rsidRDefault="0014378D" w:rsidP="00D808F4">
      <w:pPr>
        <w:pStyle w:val="NormalWeb"/>
        <w:spacing w:before="0" w:beforeAutospacing="0" w:after="0" w:afterAutospacing="0"/>
        <w:jc w:val="both"/>
        <w:rPr>
          <w:rFonts w:ascii="Arial" w:hAnsi="Arial" w:cs="Arial"/>
          <w:color w:val="000000"/>
          <w:sz w:val="22"/>
          <w:szCs w:val="22"/>
        </w:rPr>
      </w:pPr>
    </w:p>
    <w:p w14:paraId="4A3E7CF8" w14:textId="56633E46"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Los fondos sin personería jurídica deben ser creados por ley o por su autorización expresa y estarán sujetos a las normas y procedimientos establecidos en la Constitución Política, el Estatuto Orgánico del Presupuesto, el presente decreto y las demás normas que reglamenten los órganos a los cuales pertenecen. </w:t>
      </w:r>
    </w:p>
    <w:p w14:paraId="3858E86F" w14:textId="77777777" w:rsidR="0014378D" w:rsidRPr="009A0E79" w:rsidRDefault="0014378D" w:rsidP="00D808F4">
      <w:pPr>
        <w:pStyle w:val="NormalWeb"/>
        <w:spacing w:before="0" w:beforeAutospacing="0" w:after="0" w:afterAutospacing="0"/>
        <w:jc w:val="both"/>
        <w:rPr>
          <w:rFonts w:ascii="Arial" w:hAnsi="Arial" w:cs="Arial"/>
          <w:color w:val="000000"/>
          <w:sz w:val="22"/>
          <w:szCs w:val="22"/>
        </w:rPr>
      </w:pPr>
    </w:p>
    <w:p w14:paraId="5A4CFFAC" w14:textId="77777777" w:rsidR="003541E9" w:rsidRPr="009A0E79" w:rsidRDefault="003541E9" w:rsidP="0014378D">
      <w:pPr>
        <w:pStyle w:val="parrafo-division"/>
        <w:spacing w:before="0" w:beforeAutospacing="0" w:after="0" w:afterAutospacing="0"/>
        <w:jc w:val="center"/>
        <w:rPr>
          <w:rFonts w:ascii="Arial" w:hAnsi="Arial" w:cs="Arial"/>
          <w:b/>
          <w:bCs/>
          <w:color w:val="000000"/>
          <w:sz w:val="22"/>
          <w:szCs w:val="22"/>
        </w:rPr>
      </w:pPr>
      <w:bookmarkStart w:id="6" w:name="ver_30180148"/>
      <w:bookmarkEnd w:id="6"/>
      <w:r w:rsidRPr="009A0E79">
        <w:rPr>
          <w:rFonts w:ascii="Arial" w:hAnsi="Arial" w:cs="Arial"/>
          <w:b/>
          <w:bCs/>
          <w:color w:val="000000"/>
          <w:sz w:val="22"/>
          <w:szCs w:val="22"/>
        </w:rPr>
        <w:t>CAPÍTULO I</w:t>
      </w:r>
    </w:p>
    <w:p w14:paraId="56F9518F" w14:textId="77777777" w:rsidR="003541E9" w:rsidRPr="009A0E79" w:rsidRDefault="003541E9" w:rsidP="0014378D">
      <w:pPr>
        <w:pStyle w:val="parrafo-division"/>
        <w:spacing w:before="0" w:beforeAutospacing="0" w:after="0" w:afterAutospacing="0"/>
        <w:jc w:val="center"/>
        <w:rPr>
          <w:rFonts w:ascii="Arial" w:hAnsi="Arial" w:cs="Arial"/>
          <w:b/>
          <w:bCs/>
          <w:color w:val="000000"/>
          <w:sz w:val="22"/>
          <w:szCs w:val="22"/>
        </w:rPr>
      </w:pPr>
      <w:r w:rsidRPr="009A0E79">
        <w:rPr>
          <w:rStyle w:val="Textoennegrita"/>
          <w:rFonts w:ascii="Arial" w:hAnsi="Arial" w:cs="Arial"/>
          <w:color w:val="000000"/>
          <w:sz w:val="22"/>
          <w:szCs w:val="22"/>
        </w:rPr>
        <w:t>De las rentas y recursos</w:t>
      </w:r>
    </w:p>
    <w:p w14:paraId="35BAC041" w14:textId="77777777" w:rsidR="003541E9" w:rsidRPr="009A0E79" w:rsidRDefault="003541E9" w:rsidP="00D808F4">
      <w:pPr>
        <w:spacing w:after="0" w:line="240" w:lineRule="auto"/>
        <w:jc w:val="both"/>
        <w:rPr>
          <w:rFonts w:ascii="Arial" w:hAnsi="Arial" w:cs="Arial"/>
          <w:color w:val="000000"/>
        </w:rPr>
      </w:pPr>
      <w:bookmarkStart w:id="7" w:name="ver_30180150"/>
      <w:bookmarkEnd w:id="7"/>
    </w:p>
    <w:p w14:paraId="586E4744" w14:textId="45D9BE78"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4°.</w:t>
      </w:r>
      <w:r w:rsidRPr="009A0E79">
        <w:rPr>
          <w:rFonts w:ascii="Arial" w:hAnsi="Arial" w:cs="Arial"/>
          <w:color w:val="000000"/>
          <w:sz w:val="22"/>
          <w:szCs w:val="22"/>
        </w:rPr>
        <w:t> La Dirección General de Crédito Público y Tesoro Nacional del Ministerio de Hacienda y Crédito Público informará a los diferentes órganos las fechas de perfeccionamiento y desembolso de los recursos del crédito interno y externo de la nación. Los establecimientos públicos del orden nacional reportarán a la referida Dirección el monto y las fechas de los recursos de crédito externo e interno contratados directamente. </w:t>
      </w:r>
    </w:p>
    <w:p w14:paraId="4D6CDAC2" w14:textId="77777777" w:rsidR="0014378D" w:rsidRPr="009A0E79" w:rsidRDefault="0014378D" w:rsidP="00D808F4">
      <w:pPr>
        <w:pStyle w:val="NormalWeb"/>
        <w:spacing w:before="0" w:beforeAutospacing="0" w:after="0" w:afterAutospacing="0"/>
        <w:jc w:val="both"/>
        <w:rPr>
          <w:rFonts w:ascii="Arial" w:hAnsi="Arial" w:cs="Arial"/>
          <w:color w:val="000000"/>
          <w:sz w:val="22"/>
          <w:szCs w:val="22"/>
        </w:rPr>
      </w:pPr>
    </w:p>
    <w:p w14:paraId="19B0EAC0"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 Dirección General de Crédito Público y Tesoro Nacional del Ministerio de Hacienda y Crédito Público conceptuará previamente sobre las solicitudes de modificación a fuentes de financiación cuando se trate de recursos de crédito de las diferentes apropiaciones que se detallen en el anexo del decreto de liquidación, siempre y cuando no modifiquen los montos aprobados por el Congreso de la República en la ley anual. </w:t>
      </w:r>
    </w:p>
    <w:p w14:paraId="332A8292" w14:textId="77777777" w:rsidR="003541E9" w:rsidRPr="009A0E79" w:rsidRDefault="003541E9" w:rsidP="00D808F4">
      <w:pPr>
        <w:spacing w:after="0" w:line="240" w:lineRule="auto"/>
        <w:jc w:val="both"/>
        <w:rPr>
          <w:rFonts w:ascii="Arial" w:hAnsi="Arial" w:cs="Arial"/>
          <w:color w:val="000000"/>
        </w:rPr>
      </w:pPr>
      <w:bookmarkStart w:id="8" w:name="ver_30180153"/>
      <w:bookmarkEnd w:id="8"/>
    </w:p>
    <w:p w14:paraId="00DFE513"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5°.</w:t>
      </w:r>
      <w:r w:rsidRPr="009A0E79">
        <w:rPr>
          <w:rFonts w:ascii="Arial" w:hAnsi="Arial" w:cs="Arial"/>
          <w:color w:val="000000"/>
          <w:sz w:val="22"/>
          <w:szCs w:val="22"/>
        </w:rPr>
        <w:t> El Gobierno nacional a través de la Dirección General de Crédito Público y Tesoro Nacional del Ministerio de Hacienda y Crédito Público podrá realizar sustituciones en el portafolio de inversiones con entidades descentralizadas, sin efectuar operación presupuestal alguna, de conformidad con las normas legales vigentes. </w:t>
      </w:r>
    </w:p>
    <w:p w14:paraId="2863A8B3" w14:textId="77777777" w:rsidR="003541E9" w:rsidRPr="009A0E79" w:rsidRDefault="003541E9" w:rsidP="00D808F4">
      <w:pPr>
        <w:spacing w:after="0" w:line="240" w:lineRule="auto"/>
        <w:jc w:val="both"/>
        <w:rPr>
          <w:rFonts w:ascii="Arial" w:hAnsi="Arial" w:cs="Arial"/>
          <w:color w:val="000000"/>
        </w:rPr>
      </w:pPr>
      <w:bookmarkStart w:id="9" w:name="ver_30180155"/>
      <w:bookmarkEnd w:id="9"/>
    </w:p>
    <w:p w14:paraId="124BA79C" w14:textId="64112428"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6°.</w:t>
      </w:r>
      <w:r w:rsidRPr="009A0E79">
        <w:rPr>
          <w:rFonts w:ascii="Arial" w:hAnsi="Arial" w:cs="Arial"/>
          <w:color w:val="000000"/>
          <w:sz w:val="22"/>
          <w:szCs w:val="22"/>
        </w:rPr>
        <w:t> Los ingresos corrientes de la Nación y aquellas contribuciones y recursos que en las normas legales no se haya autorizado su recaudo y manejo a otro órgano, deben consignarse en la Dirección General de Crédito Público y Tesoro Nacional del Ministerio de Hacienda y Crédito Público. </w:t>
      </w:r>
    </w:p>
    <w:p w14:paraId="00A51104" w14:textId="77777777" w:rsidR="0014378D" w:rsidRPr="009A0E79" w:rsidRDefault="0014378D" w:rsidP="00D808F4">
      <w:pPr>
        <w:pStyle w:val="NormalWeb"/>
        <w:spacing w:before="0" w:beforeAutospacing="0" w:after="0" w:afterAutospacing="0"/>
        <w:jc w:val="both"/>
        <w:rPr>
          <w:rFonts w:ascii="Arial" w:hAnsi="Arial" w:cs="Arial"/>
          <w:color w:val="000000"/>
          <w:sz w:val="22"/>
          <w:szCs w:val="22"/>
        </w:rPr>
      </w:pPr>
    </w:p>
    <w:p w14:paraId="7B69BCB6"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 Dirección General de Crédito Público y Tesoro Nacional podrá administrar recursos de entidades estatales de cualquier orden a través de depósitos. </w:t>
      </w:r>
    </w:p>
    <w:p w14:paraId="70804F0E" w14:textId="77777777" w:rsidR="0099669D" w:rsidRPr="009A0E79" w:rsidRDefault="0099669D" w:rsidP="00D808F4">
      <w:pPr>
        <w:pStyle w:val="NormalWeb"/>
        <w:spacing w:before="0" w:beforeAutospacing="0" w:after="0" w:afterAutospacing="0"/>
        <w:jc w:val="both"/>
        <w:rPr>
          <w:rFonts w:ascii="Arial" w:hAnsi="Arial" w:cs="Arial"/>
          <w:color w:val="000000"/>
          <w:sz w:val="22"/>
          <w:szCs w:val="22"/>
        </w:rPr>
      </w:pPr>
    </w:p>
    <w:p w14:paraId="22797AAF"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Las superintendencias que no sean una sección presupuestal deben consignar mensualmente, en la Dirección General de Crédito Público y Tesoro Nacional del Ministerio de Hacienda y Crédito Público el valor de las contribuciones establecidas en la ley. </w:t>
      </w:r>
    </w:p>
    <w:p w14:paraId="05B6E8B1" w14:textId="45225013" w:rsidR="003541E9" w:rsidRPr="009A0E79" w:rsidRDefault="003541E9" w:rsidP="0014378D">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lastRenderedPageBreak/>
        <w:t>  </w:t>
      </w:r>
      <w:bookmarkStart w:id="10" w:name="ver_30180156"/>
      <w:bookmarkEnd w:id="10"/>
    </w:p>
    <w:p w14:paraId="5509842C"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w:t>
      </w:r>
      <w:r w:rsidRPr="009A0E79">
        <w:rPr>
          <w:rFonts w:ascii="Arial" w:hAnsi="Arial" w:cs="Arial"/>
          <w:color w:val="000000"/>
          <w:sz w:val="22"/>
          <w:szCs w:val="22"/>
        </w:rPr>
        <w:t> El Ministerio de Hacienda y Crédito Público a través de la Dirección General de Crédito Público y Tesoro Nacional fijará los criterios técnicos y las condiciones para el manejo de los excedentes de liquidez y para la ejecución de operaciones de cubrimiento de riesgos, acorde con los objetivos monetarios, cambiarios y de tasa de interés a corto y largo plazo. </w:t>
      </w:r>
    </w:p>
    <w:p w14:paraId="69207CD3" w14:textId="77777777" w:rsidR="003541E9" w:rsidRPr="009A0E79" w:rsidRDefault="003541E9" w:rsidP="00D808F4">
      <w:pPr>
        <w:spacing w:after="0" w:line="240" w:lineRule="auto"/>
        <w:jc w:val="both"/>
        <w:rPr>
          <w:rFonts w:ascii="Arial" w:hAnsi="Arial" w:cs="Arial"/>
          <w:color w:val="000000"/>
        </w:rPr>
      </w:pPr>
      <w:bookmarkStart w:id="11" w:name="ver_30180158"/>
      <w:bookmarkEnd w:id="11"/>
    </w:p>
    <w:p w14:paraId="1E6199A0"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8°.</w:t>
      </w:r>
      <w:r w:rsidRPr="009A0E79">
        <w:rPr>
          <w:rFonts w:ascii="Arial" w:hAnsi="Arial" w:cs="Arial"/>
          <w:color w:val="000000"/>
          <w:sz w:val="22"/>
          <w:szCs w:val="22"/>
        </w:rPr>
        <w:t> El Gobierno nacional podrá emitir títulos de Tesorería, TES, Clase “B”, con base en la facultad de la Ley 51 de 1990 de acuerdo con las siguientes reglas: no contarán con la garantía solidaria del Banco de la República; el estimativo de los ingresos producto de su colocación se incluirá en el Presupuesto General de la Nación como recursos de capital, con excepción de los provenientes de la colocación de títulos para operaciones temporales de tesorería y los que se emitan para regular la liquidez de la economía; sus rendimientos se atenderán con cargo al Presupuesto General de la Nación con excepción de los que se emitan para regular la liquidez de la economía y los que se emitan para operaciones temporales de tesorería; su redención se atenderá con cargo a los recursos del Presupuesto General de la Nación, con excepción de las operaciones temporales de tesorería, y los que se emitan para regular la liquidez de la economía; podrán ser administrados directamente por la Nación; podrán ser denominados en moneda extranjera; su emisión solo requerirá del decreto que la autorice, fije el monto y sus condiciones financieras; la emisión destinada a financiar las apropiaciones presupuestales estará limitada por el monto de estas; su emisión no afectará el cupo de endeudamiento. </w:t>
      </w:r>
    </w:p>
    <w:p w14:paraId="214F42FA" w14:textId="77777777" w:rsidR="003541E9" w:rsidRPr="009A0E79" w:rsidRDefault="003541E9" w:rsidP="00D808F4">
      <w:pPr>
        <w:spacing w:after="0" w:line="240" w:lineRule="auto"/>
        <w:jc w:val="both"/>
        <w:rPr>
          <w:rFonts w:ascii="Arial" w:hAnsi="Arial" w:cs="Arial"/>
          <w:color w:val="000000"/>
        </w:rPr>
      </w:pPr>
      <w:bookmarkStart w:id="12" w:name="ver_30180159"/>
      <w:bookmarkEnd w:id="12"/>
    </w:p>
    <w:p w14:paraId="78C93EF8"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w:t>
      </w:r>
      <w:r w:rsidRPr="009A0E79">
        <w:rPr>
          <w:rFonts w:ascii="Arial" w:hAnsi="Arial" w:cs="Arial"/>
          <w:color w:val="000000"/>
          <w:sz w:val="22"/>
          <w:szCs w:val="22"/>
        </w:rPr>
        <w:t xml:space="preserve"> Los rendimientos financieros originados con recursos de la </w:t>
      </w:r>
      <w:proofErr w:type="gramStart"/>
      <w:r w:rsidRPr="009A0E79">
        <w:rPr>
          <w:rFonts w:ascii="Arial" w:hAnsi="Arial" w:cs="Arial"/>
          <w:color w:val="000000"/>
          <w:sz w:val="22"/>
          <w:szCs w:val="22"/>
        </w:rPr>
        <w:t>Nación,</w:t>
      </w:r>
      <w:proofErr w:type="gramEnd"/>
      <w:r w:rsidRPr="009A0E79">
        <w:rPr>
          <w:rFonts w:ascii="Arial" w:hAnsi="Arial" w:cs="Arial"/>
          <w:color w:val="000000"/>
          <w:sz w:val="22"/>
          <w:szCs w:val="22"/>
        </w:rPr>
        <w:t xml:space="preserve"> deben consignarse en la Dirección General de Crédito Público y Tesoro Nacional del Ministerio de Hacienda y Crédito Público. Con excepción de aquellos rendimientos originados por patrimonios autónomos en los que la Ley haya determinado específicamente el tratamiento de dichos rendimientos, y los que genere la Administradora de Recursos del Sistema General de Seguridad Social en Salud (Adres) que requerirán para su ejecución incorporase previamente en su presupuesto. </w:t>
      </w:r>
    </w:p>
    <w:p w14:paraId="5B819B3D" w14:textId="77777777" w:rsidR="003541E9" w:rsidRPr="009A0E79" w:rsidRDefault="003541E9" w:rsidP="00D808F4">
      <w:pPr>
        <w:spacing w:after="0" w:line="240" w:lineRule="auto"/>
        <w:jc w:val="both"/>
        <w:rPr>
          <w:rFonts w:ascii="Arial" w:hAnsi="Arial" w:cs="Arial"/>
          <w:color w:val="000000"/>
        </w:rPr>
      </w:pPr>
      <w:bookmarkStart w:id="13" w:name="ver_30180160"/>
      <w:bookmarkEnd w:id="13"/>
    </w:p>
    <w:p w14:paraId="673F9902" w14:textId="279AE84D"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w:t>
      </w:r>
      <w:r w:rsidRPr="009A0E79">
        <w:rPr>
          <w:rFonts w:ascii="Arial" w:hAnsi="Arial" w:cs="Arial"/>
          <w:color w:val="000000"/>
          <w:sz w:val="22"/>
          <w:szCs w:val="22"/>
        </w:rPr>
        <w:t> Facúltese a la Dirección General de Crédito Público y Tesoro Nacional del Ministerio de Hacienda y Crédito Público para que realice las siguientes operaciones: compra y venta de títulos valores emitidos por la Nación, el Banco de la República, Fondo de Garantías de Instituciones Financieras (Fogarín), entidades sujetas al control y vigilancia de la Superintendencia Financiera de Colombia y otros gobiernos y tesorerías; compra de deuda de la Nación; compras con pacto de retroventa operaciones repo, simultáneas y transferencia temporal de valores con entidades públicas y con entidades financieras sujetas al control y vigilancia de la Superintendencia Financiera de Colombia; depósitos remunerados e inversiones financieras en entidades sujetas al control y vigilancia de la Superintendencia Financiera de Colombia; depósitos a término y compras de títulos emitidos por entidades bancarias y financieras del exterior; inversiones en instrumentos del mercado monetario administrados por entidades financieras del exterior, operaciones de cubrimiento de riesgos; préstamos transitorios a dicha Dirección General cuyo plazo se podrá prorrogar antes de su vencimiento, depósitos en administración de recursos de las entidades estatales de cualquier orden, eventos que no implica unidad de caja; préstamos de títulos valores a la citada Dirección a tasas de mercado; y las demás que autorice el Gobierno nacional. </w:t>
      </w:r>
    </w:p>
    <w:p w14:paraId="527CFBAD" w14:textId="77777777" w:rsidR="0014378D" w:rsidRPr="009A0E79" w:rsidRDefault="0014378D" w:rsidP="00D808F4">
      <w:pPr>
        <w:pStyle w:val="NormalWeb"/>
        <w:spacing w:before="0" w:beforeAutospacing="0" w:after="0" w:afterAutospacing="0"/>
        <w:jc w:val="both"/>
        <w:rPr>
          <w:rFonts w:ascii="Arial" w:hAnsi="Arial" w:cs="Arial"/>
          <w:color w:val="000000"/>
          <w:sz w:val="22"/>
          <w:szCs w:val="22"/>
        </w:rPr>
      </w:pPr>
    </w:p>
    <w:p w14:paraId="0DDDD7E4" w14:textId="6ABC174A"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Parágrafo 1°</w:t>
      </w:r>
      <w:r w:rsidRPr="009A0E79">
        <w:rPr>
          <w:rFonts w:ascii="Arial" w:hAnsi="Arial" w:cs="Arial"/>
          <w:color w:val="000000"/>
          <w:sz w:val="22"/>
          <w:szCs w:val="22"/>
        </w:rPr>
        <w:t>. Las operaciones de las que trata este artículo, así como los actos y contratos necesarios para su ejecución, se sujetarán a las normas aplicables a las operaciones correspondientes y se podrán atender con cargo al servicio a la deuda. </w:t>
      </w:r>
    </w:p>
    <w:p w14:paraId="4CD664F9"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12B00A77"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Parágrafo 2°.</w:t>
      </w:r>
      <w:r w:rsidRPr="009A0E79">
        <w:rPr>
          <w:rFonts w:ascii="Arial" w:hAnsi="Arial" w:cs="Arial"/>
          <w:color w:val="000000"/>
          <w:sz w:val="22"/>
          <w:szCs w:val="22"/>
        </w:rPr>
        <w:t xml:space="preserve"> En concordancia con lo establecido por el parágrafo 2° del artículo 41 de la Ley 80 de 1993, el artículo 31 del Estatuto Orgánico de Presupuesto y el Decreto 1068 de 2015, la </w:t>
      </w:r>
      <w:r w:rsidRPr="009A0E79">
        <w:rPr>
          <w:rFonts w:ascii="Arial" w:hAnsi="Arial" w:cs="Arial"/>
          <w:color w:val="000000"/>
          <w:sz w:val="22"/>
          <w:szCs w:val="22"/>
        </w:rPr>
        <w:lastRenderedPageBreak/>
        <w:t>Dirección General de Crédito Público y Tesoro Nacional podrá otorgar créditos de tesorería hasta por el plazo de un año a las entidades descentralizadas del orden nacional, de conformidad con los criterios técnicos y condiciones que establezca el Ministerio de Hacienda y Crédito Público, los cuales no podrán computar como recursos de capital de los respectivos presupuestos. Para el caso del Fondo Empresarial de la Superintendencia de Servicios Públicos creado por artículo 132 de la Ley 812 de 2003, la Dirección del Tesoro Nacional podrá otorgar créditos de tesorería a partir de la publicación del presente decreto, con una vigencia que no podrá superar 12 meses calendario desde la fecha de desembolso. </w:t>
      </w:r>
    </w:p>
    <w:p w14:paraId="068E3965" w14:textId="77777777" w:rsidR="003541E9" w:rsidRPr="009A0E79" w:rsidRDefault="003541E9" w:rsidP="00D808F4">
      <w:pPr>
        <w:spacing w:after="0" w:line="240" w:lineRule="auto"/>
        <w:jc w:val="both"/>
        <w:rPr>
          <w:rFonts w:ascii="Arial" w:hAnsi="Arial" w:cs="Arial"/>
          <w:color w:val="000000"/>
        </w:rPr>
      </w:pPr>
      <w:bookmarkStart w:id="14" w:name="ver_30180161"/>
      <w:bookmarkEnd w:id="14"/>
    </w:p>
    <w:p w14:paraId="44EFC88F" w14:textId="4B966788"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w:t>
      </w:r>
      <w:r w:rsidRPr="009A0E79">
        <w:rPr>
          <w:rFonts w:ascii="Arial" w:hAnsi="Arial" w:cs="Arial"/>
          <w:color w:val="000000"/>
          <w:sz w:val="22"/>
          <w:szCs w:val="22"/>
        </w:rPr>
        <w:t> La liquidación de los excedentes financieros de que trata el Estatuto Orgánico del Presupuesto, que se efectúen en la vigencia del presente decreto, se hará con base en una proyección de los ingresos y de los gastos para la vigencia siguiente a la de corte de los Estados Financieros, en donde se incluyen además las cuentas por cobrar y por pagar exigibles no presupuestadas, las reservas presupuestales, así como la disponibilidad inicial (caja, bancos e inversiones). </w:t>
      </w:r>
    </w:p>
    <w:p w14:paraId="3DEDE0E1"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40A7A43C"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bookmarkStart w:id="15" w:name="ver_30180162"/>
      <w:bookmarkEnd w:id="15"/>
      <w:r w:rsidRPr="009A0E79">
        <w:rPr>
          <w:rStyle w:val="Textoennegrita"/>
          <w:rFonts w:ascii="Arial" w:hAnsi="Arial" w:cs="Arial"/>
          <w:b w:val="0"/>
          <w:bCs w:val="0"/>
          <w:color w:val="000000"/>
          <w:sz w:val="22"/>
          <w:szCs w:val="22"/>
        </w:rPr>
        <w:t>Artículo 12.</w:t>
      </w:r>
      <w:r w:rsidRPr="009A0E79">
        <w:rPr>
          <w:rFonts w:ascii="Arial" w:hAnsi="Arial" w:cs="Arial"/>
          <w:color w:val="000000"/>
          <w:sz w:val="22"/>
          <w:szCs w:val="22"/>
        </w:rPr>
        <w:t xml:space="preserve"> Los títulos que se emitan para efectuar transferencia temporal de valores en los términos del artículo 146 de la Ley 1753 de 2015, solo requerirán del decreto que lo autorice, fije el monto y sus condiciones financieras. Su redención y demás valores </w:t>
      </w:r>
      <w:proofErr w:type="gramStart"/>
      <w:r w:rsidRPr="009A0E79">
        <w:rPr>
          <w:rFonts w:ascii="Arial" w:hAnsi="Arial" w:cs="Arial"/>
          <w:color w:val="000000"/>
          <w:sz w:val="22"/>
          <w:szCs w:val="22"/>
        </w:rPr>
        <w:t>asociados,</w:t>
      </w:r>
      <w:proofErr w:type="gramEnd"/>
      <w:r w:rsidRPr="009A0E79">
        <w:rPr>
          <w:rFonts w:ascii="Arial" w:hAnsi="Arial" w:cs="Arial"/>
          <w:color w:val="000000"/>
          <w:sz w:val="22"/>
          <w:szCs w:val="22"/>
        </w:rPr>
        <w:t xml:space="preserve"> se atenderán con el producto de la operación de transferencia y no requerirán de operación presupuestal alguna. </w:t>
      </w:r>
    </w:p>
    <w:p w14:paraId="1247EE2F" w14:textId="32827951" w:rsidR="003541E9" w:rsidRPr="009A0E79" w:rsidRDefault="003541E9" w:rsidP="002118E6">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16" w:name="ver_30180163"/>
      <w:bookmarkEnd w:id="16"/>
    </w:p>
    <w:p w14:paraId="6C8948A1"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13.</w:t>
      </w:r>
      <w:r w:rsidRPr="009A0E79">
        <w:rPr>
          <w:rFonts w:ascii="Arial" w:hAnsi="Arial" w:cs="Arial"/>
          <w:color w:val="000000"/>
          <w:sz w:val="22"/>
          <w:szCs w:val="22"/>
        </w:rPr>
        <w:t> A más tardar el 15 enero de 2019, los órganos que conforman el Presupuesto General de la Nación deben realizar de forma definitiva la imputación por concepto de ingresos a que corresponden los registros detallados de recaudos de su gestión financiera pública a 31 de diciembre del año anterior en el Sistema Integrado de Información Financiera - SIIF Nación. </w:t>
      </w:r>
    </w:p>
    <w:p w14:paraId="69B4343C" w14:textId="77777777" w:rsidR="003541E9" w:rsidRPr="009A0E79" w:rsidRDefault="003541E9" w:rsidP="00D808F4">
      <w:pPr>
        <w:spacing w:after="0" w:line="240" w:lineRule="auto"/>
        <w:jc w:val="both"/>
        <w:rPr>
          <w:rFonts w:ascii="Arial" w:hAnsi="Arial" w:cs="Arial"/>
          <w:color w:val="000000"/>
        </w:rPr>
      </w:pPr>
      <w:bookmarkStart w:id="17" w:name="ver_30180164"/>
      <w:bookmarkEnd w:id="17"/>
    </w:p>
    <w:p w14:paraId="4144C36E" w14:textId="5274E41A"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14.</w:t>
      </w:r>
      <w:r w:rsidRPr="009A0E79">
        <w:rPr>
          <w:rFonts w:ascii="Arial" w:hAnsi="Arial" w:cs="Arial"/>
          <w:color w:val="000000"/>
          <w:sz w:val="22"/>
          <w:szCs w:val="22"/>
        </w:rPr>
        <w:t> Las afectaciones al presupuesto se harán teniendo en cuenta la prestación principal originada en los compromisos que se adquieran y con cargo a este rubro se cubrirán los demás costos inherentes o accesorios. </w:t>
      </w:r>
    </w:p>
    <w:p w14:paraId="695FA4D1"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060A2071"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Con cargo a las apropiaciones de cada rubro presupuestal, que sean afectadas con los compromisos, se atenderán las obligaciones derivadas de estos compromisos, tales como los costos imprevistos, ajustes y revisión de valores e intereses moratorios, gravámenes a los movimientos financieros y gastos de nacionalización. </w:t>
      </w:r>
    </w:p>
    <w:p w14:paraId="4D8B3B7C" w14:textId="77777777" w:rsidR="003541E9" w:rsidRPr="009A0E79" w:rsidRDefault="003541E9" w:rsidP="00D808F4">
      <w:pPr>
        <w:spacing w:after="0" w:line="240" w:lineRule="auto"/>
        <w:jc w:val="both"/>
        <w:rPr>
          <w:rFonts w:ascii="Arial" w:hAnsi="Arial" w:cs="Arial"/>
          <w:color w:val="000000"/>
        </w:rPr>
      </w:pPr>
      <w:bookmarkStart w:id="18" w:name="ver_30180165"/>
      <w:bookmarkEnd w:id="18"/>
    </w:p>
    <w:p w14:paraId="7175D2DE"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15.</w:t>
      </w:r>
      <w:r w:rsidRPr="009A0E79">
        <w:rPr>
          <w:rFonts w:ascii="Arial" w:hAnsi="Arial" w:cs="Arial"/>
          <w:color w:val="000000"/>
          <w:sz w:val="22"/>
          <w:szCs w:val="22"/>
        </w:rPr>
        <w:t> Prohíbase tramitar actos administrativos u obligaciones que afecten el presupuesto de gastos cuando no reúnan los requisitos legales o se configuren como hechos cumplidos. El representante legal y ordenador del gasto o en quienes estos hayan delegado, responderán disciplinaria, fiscal y penalmente por incumplir lo establecido en esta norma. </w:t>
      </w:r>
    </w:p>
    <w:p w14:paraId="50279226" w14:textId="77777777" w:rsidR="003541E9" w:rsidRPr="009A0E79" w:rsidRDefault="003541E9" w:rsidP="00D808F4">
      <w:pPr>
        <w:spacing w:after="0" w:line="240" w:lineRule="auto"/>
        <w:jc w:val="both"/>
        <w:rPr>
          <w:rFonts w:ascii="Arial" w:hAnsi="Arial" w:cs="Arial"/>
          <w:color w:val="000000"/>
        </w:rPr>
      </w:pPr>
      <w:bookmarkStart w:id="19" w:name="ver_30180166"/>
      <w:bookmarkEnd w:id="19"/>
    </w:p>
    <w:p w14:paraId="191E8D41" w14:textId="1542CAEF"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16.</w:t>
      </w:r>
      <w:r w:rsidRPr="009A0E79">
        <w:rPr>
          <w:rFonts w:ascii="Arial" w:hAnsi="Arial" w:cs="Arial"/>
          <w:color w:val="000000"/>
          <w:sz w:val="22"/>
          <w:szCs w:val="22"/>
        </w:rPr>
        <w:t> Para proveer empleos vacantes se requerirá el certificado de disponibilidad presupuestal por la vigencia fiscal de 2019, por medio de este, el jefe de presupuesto o quien haga sus veces garantizará la existencia de los recursos del 1° de enero al 31 de diciembre de 2019, por todo concepto de gastos de personal, salvo que el nombramiento sea en reemplazo de un cargo provisto o creado durante la vigencia, para lo cual se deberá expedir el certificado de disponibilidad presupuestal por lo que resta del año fiscal. </w:t>
      </w:r>
    </w:p>
    <w:p w14:paraId="3E6FE09B"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441DBB19" w14:textId="65087379"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Toda provisión de empleos de los servidores públicos deberá corresponder a los previstos en la planta de personal, incluyendo las vinculaciones de los trabajadores oficiales y tener previstos sus </w:t>
      </w:r>
      <w:r w:rsidRPr="009A0E79">
        <w:rPr>
          <w:rFonts w:ascii="Arial" w:hAnsi="Arial" w:cs="Arial"/>
          <w:color w:val="000000"/>
          <w:sz w:val="22"/>
          <w:szCs w:val="22"/>
        </w:rPr>
        <w:lastRenderedPageBreak/>
        <w:t>emolumentos de conformidad con el artículo 122 de la Constitución Política, los cuales están programados atendiendo lo señalado en el artículo 92 de la Ley 617 de 2000. </w:t>
      </w:r>
    </w:p>
    <w:p w14:paraId="1042C8A5"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439F88AC" w14:textId="6D1813B1"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 vinculación de supernumerarios, por períodos superiores a tres meses, deberá ser autorizada mediante resolución suscrita por el jefe del respectivo órgano. </w:t>
      </w:r>
    </w:p>
    <w:p w14:paraId="4FB85E84"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5A4AF91D"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En cumplimiento del artículo 49 de la Ley 179 de 1994, previo al inicio de un proceso de concurso de méritos para proveer los cargos de carrera administrativa, la entidad deberá certificar la disponibilidad presupuestal para atender el costo del concurso, los cargos que se convocarán, y su provisión. </w:t>
      </w:r>
    </w:p>
    <w:p w14:paraId="02FA653E" w14:textId="0540B0F2" w:rsidR="003541E9" w:rsidRPr="009A0E79" w:rsidRDefault="003541E9" w:rsidP="00D450D9">
      <w:pPr>
        <w:pStyle w:val="NormalWeb"/>
        <w:spacing w:before="0" w:beforeAutospacing="0" w:after="0" w:afterAutospacing="0"/>
        <w:jc w:val="both"/>
        <w:rPr>
          <w:rFonts w:ascii="Arial" w:hAnsi="Arial" w:cs="Arial"/>
          <w:color w:val="000000"/>
        </w:rPr>
      </w:pPr>
      <w:r w:rsidRPr="009A0E79">
        <w:rPr>
          <w:rFonts w:ascii="Arial" w:hAnsi="Arial" w:cs="Arial"/>
          <w:color w:val="000000"/>
          <w:sz w:val="22"/>
          <w:szCs w:val="22"/>
        </w:rPr>
        <w:t>  </w:t>
      </w:r>
      <w:bookmarkStart w:id="20" w:name="ver_30180167"/>
      <w:bookmarkEnd w:id="20"/>
    </w:p>
    <w:p w14:paraId="5B0AA40F" w14:textId="6F0ED979"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17.</w:t>
      </w:r>
      <w:r w:rsidRPr="009A0E79">
        <w:rPr>
          <w:rFonts w:ascii="Arial" w:hAnsi="Arial" w:cs="Arial"/>
          <w:color w:val="000000"/>
          <w:sz w:val="22"/>
          <w:szCs w:val="22"/>
        </w:rPr>
        <w:t> La solicitud de modificación a las plantas de personal requerirá para su consideración y trámite, por parte del Ministerio de Hacienda y Crédito Público - Dirección General del Presupuesto Público Nacional, los siguientes requisitos: </w:t>
      </w:r>
    </w:p>
    <w:p w14:paraId="27B9E9E6"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4244B78E" w14:textId="77777777" w:rsidR="003541E9" w:rsidRPr="009A0E79" w:rsidRDefault="003541E9" w:rsidP="00D450D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1. Exposición de motivos. </w:t>
      </w:r>
    </w:p>
    <w:p w14:paraId="483E6A29" w14:textId="77777777" w:rsidR="002118E6" w:rsidRPr="009A0E79" w:rsidRDefault="002118E6" w:rsidP="00D808F4">
      <w:pPr>
        <w:pStyle w:val="NormalWeb"/>
        <w:spacing w:before="0" w:beforeAutospacing="0" w:after="0" w:afterAutospacing="0"/>
        <w:ind w:left="760"/>
        <w:jc w:val="both"/>
        <w:rPr>
          <w:rFonts w:ascii="Arial" w:hAnsi="Arial" w:cs="Arial"/>
          <w:color w:val="000000"/>
          <w:sz w:val="22"/>
          <w:szCs w:val="22"/>
        </w:rPr>
      </w:pPr>
    </w:p>
    <w:p w14:paraId="6142A6D7" w14:textId="224EE89C" w:rsidR="003541E9" w:rsidRPr="009A0E79" w:rsidRDefault="003541E9" w:rsidP="00D450D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2. Costos comparativos de las plantas vigente y propuesta. </w:t>
      </w:r>
    </w:p>
    <w:p w14:paraId="249C4E44" w14:textId="77777777" w:rsidR="002118E6" w:rsidRPr="009A0E79" w:rsidRDefault="002118E6" w:rsidP="00D808F4">
      <w:pPr>
        <w:pStyle w:val="NormalWeb"/>
        <w:spacing w:before="0" w:beforeAutospacing="0" w:after="0" w:afterAutospacing="0"/>
        <w:ind w:left="760"/>
        <w:jc w:val="both"/>
        <w:rPr>
          <w:rFonts w:ascii="Arial" w:hAnsi="Arial" w:cs="Arial"/>
          <w:color w:val="000000"/>
          <w:sz w:val="22"/>
          <w:szCs w:val="22"/>
        </w:rPr>
      </w:pPr>
    </w:p>
    <w:p w14:paraId="5507614B" w14:textId="1D7B774C" w:rsidR="003541E9" w:rsidRPr="009A0E79" w:rsidRDefault="003541E9" w:rsidP="00D450D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3. Efectos sobre los gastos generales. </w:t>
      </w:r>
    </w:p>
    <w:p w14:paraId="318E25BA" w14:textId="77777777" w:rsidR="002118E6" w:rsidRPr="009A0E79" w:rsidRDefault="002118E6" w:rsidP="00D808F4">
      <w:pPr>
        <w:pStyle w:val="NormalWeb"/>
        <w:spacing w:before="0" w:beforeAutospacing="0" w:after="0" w:afterAutospacing="0"/>
        <w:ind w:left="760"/>
        <w:jc w:val="both"/>
        <w:rPr>
          <w:rFonts w:ascii="Arial" w:hAnsi="Arial" w:cs="Arial"/>
          <w:color w:val="000000"/>
          <w:sz w:val="22"/>
          <w:szCs w:val="22"/>
        </w:rPr>
      </w:pPr>
    </w:p>
    <w:p w14:paraId="172C5643" w14:textId="1B734E43" w:rsidR="003541E9" w:rsidRPr="009A0E79" w:rsidRDefault="003541E9" w:rsidP="00D450D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4. Concepto del Departamento Nacional de Planeación si se afectan los gastos de inversión y, </w:t>
      </w:r>
    </w:p>
    <w:p w14:paraId="74AF44D6" w14:textId="77777777" w:rsidR="002118E6" w:rsidRPr="009A0E79" w:rsidRDefault="002118E6" w:rsidP="00D808F4">
      <w:pPr>
        <w:pStyle w:val="NormalWeb"/>
        <w:spacing w:before="0" w:beforeAutospacing="0" w:after="0" w:afterAutospacing="0"/>
        <w:ind w:left="760"/>
        <w:jc w:val="both"/>
        <w:rPr>
          <w:rFonts w:ascii="Arial" w:hAnsi="Arial" w:cs="Arial"/>
          <w:color w:val="000000"/>
          <w:sz w:val="22"/>
          <w:szCs w:val="22"/>
        </w:rPr>
      </w:pPr>
    </w:p>
    <w:p w14:paraId="1AF5FDEB" w14:textId="02F0C726" w:rsidR="003541E9" w:rsidRPr="009A0E79" w:rsidRDefault="003541E9" w:rsidP="00D450D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5. Los demás que la Dirección General del Presupuesto Público Nacional conside</w:t>
      </w:r>
      <w:r w:rsidRPr="009A0E79">
        <w:rPr>
          <w:rFonts w:ascii="Arial" w:hAnsi="Arial" w:cs="Arial"/>
          <w:color w:val="000000"/>
          <w:sz w:val="22"/>
          <w:szCs w:val="22"/>
        </w:rPr>
        <w:softHyphen/>
        <w:t>re pertinentes. </w:t>
      </w:r>
    </w:p>
    <w:p w14:paraId="6A14A497" w14:textId="77777777" w:rsidR="002118E6" w:rsidRPr="009A0E79" w:rsidRDefault="002118E6" w:rsidP="00D808F4">
      <w:pPr>
        <w:pStyle w:val="NormalWeb"/>
        <w:spacing w:before="0" w:beforeAutospacing="0" w:after="0" w:afterAutospacing="0"/>
        <w:ind w:left="760"/>
        <w:jc w:val="both"/>
        <w:rPr>
          <w:rFonts w:ascii="Arial" w:hAnsi="Arial" w:cs="Arial"/>
          <w:color w:val="000000"/>
          <w:sz w:val="22"/>
          <w:szCs w:val="22"/>
        </w:rPr>
      </w:pPr>
    </w:p>
    <w:p w14:paraId="6A1ACEF9"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El Departamento Administrativo de la Función Pública aprobará las propuestas de modificaciones a las plantas de personal, cuando hayan obtenido concepto o viabilidad presupuestal del Ministerio de Hacienda y Crédito Público - Dirección General del Presupuesto Público Nacional. </w:t>
      </w:r>
    </w:p>
    <w:p w14:paraId="3F52345C" w14:textId="3E9685AC" w:rsidR="003541E9" w:rsidRPr="009A0E79" w:rsidRDefault="003541E9" w:rsidP="002118E6">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21" w:name="ver_30180169"/>
      <w:bookmarkEnd w:id="21"/>
    </w:p>
    <w:p w14:paraId="4FAF89A8" w14:textId="2F92F05A"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18.</w:t>
      </w:r>
      <w:r w:rsidRPr="009A0E79">
        <w:rPr>
          <w:rFonts w:ascii="Arial" w:hAnsi="Arial" w:cs="Arial"/>
          <w:color w:val="000000"/>
          <w:sz w:val="22"/>
          <w:szCs w:val="22"/>
        </w:rPr>
        <w:t> Los recursos destinados a programas de capacitación y bienestar social no pueden tener por objeto crear o incrementar salarios, bonificaciones, sobresueldos, primas, prestaciones sociales, remuneraciones extralegales o estímulos pecuniarios ocasionales que la ley no haya establecido para los servidores públicos, ni servir para otorgar beneficios directos en dinero o en especie. </w:t>
      </w:r>
    </w:p>
    <w:p w14:paraId="331B7082"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1C40E2E0"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Todos los funcionarios públicos de la planta permanente o temporal podrán participar en los programas de capacitación de la entidad; las matrículas de los funcionarios de la planta permanente o temporal se girarán directamente a los establecimientos educativos, salvo lo previsto por el artículo 114 de la Ley 30 de 1992, modificado por el artículo 27 de la Ley 1450 de 2011. Su otorgamiento se hará en virtud de la reglamentación interna para la planta permanente o temporal del órgano respectivo. </w:t>
      </w:r>
    </w:p>
    <w:p w14:paraId="004C73FC" w14:textId="77777777" w:rsidR="003541E9" w:rsidRPr="009A0E79" w:rsidRDefault="003541E9" w:rsidP="00D808F4">
      <w:pPr>
        <w:spacing w:after="0" w:line="240" w:lineRule="auto"/>
        <w:jc w:val="both"/>
        <w:rPr>
          <w:rFonts w:ascii="Arial" w:hAnsi="Arial" w:cs="Arial"/>
          <w:color w:val="000000"/>
        </w:rPr>
      </w:pPr>
      <w:bookmarkStart w:id="22" w:name="ver_30180170"/>
      <w:bookmarkEnd w:id="22"/>
    </w:p>
    <w:p w14:paraId="100A3E67"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19.</w:t>
      </w:r>
      <w:r w:rsidRPr="009A0E79">
        <w:rPr>
          <w:rFonts w:ascii="Arial" w:hAnsi="Arial" w:cs="Arial"/>
          <w:color w:val="000000"/>
          <w:sz w:val="22"/>
          <w:szCs w:val="22"/>
        </w:rPr>
        <w:t> La constitución y funcionamiento de las cajas menores en los órganos que conforman el Presupuesto General de la Nación, y en las entidades nacionales con régimen presupuestal de Empresas Industriales y Comerciales del Estado con carácter no financiero, respecto de los recursos que le asigna la Nación, se rigen por el Decreto 1068 de 2015 y demás normas que lo modifiquen o adicionen. </w:t>
      </w:r>
    </w:p>
    <w:p w14:paraId="74089D34" w14:textId="77777777" w:rsidR="003541E9" w:rsidRPr="009A0E79" w:rsidRDefault="003541E9" w:rsidP="00D808F4">
      <w:pPr>
        <w:spacing w:after="0" w:line="240" w:lineRule="auto"/>
        <w:jc w:val="both"/>
        <w:rPr>
          <w:rFonts w:ascii="Arial" w:hAnsi="Arial" w:cs="Arial"/>
          <w:color w:val="000000"/>
        </w:rPr>
      </w:pPr>
      <w:bookmarkStart w:id="23" w:name="ver_30180171"/>
      <w:bookmarkEnd w:id="23"/>
    </w:p>
    <w:p w14:paraId="0983CD69" w14:textId="3EB7ED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20</w:t>
      </w:r>
      <w:r w:rsidRPr="009A0E79">
        <w:rPr>
          <w:rFonts w:ascii="Arial" w:hAnsi="Arial" w:cs="Arial"/>
          <w:color w:val="000000"/>
          <w:sz w:val="22"/>
          <w:szCs w:val="22"/>
        </w:rPr>
        <w:t xml:space="preserve">. Se podrán hacer distribuciones en el presupuesto de ingresos y gastos, sin cambiar su destinación, mediante resolución suscrita por el jefe del respectivo órgano. En el caso de los </w:t>
      </w:r>
      <w:r w:rsidRPr="009A0E79">
        <w:rPr>
          <w:rFonts w:ascii="Arial" w:hAnsi="Arial" w:cs="Arial"/>
          <w:color w:val="000000"/>
          <w:sz w:val="22"/>
          <w:szCs w:val="22"/>
        </w:rPr>
        <w:lastRenderedPageBreak/>
        <w:t>establecimientos públicos del orden nacional, estas distribuciones se harán por resolución o acuerdo de las juntas o consejos directivos. Si no existen juntas o consejos directivos, lo hará el representante legal de estos. Estas operaciones presupuestales se someterán a la aprobación del Ministerio de Hacienda y Crédito Público - Dirección General del Presupuesto Público Nacional, y tratándose de gastos de inversión, requerirán el concepto previo favorable del Departamento Nacional de Planeación - Dirección de Inversiones y Finanzas Públicas. </w:t>
      </w:r>
    </w:p>
    <w:p w14:paraId="311DB796"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206BE207"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Los jefes de los órganos responderán por la legalidad de los actos en mención. </w:t>
      </w:r>
    </w:p>
    <w:p w14:paraId="70EB08C6" w14:textId="77777777" w:rsidR="00D450D9" w:rsidRPr="009A0E79" w:rsidRDefault="00D450D9" w:rsidP="00D808F4">
      <w:pPr>
        <w:pStyle w:val="NormalWeb"/>
        <w:spacing w:before="0" w:beforeAutospacing="0" w:after="0" w:afterAutospacing="0"/>
        <w:jc w:val="both"/>
        <w:rPr>
          <w:rFonts w:ascii="Arial" w:hAnsi="Arial" w:cs="Arial"/>
          <w:color w:val="000000"/>
          <w:sz w:val="22"/>
          <w:szCs w:val="22"/>
        </w:rPr>
      </w:pPr>
    </w:p>
    <w:p w14:paraId="65CAF8D0" w14:textId="5C18C8A9"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A fin de evitar duplicaciones en los casos en los cuales la distribución afecte el presupuesto de otro órgano que haga parte del Presupuesto General de la Nación, el mismo acto administrativo servirá de base para realizar los ajustes correspondientes en el órgano que distribuye e incorporar las del órgano receptor. La ejecución presupuestal de estas deberá efectuarse por parte de los órganos receptores en la misma vigencia de la distribución. </w:t>
      </w:r>
    </w:p>
    <w:p w14:paraId="3DD6ED10"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36B82E56" w14:textId="7951475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Tratándose de gastos de inversión, la operación presupuestal descrita, en el órgano receptor se clasificará en el programa y subprograma a ejecutar que corresponda, para los gastos de funcionamiento se asignará al rubro presupuestal correspondiente; estas operaciones de inversión y funcionamiento en ningún caso podrán cambiar la destinación ni la cuantía, lo cual deberá constar en el acto administrativo que para tal fin se expida. </w:t>
      </w:r>
    </w:p>
    <w:p w14:paraId="3E2ACE37"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071B290A" w14:textId="22A0F153"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El jefe del órgano o en quien este haya delegado la ordenación del gasto podrá efectuar mediante resolución desagregaciones presupuestales a las apropiaciones contenidas en el anexo del decreto de liquidación, así como efectuar asignaciones internas de apropiaciones en sus dependencias, seccionales o regionales a fin de facilitar su manejo operativo y de gestión, sin que las mismas impliquen cambiar su destinación. Estas desagregaciones y asignaciones deberán quedar registradas en el Sistema Integrado de Información Financiera - SIIF Nación, y para su validez no requerirán aprobación del Ministerio de Hacienda y Crédito Público - Dirección General del Presupuesto Público Nacional ni del previo concepto favorable por parte del Departamento Nacional de Planeación - Dirección de Inversiones y Finanzas Públicas tratándose de gastos de inversión. </w:t>
      </w:r>
    </w:p>
    <w:p w14:paraId="38021470" w14:textId="77777777" w:rsidR="003541E9" w:rsidRPr="009A0E79" w:rsidRDefault="003541E9" w:rsidP="00D808F4">
      <w:pPr>
        <w:spacing w:after="0" w:line="240" w:lineRule="auto"/>
        <w:jc w:val="both"/>
        <w:rPr>
          <w:rFonts w:ascii="Arial" w:hAnsi="Arial" w:cs="Arial"/>
          <w:color w:val="000000"/>
        </w:rPr>
      </w:pPr>
      <w:bookmarkStart w:id="24" w:name="ver_30180172"/>
      <w:bookmarkEnd w:id="24"/>
    </w:p>
    <w:p w14:paraId="42D6E22E"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21.</w:t>
      </w:r>
      <w:r w:rsidRPr="009A0E79">
        <w:rPr>
          <w:rFonts w:ascii="Arial" w:hAnsi="Arial" w:cs="Arial"/>
          <w:color w:val="000000"/>
          <w:sz w:val="22"/>
          <w:szCs w:val="22"/>
        </w:rPr>
        <w:t xml:space="preserve"> Los órganos de que trata el artículo 3° del presente decreto podrán pactar anticipos únicamente cuando cuenten con Programa Anual Mensualizado de Caja (PAC) de la vigencia, aprobado por el </w:t>
      </w:r>
      <w:proofErr w:type="spellStart"/>
      <w:r w:rsidRPr="009A0E79">
        <w:rPr>
          <w:rFonts w:ascii="Arial" w:hAnsi="Arial" w:cs="Arial"/>
          <w:color w:val="000000"/>
          <w:sz w:val="22"/>
          <w:szCs w:val="22"/>
        </w:rPr>
        <w:t>Confis</w:t>
      </w:r>
      <w:proofErr w:type="spellEnd"/>
      <w:r w:rsidRPr="009A0E79">
        <w:rPr>
          <w:rFonts w:ascii="Arial" w:hAnsi="Arial" w:cs="Arial"/>
          <w:color w:val="000000"/>
          <w:sz w:val="22"/>
          <w:szCs w:val="22"/>
        </w:rPr>
        <w:t> </w:t>
      </w:r>
    </w:p>
    <w:p w14:paraId="48AFE237" w14:textId="77777777" w:rsidR="003541E9" w:rsidRPr="009A0E79" w:rsidRDefault="003541E9" w:rsidP="00D808F4">
      <w:pPr>
        <w:spacing w:after="0" w:line="240" w:lineRule="auto"/>
        <w:jc w:val="both"/>
        <w:rPr>
          <w:rFonts w:ascii="Arial" w:hAnsi="Arial" w:cs="Arial"/>
          <w:color w:val="000000"/>
        </w:rPr>
      </w:pPr>
      <w:bookmarkStart w:id="25" w:name="ver_30180173"/>
      <w:bookmarkEnd w:id="25"/>
    </w:p>
    <w:p w14:paraId="1E863A37" w14:textId="1356C1B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22.</w:t>
      </w:r>
      <w:r w:rsidRPr="009A0E79">
        <w:rPr>
          <w:rFonts w:ascii="Arial" w:hAnsi="Arial" w:cs="Arial"/>
          <w:color w:val="000000"/>
          <w:sz w:val="22"/>
          <w:szCs w:val="22"/>
        </w:rPr>
        <w:t> El Gobierno nacional en el decreto de liquidación clasificará los ingresos y gastos y definirá estos últimos. </w:t>
      </w:r>
    </w:p>
    <w:p w14:paraId="025244AE"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1E74087B" w14:textId="2921675B"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Así mismo, cuando las partidas se incorporen en numerales rentísticos, secciones, programas y subprogramas que no correspondan a su objeto o naturaleza, las ubicará en el sitio que corresponda. </w:t>
      </w:r>
    </w:p>
    <w:p w14:paraId="0186E4FB"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64760882" w14:textId="2F0B3046"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 Dirección General del Presupuesto Público Nacional del Ministerio de Hacienda y Crédito Público hará mediante resolución, las operaciones que en igual sentido se requieran durante el transcurso de la vigencia. </w:t>
      </w:r>
    </w:p>
    <w:p w14:paraId="5B47C505"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1F315B6A"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Cuando se trate del presupuesto de gastos de inversión requerirá el concepto previo favorable del Departamento Nacional de Planeación - Dirección de Inversiones y Finanzas Públicas. </w:t>
      </w:r>
    </w:p>
    <w:p w14:paraId="438CB279" w14:textId="77777777" w:rsidR="003541E9" w:rsidRPr="009A0E79" w:rsidRDefault="003541E9" w:rsidP="00D808F4">
      <w:pPr>
        <w:spacing w:after="0" w:line="240" w:lineRule="auto"/>
        <w:jc w:val="both"/>
        <w:rPr>
          <w:rFonts w:ascii="Arial" w:hAnsi="Arial" w:cs="Arial"/>
          <w:color w:val="000000"/>
        </w:rPr>
      </w:pPr>
      <w:bookmarkStart w:id="26" w:name="ver_30180175"/>
      <w:bookmarkEnd w:id="26"/>
    </w:p>
    <w:p w14:paraId="07A791F2" w14:textId="6B5E431E"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lastRenderedPageBreak/>
        <w:t>Artículo 23.</w:t>
      </w:r>
      <w:r w:rsidRPr="009A0E79">
        <w:rPr>
          <w:rFonts w:ascii="Arial" w:hAnsi="Arial" w:cs="Arial"/>
          <w:color w:val="000000"/>
          <w:sz w:val="22"/>
          <w:szCs w:val="22"/>
        </w:rPr>
        <w:t> El Ministerio de Hacienda y Crédito Público - Dirección General del Presupuesto Público Nacional, de oficio o a petición del jefe del órgano respectivo, hará por resolución las aclaraciones y correcciones de leyenda necesarias para enmendar los errores de transcripción y aritméticos que figuren en el Presupuesto General de la Nación para la vigencia fiscal de 2019. </w:t>
      </w:r>
    </w:p>
    <w:p w14:paraId="1A41C672"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4296970E"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Cuando se trate de aclaraciones y correcciones de leyenda del presupuesto de gastos de inversión, se requerirá el concepto previo favorable del Departamento Nacional de Planeación - Dirección de Inversiones y Finanzas Públicas. </w:t>
      </w:r>
    </w:p>
    <w:p w14:paraId="262DB906" w14:textId="77777777" w:rsidR="003541E9" w:rsidRPr="009A0E79" w:rsidRDefault="003541E9" w:rsidP="00D808F4">
      <w:pPr>
        <w:spacing w:after="0" w:line="240" w:lineRule="auto"/>
        <w:jc w:val="both"/>
        <w:rPr>
          <w:rFonts w:ascii="Arial" w:hAnsi="Arial" w:cs="Arial"/>
          <w:color w:val="000000"/>
        </w:rPr>
      </w:pPr>
      <w:bookmarkStart w:id="27" w:name="ver_30180176"/>
      <w:bookmarkEnd w:id="27"/>
    </w:p>
    <w:p w14:paraId="431FD2DA"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24</w:t>
      </w:r>
      <w:r w:rsidRPr="009A0E79">
        <w:rPr>
          <w:rFonts w:ascii="Arial" w:hAnsi="Arial" w:cs="Arial"/>
          <w:color w:val="000000"/>
          <w:sz w:val="22"/>
          <w:szCs w:val="22"/>
        </w:rPr>
        <w:t xml:space="preserve">. Los órganos de que trata el artículo 3° del presente decreto son los únicos responsables por el registro de su gestión financiera pública en el Sistema Integrado de Información Financiera SIIF - </w:t>
      </w:r>
      <w:proofErr w:type="spellStart"/>
      <w:r w:rsidRPr="009A0E79">
        <w:rPr>
          <w:rFonts w:ascii="Arial" w:hAnsi="Arial" w:cs="Arial"/>
          <w:color w:val="000000"/>
          <w:sz w:val="22"/>
          <w:szCs w:val="22"/>
        </w:rPr>
        <w:t>Nación.No</w:t>
      </w:r>
      <w:proofErr w:type="spellEnd"/>
      <w:r w:rsidRPr="009A0E79">
        <w:rPr>
          <w:rFonts w:ascii="Arial" w:hAnsi="Arial" w:cs="Arial"/>
          <w:color w:val="000000"/>
          <w:sz w:val="22"/>
          <w:szCs w:val="22"/>
        </w:rPr>
        <w:t xml:space="preserve"> se requerirá el envío de ninguna información a la Dirección General del Presupuesto Público Nacional del Ministerio de Hacienda y Crédito Público, que quede registrada en el Sistema Integrado de Información Financiera SIIF - Nación, salvo en aquellos casos en que esta de forma expresa lo solicite. </w:t>
      </w:r>
    </w:p>
    <w:p w14:paraId="1C1F00A9" w14:textId="23681383" w:rsidR="003541E9" w:rsidRPr="009A0E79" w:rsidRDefault="003541E9" w:rsidP="002118E6">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28" w:name="ver_30180177"/>
      <w:bookmarkEnd w:id="28"/>
    </w:p>
    <w:p w14:paraId="6C69103C" w14:textId="6AC15C35"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25.</w:t>
      </w:r>
      <w:r w:rsidRPr="009A0E79">
        <w:rPr>
          <w:rFonts w:ascii="Arial" w:hAnsi="Arial" w:cs="Arial"/>
          <w:color w:val="000000"/>
          <w:sz w:val="22"/>
          <w:szCs w:val="22"/>
        </w:rPr>
        <w:t> Cuando los órganos que hacen parte del Presupuesto General de la Nación celebren contratos entre sí, que afecten sus presupuestos, con excepción de los de crédito, harán los ajustes mediante resoluciones del jefe del órgano respectivo. En el caso de los establecimientos públicos del orden nacional, las Superintendencias y Unidades Administrativas Especiales con personería jurídica, así como las señaladas en el artículo 5° del Estatuto Orgánico del Presupuesto, dichos ajustes deben realizarse por acuerdo o resolución de las juntas o consejos directivos o el representante legal del órgano, si no existen juntas o consejos directivos. </w:t>
      </w:r>
    </w:p>
    <w:p w14:paraId="16FB525F"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15A0BA85" w14:textId="4293B651"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Los actos administrativos a que se refiere el inciso anterior deberán ser remitidos al Ministerio de Hacienda y Crédito Público - Dirección General del Presupuesto Público Nacional, acompañados del respectivo certificado en que se haga constar que se recaudarán los recursos, expedido por el órgano contratista y su justificación económica, para la aprobación de las operaciones presupuestales en ellos contenidas, requisito sin el cual no podrán ser ejecutados. De conformidad con el artículo 8° de la Ley 819 de 2003, los recursos deberán ser incorporados y ejecutados en la misma vigencia fiscal en la que se lleve a cabo la aprobación. </w:t>
      </w:r>
    </w:p>
    <w:p w14:paraId="37C616EB"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5220495F" w14:textId="456A18E0"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Cuando en los convenios se pacte pago anticipado y para el cumplimiento de su objeto el órgano contratista requiera contratar con un tercero, solo podrá solicitarse el giro efectivo de los recursos a la Dirección General de Crédito Público y Tesoro Nacional una vez dicho órgano adquiera el compromiso presupuestal y se encuentren cumplidos los requisitos que hagan exigible su pago a favor del beneficiario final. </w:t>
      </w:r>
    </w:p>
    <w:p w14:paraId="12492B9C"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3BAB9F2C" w14:textId="1C1AB82C"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Tratándose de gastos de inversión, requerirán el concepto previo favorable del Departamento Nacional de Planeación - Dirección de Inversiones y Finanzas Públicas. </w:t>
      </w:r>
    </w:p>
    <w:p w14:paraId="481821D0"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420636C6"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Los jefes de los órganos responderán por la legalidad de los actos en mención. </w:t>
      </w:r>
    </w:p>
    <w:p w14:paraId="037010F7" w14:textId="77777777" w:rsidR="003541E9" w:rsidRPr="009A0E79" w:rsidRDefault="003541E9" w:rsidP="00D808F4">
      <w:pPr>
        <w:spacing w:after="0" w:line="240" w:lineRule="auto"/>
        <w:jc w:val="both"/>
        <w:rPr>
          <w:rFonts w:ascii="Arial" w:hAnsi="Arial" w:cs="Arial"/>
          <w:color w:val="000000"/>
        </w:rPr>
      </w:pPr>
      <w:bookmarkStart w:id="29" w:name="ver_30180178"/>
      <w:bookmarkEnd w:id="29"/>
    </w:p>
    <w:p w14:paraId="7D478EB2" w14:textId="60D5FA62"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26.</w:t>
      </w:r>
      <w:r w:rsidRPr="009A0E79">
        <w:rPr>
          <w:rFonts w:ascii="Arial" w:hAnsi="Arial" w:cs="Arial"/>
          <w:color w:val="000000"/>
          <w:sz w:val="22"/>
          <w:szCs w:val="22"/>
        </w:rPr>
        <w:t xml:space="preserve"> Salvo lo dispuesto por el artículo 47 de la Ley 1450 de 2011, ningún órgano podrá contraer compromisos que impliquen el pago de cuotas a organismos internacionales con cargo al Presupuesto General de la Nación, sin que exista la ley aprobatoria de tratados públicos o que el </w:t>
      </w:r>
      <w:proofErr w:type="gramStart"/>
      <w:r w:rsidRPr="009A0E79">
        <w:rPr>
          <w:rFonts w:ascii="Arial" w:hAnsi="Arial" w:cs="Arial"/>
          <w:color w:val="000000"/>
          <w:sz w:val="22"/>
          <w:szCs w:val="22"/>
        </w:rPr>
        <w:t>Presidente</w:t>
      </w:r>
      <w:proofErr w:type="gramEnd"/>
      <w:r w:rsidRPr="009A0E79">
        <w:rPr>
          <w:rFonts w:ascii="Arial" w:hAnsi="Arial" w:cs="Arial"/>
          <w:color w:val="000000"/>
          <w:sz w:val="22"/>
          <w:szCs w:val="22"/>
        </w:rPr>
        <w:t xml:space="preserve"> de la República haya autorizado su aplicación provisional en los términos del artículo 224 de la Constitución Política. </w:t>
      </w:r>
    </w:p>
    <w:p w14:paraId="0BF368EE"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3D3A40FE" w14:textId="140D3872"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lastRenderedPageBreak/>
        <w:t>Una vez cumplidos los requisitos del inciso anterior, previa autorización del Ministerio de Relaciones Exteriores, los establecimientos públicos del orden nacional solo podrán pagar con cargo a sus recursos propios las cuotas a dichos organismos. </w:t>
      </w:r>
    </w:p>
    <w:p w14:paraId="5A3B39EA"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7EDC33B3" w14:textId="2D29B14E"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Los aportes y contribuciones de la República de Colombia a los organismos financieros internacionales se pagarán con cargo al Presupuesto General de la Nación, salvo en aquellos casos en que los aportes se contabilicen como reservas internacionales, que serán pagados de conformidad con lo previsto en la Ley 31 de 1992 o aquellas que la modifiquen o adicionen. </w:t>
      </w:r>
    </w:p>
    <w:p w14:paraId="3383DB5F"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60B85BA7"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Los compromisos que se adquieran en el marco de tratados o convenios internacionales, de los cuales Colombia haga parte y cuya vinculación haya sido aprobada por ley de la República, no requerirán de autorización de vigencias futuras, no </w:t>
      </w:r>
      <w:proofErr w:type="gramStart"/>
      <w:r w:rsidRPr="009A0E79">
        <w:rPr>
          <w:rFonts w:ascii="Arial" w:hAnsi="Arial" w:cs="Arial"/>
          <w:color w:val="000000"/>
          <w:sz w:val="22"/>
          <w:szCs w:val="22"/>
        </w:rPr>
        <w:t>obstante</w:t>
      </w:r>
      <w:proofErr w:type="gramEnd"/>
      <w:r w:rsidRPr="009A0E79">
        <w:rPr>
          <w:rFonts w:ascii="Arial" w:hAnsi="Arial" w:cs="Arial"/>
          <w:color w:val="000000"/>
          <w:sz w:val="22"/>
          <w:szCs w:val="22"/>
        </w:rPr>
        <w:t xml:space="preserve"> se deberá contar con aval fiscal previo por parte del Consejo Superior de Política Fiscal (</w:t>
      </w:r>
      <w:proofErr w:type="spellStart"/>
      <w:r w:rsidRPr="009A0E79">
        <w:rPr>
          <w:rFonts w:ascii="Arial" w:hAnsi="Arial" w:cs="Arial"/>
          <w:color w:val="000000"/>
          <w:sz w:val="22"/>
          <w:szCs w:val="22"/>
        </w:rPr>
        <w:t>Confis</w:t>
      </w:r>
      <w:proofErr w:type="spellEnd"/>
      <w:r w:rsidRPr="009A0E79">
        <w:rPr>
          <w:rFonts w:ascii="Arial" w:hAnsi="Arial" w:cs="Arial"/>
          <w:color w:val="000000"/>
          <w:sz w:val="22"/>
          <w:szCs w:val="22"/>
        </w:rPr>
        <w:t>). </w:t>
      </w:r>
    </w:p>
    <w:p w14:paraId="1BA0F8CD" w14:textId="77777777" w:rsidR="003541E9" w:rsidRPr="009A0E79" w:rsidRDefault="003541E9" w:rsidP="00D808F4">
      <w:pPr>
        <w:spacing w:after="0" w:line="240" w:lineRule="auto"/>
        <w:jc w:val="both"/>
        <w:rPr>
          <w:rFonts w:ascii="Arial" w:hAnsi="Arial" w:cs="Arial"/>
          <w:color w:val="000000"/>
        </w:rPr>
      </w:pPr>
      <w:bookmarkStart w:id="30" w:name="ver_30180182"/>
      <w:bookmarkEnd w:id="30"/>
    </w:p>
    <w:p w14:paraId="09758FDE" w14:textId="6483A3C6"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27.</w:t>
      </w:r>
      <w:r w:rsidRPr="009A0E79">
        <w:rPr>
          <w:rFonts w:ascii="Arial" w:hAnsi="Arial" w:cs="Arial"/>
          <w:color w:val="000000"/>
          <w:sz w:val="22"/>
          <w:szCs w:val="22"/>
        </w:rPr>
        <w:t> Los órganos que conforman el Presupuesto General de la Nación deben reintegrar, dentro del primer trimestre de 2019, a la Dirección General de Crédito Público y Tesoro Nacional del Ministerio de Hacienda y Crédito Público los recursos de la Nación, y a sus tesorerías cuando correspondan a recursos propios, que no estén amparando compromisos u obligaciones, y que correspondan a apropiaciones presupuestales de vigencias fiscales anteriores, incluidos sus rendimientos financieros, diferencial cambiario, y demás réditos originados en aquellos, con el soporte correspondiente. </w:t>
      </w:r>
    </w:p>
    <w:p w14:paraId="292EE216"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7E1CDE62"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 presente disposición también se aplica a los recursos de convenios celebrados con organismos internacionales, incluyendo los de contrapartida. </w:t>
      </w:r>
    </w:p>
    <w:p w14:paraId="348C5249" w14:textId="77777777" w:rsidR="003541E9" w:rsidRPr="009A0E79" w:rsidRDefault="003541E9" w:rsidP="00D808F4">
      <w:pPr>
        <w:spacing w:after="0" w:line="240" w:lineRule="auto"/>
        <w:jc w:val="both"/>
        <w:rPr>
          <w:rFonts w:ascii="Arial" w:hAnsi="Arial" w:cs="Arial"/>
          <w:color w:val="000000"/>
        </w:rPr>
      </w:pPr>
      <w:bookmarkStart w:id="31" w:name="ver_30180183"/>
      <w:bookmarkEnd w:id="31"/>
    </w:p>
    <w:p w14:paraId="063D7797" w14:textId="06A422D6"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28.</w:t>
      </w:r>
      <w:r w:rsidRPr="009A0E79">
        <w:rPr>
          <w:rFonts w:ascii="Arial" w:hAnsi="Arial" w:cs="Arial"/>
          <w:color w:val="000000"/>
          <w:sz w:val="22"/>
          <w:szCs w:val="22"/>
        </w:rPr>
        <w:t> Cuando exista apropiación presupuestal en el servicio de la deuda pública podrán efectuarse anticipos en el pago de operaciones de crédito público. Igualmente podrán atenderse con cargo a la vigencia en curso las obligaciones del servicio de la deuda pública correspondiente al mes de enero de 2020. Así mismo, con cargo a las apropiaciones. </w:t>
      </w:r>
    </w:p>
    <w:p w14:paraId="61D93219"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7F2190C0"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del servicio de la deuda de la vigencia 2018 se podrán atender compromisos u obligaciones correspondiente a la vigencia fiscal 2019. </w:t>
      </w:r>
    </w:p>
    <w:p w14:paraId="45BB1F18" w14:textId="77777777" w:rsidR="003541E9" w:rsidRPr="009A0E79" w:rsidRDefault="003541E9" w:rsidP="00D808F4">
      <w:pPr>
        <w:spacing w:after="0" w:line="240" w:lineRule="auto"/>
        <w:jc w:val="both"/>
        <w:rPr>
          <w:rFonts w:ascii="Arial" w:hAnsi="Arial" w:cs="Arial"/>
          <w:color w:val="000000"/>
        </w:rPr>
      </w:pPr>
      <w:bookmarkStart w:id="32" w:name="ver_30180184"/>
      <w:bookmarkEnd w:id="32"/>
    </w:p>
    <w:p w14:paraId="36A4B39C"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29.</w:t>
      </w:r>
      <w:r w:rsidRPr="009A0E79">
        <w:rPr>
          <w:rFonts w:ascii="Arial" w:hAnsi="Arial" w:cs="Arial"/>
          <w:color w:val="000000"/>
          <w:sz w:val="22"/>
          <w:szCs w:val="22"/>
        </w:rPr>
        <w:t xml:space="preserve"> La representación legal y la ordenación del gasto del servicio de la deuda están a cargo del </w:t>
      </w:r>
      <w:proofErr w:type="gramStart"/>
      <w:r w:rsidRPr="009A0E79">
        <w:rPr>
          <w:rFonts w:ascii="Arial" w:hAnsi="Arial" w:cs="Arial"/>
          <w:color w:val="000000"/>
          <w:sz w:val="22"/>
          <w:szCs w:val="22"/>
        </w:rPr>
        <w:t>Ministro</w:t>
      </w:r>
      <w:proofErr w:type="gramEnd"/>
      <w:r w:rsidRPr="009A0E79">
        <w:rPr>
          <w:rFonts w:ascii="Arial" w:hAnsi="Arial" w:cs="Arial"/>
          <w:color w:val="000000"/>
          <w:sz w:val="22"/>
          <w:szCs w:val="22"/>
        </w:rPr>
        <w:t xml:space="preserve"> de Hacienda y Crédito Público o de quien este delegue, según las disposiciones de la Ley Orgánica del Presupuesto. </w:t>
      </w:r>
    </w:p>
    <w:p w14:paraId="64BBEBFE" w14:textId="7A158ACA" w:rsidR="003541E9" w:rsidRPr="009A0E79" w:rsidRDefault="003541E9" w:rsidP="002118E6">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33" w:name="ver_30180185"/>
      <w:bookmarkEnd w:id="33"/>
    </w:p>
    <w:p w14:paraId="18595A20" w14:textId="277A5468"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30.</w:t>
      </w:r>
      <w:r w:rsidRPr="009A0E79">
        <w:rPr>
          <w:rFonts w:ascii="Arial" w:hAnsi="Arial" w:cs="Arial"/>
          <w:color w:val="000000"/>
          <w:sz w:val="22"/>
          <w:szCs w:val="22"/>
        </w:rPr>
        <w:t> Los gastos que sean necesarios para la administración, consecución y servicio de las operaciones de crédito público, las asimiladas a ellas, las propias del manejo de la deuda incluyendo las operaciones de tesorería del Tesoro Nacional, las operaciones conexas y las demás relacionadas con los recursos del crédito serán atendidos con cargo a las apropiaciones del servicio de la deuda pública. </w:t>
      </w:r>
    </w:p>
    <w:p w14:paraId="1B04D859"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36E331DA" w14:textId="23EC9B83"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Las operaciones conexas a las operaciones relacionadas con crédito público, así como las operaciones de tesorería, y los actos y contratos necesarios para la ejecución de estas, podrán ser atendidas con cargo a las apropiaciones del servicio de la deuda pública. </w:t>
      </w:r>
    </w:p>
    <w:p w14:paraId="4716A783"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44FC42D3" w14:textId="4B252BE6"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De conformidad con el artículo 46 del Estatuto Orgánico del Presupuesto, las pérdidas del Banco de la República se atenderán mediante la emisión de bonos u otros títulos de deuda pública. Adicionalmente y conforme lo establece el parágrafo 3° del artículo 167 de la Ley 1607 de 2012, </w:t>
      </w:r>
      <w:r w:rsidRPr="009A0E79">
        <w:rPr>
          <w:rFonts w:ascii="Arial" w:hAnsi="Arial" w:cs="Arial"/>
          <w:color w:val="000000"/>
          <w:sz w:val="22"/>
          <w:szCs w:val="22"/>
        </w:rPr>
        <w:lastRenderedPageBreak/>
        <w:t>para cubrir las obligaciones a cargo del Fondo de Estabilización de Precios a los Combustibles (FEPC), se podrán atender mediante la emisión de bonos u otros títulos de deuda pública. </w:t>
      </w:r>
    </w:p>
    <w:p w14:paraId="6C11F231"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1C9C6F32" w14:textId="07852143"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En contrapartida de las obligaciones a cargo del Fondo de Estabilización de Precios a los Combustibles (FEPC), atendidas mediante la emisión de bonos u otros títulos de deuda pública, la Nación constituirá las respectivas cuentas por cobrar. </w:t>
      </w:r>
    </w:p>
    <w:p w14:paraId="1959CAB4"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3862A323" w14:textId="24C21A2F"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 emisión de los bonos o títulos de que trata el presente artículo se realizará en condiciones de mercado, no implicará operación presupuestal alguna y solo debe presupuestarse para efectos de su redención. </w:t>
      </w:r>
    </w:p>
    <w:p w14:paraId="457338CB"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3B19449D" w14:textId="705694AB"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El Fondo de Estabilización de que trata el presente artículo podrá efectuar cruce de cuentas con otras entidades del Estado, respecto de derechos y obligaciones que recíprocamente tengan causadas. Al cierre de la vigencia fiscal se establecerán los saldos definitivos que han de incorporarse en el Presupuesto General de la Nación de las siguientes vigencias fiscales si a ello hubiere lugar. </w:t>
      </w:r>
    </w:p>
    <w:p w14:paraId="4492448E"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536A1F23" w14:textId="77777777" w:rsidR="003541E9" w:rsidRPr="009A0E79" w:rsidRDefault="003541E9" w:rsidP="002118E6">
      <w:pPr>
        <w:pStyle w:val="parrafo-division"/>
        <w:spacing w:before="0" w:beforeAutospacing="0" w:after="0" w:afterAutospacing="0"/>
        <w:jc w:val="center"/>
        <w:rPr>
          <w:rFonts w:ascii="Arial" w:hAnsi="Arial" w:cs="Arial"/>
          <w:b/>
          <w:bCs/>
          <w:color w:val="000000"/>
          <w:sz w:val="22"/>
          <w:szCs w:val="22"/>
        </w:rPr>
      </w:pPr>
      <w:bookmarkStart w:id="34" w:name="ver_30180186"/>
      <w:bookmarkEnd w:id="34"/>
      <w:r w:rsidRPr="009A0E79">
        <w:rPr>
          <w:rFonts w:ascii="Arial" w:hAnsi="Arial" w:cs="Arial"/>
          <w:b/>
          <w:bCs/>
          <w:color w:val="000000"/>
          <w:sz w:val="22"/>
          <w:szCs w:val="22"/>
        </w:rPr>
        <w:t>CAPÍTULO III</w:t>
      </w:r>
    </w:p>
    <w:p w14:paraId="29397555" w14:textId="77777777" w:rsidR="003541E9" w:rsidRPr="009A0E79" w:rsidRDefault="003541E9" w:rsidP="002118E6">
      <w:pPr>
        <w:pStyle w:val="parrafo-division"/>
        <w:spacing w:before="0" w:beforeAutospacing="0" w:after="0" w:afterAutospacing="0"/>
        <w:jc w:val="center"/>
        <w:rPr>
          <w:rFonts w:ascii="Arial" w:hAnsi="Arial" w:cs="Arial"/>
          <w:b/>
          <w:bCs/>
          <w:color w:val="000000"/>
          <w:sz w:val="22"/>
          <w:szCs w:val="22"/>
        </w:rPr>
      </w:pPr>
      <w:r w:rsidRPr="009A0E79">
        <w:rPr>
          <w:rStyle w:val="Textoennegrita"/>
          <w:rFonts w:ascii="Arial" w:hAnsi="Arial" w:cs="Arial"/>
          <w:color w:val="000000"/>
          <w:sz w:val="22"/>
          <w:szCs w:val="22"/>
        </w:rPr>
        <w:t>De las reservas presupuestales y cuentas por pagar</w:t>
      </w:r>
    </w:p>
    <w:p w14:paraId="1C56FBC6" w14:textId="77777777" w:rsidR="003541E9" w:rsidRPr="009A0E79" w:rsidRDefault="003541E9" w:rsidP="00D808F4">
      <w:pPr>
        <w:spacing w:after="0" w:line="240" w:lineRule="auto"/>
        <w:jc w:val="both"/>
        <w:rPr>
          <w:rFonts w:ascii="Arial" w:hAnsi="Arial" w:cs="Arial"/>
          <w:color w:val="000000"/>
        </w:rPr>
      </w:pPr>
      <w:bookmarkStart w:id="35" w:name="ver_30180187"/>
      <w:bookmarkEnd w:id="35"/>
    </w:p>
    <w:p w14:paraId="50058FC1" w14:textId="3A5CCCBC"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31.</w:t>
      </w:r>
      <w:r w:rsidRPr="009A0E79">
        <w:rPr>
          <w:rFonts w:ascii="Arial" w:hAnsi="Arial" w:cs="Arial"/>
          <w:color w:val="000000"/>
          <w:sz w:val="22"/>
          <w:szCs w:val="22"/>
        </w:rPr>
        <w:t> A través del Sistema Integrado de Información Financiera SIIF - Nación se constituirán con corte a 31 de diciembre de 2018 las reservas presupuestales y cuentas por pagar de cada una de las secciones del Presupuesto General de la Nación, a las que se refiere el artículo 89 del Estatuto Orgánico del Presupuesto. Como máximo, las reservas presupuestales corresponderán a la diferencia entre los compromisos y las obligaciones, y las cuentas por pagar por la diferencia entre las obligaciones y los pagos. </w:t>
      </w:r>
    </w:p>
    <w:p w14:paraId="15271746"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0068BB21" w14:textId="17B49D24"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Para las cuentas por pagar que se constituyen a 31 de diciembre de 2018 se debe contar con el correspondiente programa anual mensualizado de caja de la vigencia, de lo contrario deberán hacerse los ajustes en los registros y constituir las correspondientes reservas presupuestales. Igual procedimiento se deberá cumplir en la vigencia 2019. </w:t>
      </w:r>
    </w:p>
    <w:p w14:paraId="06FD3736"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4CDF9690" w14:textId="3B3BD0E2"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Si durante el año de la vigencia de la reserva presupuestal o de la cuenta por pagar desaparece el compromiso u obligación que las originó, se podrán hacer los ajustes respectivos en el Sistema Integrado de Información Financiera - SIIF Nación. </w:t>
      </w:r>
    </w:p>
    <w:p w14:paraId="00C945C6"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389FE749" w14:textId="44865DF9"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Como quiera que el Sistema Integrado de Información Financiera - SIIF Nación refleja el detalle, la secuencia y el resultado de la información financiera pública, registrada por las entidades y órganos que conforman el Presupuesto General de la Nación, no se requiere el envío de ningún soporte físico a la Dirección General del Presupuesto Público Nacional, ni a la Dirección General de Crédito Público y Tesoro Nacional, salvo que las mismas lo requieran. </w:t>
      </w:r>
    </w:p>
    <w:p w14:paraId="71CFF744"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69789CA1"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Previo a iniciar la ejecución de las reservas presupuestales y de las cuentas por pagar constituidas con corte a 31 de diciembre de 2018, las entidades deberán clasificarlas en el Sistema Integrado de Información financiera SIIF Nación de acuerdo con el nuevo Catálogo de Clasificación Presupuestal establecido por la Dirección General del Presupuesto Público Nacional. </w:t>
      </w:r>
    </w:p>
    <w:p w14:paraId="531DC6C5" w14:textId="77777777" w:rsidR="003541E9" w:rsidRPr="009A0E79" w:rsidRDefault="003541E9" w:rsidP="00D808F4">
      <w:pPr>
        <w:spacing w:after="0" w:line="240" w:lineRule="auto"/>
        <w:jc w:val="both"/>
        <w:rPr>
          <w:rFonts w:ascii="Arial" w:hAnsi="Arial" w:cs="Arial"/>
          <w:color w:val="000000"/>
        </w:rPr>
      </w:pPr>
      <w:bookmarkStart w:id="36" w:name="ver_30180188"/>
      <w:bookmarkEnd w:id="36"/>
    </w:p>
    <w:p w14:paraId="385F5E31"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32.</w:t>
      </w:r>
      <w:r w:rsidRPr="009A0E79">
        <w:rPr>
          <w:rFonts w:ascii="Arial" w:hAnsi="Arial" w:cs="Arial"/>
          <w:color w:val="000000"/>
          <w:sz w:val="22"/>
          <w:szCs w:val="22"/>
        </w:rPr>
        <w:t xml:space="preserve"> Las entidades que hacen parte del Presupuesto General de la Nación y que administran recursos para el pago de pensiones podrán constituir reservas presupuestales o cuentas por pagar con los saldos de apropiación que a 31 de diciembre se registren en el Sistema </w:t>
      </w:r>
      <w:r w:rsidRPr="009A0E79">
        <w:rPr>
          <w:rFonts w:ascii="Arial" w:hAnsi="Arial" w:cs="Arial"/>
          <w:color w:val="000000"/>
          <w:sz w:val="22"/>
          <w:szCs w:val="22"/>
        </w:rPr>
        <w:lastRenderedPageBreak/>
        <w:t>Integrado de Información Financiera SIIF - Nación para estos propósitos. Lo anterior se entenderá como una provisión para atender el pago oportuno del pasivo pensional a cargo de dichas entidades en la siguiente vigencia. </w:t>
      </w:r>
    </w:p>
    <w:p w14:paraId="3DAD437C" w14:textId="77777777" w:rsidR="003541E9" w:rsidRPr="009A0E79" w:rsidRDefault="003541E9" w:rsidP="00D808F4">
      <w:pPr>
        <w:spacing w:after="0" w:line="240" w:lineRule="auto"/>
        <w:jc w:val="both"/>
        <w:rPr>
          <w:rFonts w:ascii="Arial" w:hAnsi="Arial" w:cs="Arial"/>
          <w:color w:val="000000"/>
        </w:rPr>
      </w:pPr>
      <w:bookmarkStart w:id="37" w:name="ver_30180189"/>
      <w:bookmarkEnd w:id="37"/>
    </w:p>
    <w:p w14:paraId="3B02C30A"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33.</w:t>
      </w:r>
      <w:r w:rsidRPr="009A0E79">
        <w:rPr>
          <w:rFonts w:ascii="Arial" w:hAnsi="Arial" w:cs="Arial"/>
          <w:color w:val="000000"/>
          <w:sz w:val="22"/>
          <w:szCs w:val="22"/>
        </w:rPr>
        <w:t> En lo relacionado con las cuentas por pagar y las reservas presupuestales, el presupuesto inicial correspondiente a la vigencia fiscal de 2019 cumple con lo establecido en el artículo 31 de la Ley 344 de 1996 y el artículo 9° de la Ley 225 de 1995. </w:t>
      </w:r>
    </w:p>
    <w:p w14:paraId="1730474B" w14:textId="77777777" w:rsidR="00D57931" w:rsidRPr="009A0E79" w:rsidRDefault="00D57931" w:rsidP="00D808F4">
      <w:pPr>
        <w:pStyle w:val="NormalWeb"/>
        <w:spacing w:before="0" w:beforeAutospacing="0" w:after="0" w:afterAutospacing="0"/>
        <w:jc w:val="both"/>
        <w:rPr>
          <w:rFonts w:ascii="Arial" w:hAnsi="Arial" w:cs="Arial"/>
          <w:color w:val="000000"/>
          <w:sz w:val="22"/>
          <w:szCs w:val="22"/>
        </w:rPr>
      </w:pPr>
    </w:p>
    <w:p w14:paraId="74012C0C" w14:textId="77777777" w:rsidR="003541E9" w:rsidRPr="009A0E79" w:rsidRDefault="003541E9" w:rsidP="002118E6">
      <w:pPr>
        <w:pStyle w:val="parrafo-division"/>
        <w:spacing w:before="0" w:beforeAutospacing="0" w:after="0" w:afterAutospacing="0"/>
        <w:jc w:val="center"/>
        <w:rPr>
          <w:rFonts w:ascii="Arial" w:hAnsi="Arial" w:cs="Arial"/>
          <w:b/>
          <w:bCs/>
          <w:color w:val="000000"/>
          <w:sz w:val="22"/>
          <w:szCs w:val="22"/>
        </w:rPr>
      </w:pPr>
      <w:bookmarkStart w:id="38" w:name="ver_30180191"/>
      <w:bookmarkEnd w:id="38"/>
      <w:r w:rsidRPr="009A0E79">
        <w:rPr>
          <w:rFonts w:ascii="Arial" w:hAnsi="Arial" w:cs="Arial"/>
          <w:b/>
          <w:bCs/>
          <w:color w:val="000000"/>
          <w:sz w:val="22"/>
          <w:szCs w:val="22"/>
        </w:rPr>
        <w:t>CAPÍTULO IV</w:t>
      </w:r>
    </w:p>
    <w:p w14:paraId="6C03CB42" w14:textId="77777777" w:rsidR="003541E9" w:rsidRPr="009A0E79" w:rsidRDefault="003541E9" w:rsidP="002118E6">
      <w:pPr>
        <w:pStyle w:val="parrafo-division"/>
        <w:spacing w:before="0" w:beforeAutospacing="0" w:after="0" w:afterAutospacing="0"/>
        <w:jc w:val="center"/>
        <w:rPr>
          <w:rFonts w:ascii="Arial" w:hAnsi="Arial" w:cs="Arial"/>
          <w:b/>
          <w:bCs/>
          <w:color w:val="000000"/>
          <w:sz w:val="22"/>
          <w:szCs w:val="22"/>
        </w:rPr>
      </w:pPr>
      <w:r w:rsidRPr="009A0E79">
        <w:rPr>
          <w:rStyle w:val="Textoennegrita"/>
          <w:rFonts w:ascii="Arial" w:hAnsi="Arial" w:cs="Arial"/>
          <w:color w:val="000000"/>
          <w:sz w:val="22"/>
          <w:szCs w:val="22"/>
        </w:rPr>
        <w:t>De las vigencias futuras</w:t>
      </w:r>
    </w:p>
    <w:p w14:paraId="68998967" w14:textId="77777777" w:rsidR="003541E9" w:rsidRPr="009A0E79" w:rsidRDefault="003541E9" w:rsidP="00D808F4">
      <w:pPr>
        <w:spacing w:after="0" w:line="240" w:lineRule="auto"/>
        <w:jc w:val="both"/>
        <w:rPr>
          <w:rFonts w:ascii="Arial" w:hAnsi="Arial" w:cs="Arial"/>
          <w:color w:val="000000"/>
        </w:rPr>
      </w:pPr>
      <w:bookmarkStart w:id="39" w:name="ver_30180190"/>
      <w:bookmarkEnd w:id="39"/>
    </w:p>
    <w:p w14:paraId="653919F2" w14:textId="524DE0E4"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34.</w:t>
      </w:r>
      <w:r w:rsidRPr="009A0E79">
        <w:rPr>
          <w:rFonts w:ascii="Arial" w:hAnsi="Arial" w:cs="Arial"/>
          <w:color w:val="000000"/>
          <w:sz w:val="22"/>
          <w:szCs w:val="22"/>
        </w:rPr>
        <w:t> Las autorizaciones otorgadas por el Consejo Superior de Política Fiscal (</w:t>
      </w:r>
      <w:proofErr w:type="spellStart"/>
      <w:r w:rsidRPr="009A0E79">
        <w:rPr>
          <w:rFonts w:ascii="Arial" w:hAnsi="Arial" w:cs="Arial"/>
          <w:color w:val="000000"/>
          <w:sz w:val="22"/>
          <w:szCs w:val="22"/>
        </w:rPr>
        <w:t>Confis</w:t>
      </w:r>
      <w:proofErr w:type="spellEnd"/>
      <w:r w:rsidRPr="009A0E79">
        <w:rPr>
          <w:rFonts w:ascii="Arial" w:hAnsi="Arial" w:cs="Arial"/>
          <w:color w:val="000000"/>
          <w:sz w:val="22"/>
          <w:szCs w:val="22"/>
        </w:rPr>
        <w:t xml:space="preserve">), o quien este delegue para la asunción de obligaciones que afecten presupuestos de vigencias futuras deberán respetar, en todo momento, las condiciones sobre las cuales se otorgó. Los avales otorgados por el </w:t>
      </w:r>
      <w:proofErr w:type="spellStart"/>
      <w:r w:rsidRPr="009A0E79">
        <w:rPr>
          <w:rFonts w:ascii="Arial" w:hAnsi="Arial" w:cs="Arial"/>
          <w:color w:val="000000"/>
          <w:sz w:val="22"/>
          <w:szCs w:val="22"/>
        </w:rPr>
        <w:t>Confis</w:t>
      </w:r>
      <w:proofErr w:type="spellEnd"/>
      <w:r w:rsidRPr="009A0E79">
        <w:rPr>
          <w:rFonts w:ascii="Arial" w:hAnsi="Arial" w:cs="Arial"/>
          <w:color w:val="000000"/>
          <w:sz w:val="22"/>
          <w:szCs w:val="22"/>
        </w:rPr>
        <w:t xml:space="preserve"> para la declaratoria de importancia estratégica. </w:t>
      </w:r>
    </w:p>
    <w:p w14:paraId="10B967F8"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5AA53779" w14:textId="33D6401B"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de un proyecto de inversión que supera el periodo de gobierno, se entenderá utilizado con la expedición del correspondiente documento </w:t>
      </w:r>
      <w:proofErr w:type="spellStart"/>
      <w:r w:rsidRPr="009A0E79">
        <w:rPr>
          <w:rFonts w:ascii="Arial" w:hAnsi="Arial" w:cs="Arial"/>
          <w:color w:val="000000"/>
          <w:sz w:val="22"/>
          <w:szCs w:val="22"/>
        </w:rPr>
        <w:t>Conpes</w:t>
      </w:r>
      <w:proofErr w:type="spellEnd"/>
      <w:r w:rsidRPr="009A0E79">
        <w:rPr>
          <w:rFonts w:ascii="Arial" w:hAnsi="Arial" w:cs="Arial"/>
          <w:color w:val="000000"/>
          <w:sz w:val="22"/>
          <w:szCs w:val="22"/>
        </w:rPr>
        <w:t xml:space="preserve"> y con la autorización de las vigencias futuras, de lo contrario dicho aval fenece a 31 de diciembre de la vigencia en que se otorga. </w:t>
      </w:r>
    </w:p>
    <w:p w14:paraId="3D660953"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0F4DFFA4" w14:textId="0E8093DD"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Las entidades u órganos que requieran modificar el plazo y/o los cupos anuales de vigencias futuras autorizados por el Consejo Superior de Política Fiscal (</w:t>
      </w:r>
      <w:proofErr w:type="spellStart"/>
      <w:r w:rsidRPr="009A0E79">
        <w:rPr>
          <w:rFonts w:ascii="Arial" w:hAnsi="Arial" w:cs="Arial"/>
          <w:color w:val="000000"/>
          <w:sz w:val="22"/>
          <w:szCs w:val="22"/>
        </w:rPr>
        <w:t>Confis</w:t>
      </w:r>
      <w:proofErr w:type="spellEnd"/>
      <w:r w:rsidRPr="009A0E79">
        <w:rPr>
          <w:rFonts w:ascii="Arial" w:hAnsi="Arial" w:cs="Arial"/>
          <w:color w:val="000000"/>
          <w:sz w:val="22"/>
          <w:szCs w:val="22"/>
        </w:rPr>
        <w:t>), o quien este delegue requerirán, de manera previa a la asunción de la respectiva obligación o a la modificación de las condiciones de la obligación existente, de la reprogramación de las vigencias futuras en donde se especifique el nuevo plazo y/o cupos anuales autorizados. </w:t>
      </w:r>
    </w:p>
    <w:p w14:paraId="75B54F89"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3E54F285" w14:textId="47B93B32"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Cuando con posterioridad al otorgamiento de una autorización de vigencias futuras, la entidad u órgano requiera la modificación del objeto u objetos o el monto de la contraprestación a su cargo, será necesario adelantar ante el Consejo Superior de Política Fiscal (</w:t>
      </w:r>
      <w:proofErr w:type="spellStart"/>
      <w:r w:rsidRPr="009A0E79">
        <w:rPr>
          <w:rFonts w:ascii="Arial" w:hAnsi="Arial" w:cs="Arial"/>
          <w:color w:val="000000"/>
          <w:sz w:val="22"/>
          <w:szCs w:val="22"/>
        </w:rPr>
        <w:t>Confis</w:t>
      </w:r>
      <w:proofErr w:type="spellEnd"/>
      <w:r w:rsidRPr="009A0E79">
        <w:rPr>
          <w:rFonts w:ascii="Arial" w:hAnsi="Arial" w:cs="Arial"/>
          <w:color w:val="000000"/>
          <w:sz w:val="22"/>
          <w:szCs w:val="22"/>
        </w:rPr>
        <w:t>), o su delegado la solicitud de una nueva autorización de vigencias futuras que ampare las modificaciones o adiciones requeridas de manera previa a la asunción de la respectiva obligación o a la modificación de las condiciones de la obligación existente. </w:t>
      </w:r>
    </w:p>
    <w:p w14:paraId="2820D3E4"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5BE8BE24" w14:textId="0E6DACCB"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1°. Las modificaciones al monto de la contraprestación a cargo de la entidad solicitante, que tengan origen exclusivamente en los ajustes financieros del monto y que no se encuentren asociados a la provisión de bienes o servicios adicionales a los previstos inicialmente, se tramitarán como una reprogramación de vigencias futuras. </w:t>
      </w:r>
    </w:p>
    <w:p w14:paraId="208AAEDB"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0AD36584"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Parágrafo 2°. Lo anterior sin perjuicio de </w:t>
      </w:r>
      <w:proofErr w:type="gramStart"/>
      <w:r w:rsidRPr="009A0E79">
        <w:rPr>
          <w:rFonts w:ascii="Arial" w:hAnsi="Arial" w:cs="Arial"/>
          <w:color w:val="000000"/>
          <w:sz w:val="22"/>
          <w:szCs w:val="22"/>
        </w:rPr>
        <w:t>que</w:t>
      </w:r>
      <w:proofErr w:type="gramEnd"/>
      <w:r w:rsidRPr="009A0E79">
        <w:rPr>
          <w:rFonts w:ascii="Arial" w:hAnsi="Arial" w:cs="Arial"/>
          <w:color w:val="000000"/>
          <w:sz w:val="22"/>
          <w:szCs w:val="22"/>
        </w:rPr>
        <w:t xml:space="preserve"> en caso de tratarse de nuevas vigencias futuras, se deberá contar con el aval fiscal del Consejo Superior de Política Fiscal (</w:t>
      </w:r>
      <w:proofErr w:type="spellStart"/>
      <w:r w:rsidRPr="009A0E79">
        <w:rPr>
          <w:rFonts w:ascii="Arial" w:hAnsi="Arial" w:cs="Arial"/>
          <w:color w:val="000000"/>
          <w:sz w:val="22"/>
          <w:szCs w:val="22"/>
        </w:rPr>
        <w:t>Confis</w:t>
      </w:r>
      <w:proofErr w:type="spellEnd"/>
      <w:r w:rsidRPr="009A0E79">
        <w:rPr>
          <w:rFonts w:ascii="Arial" w:hAnsi="Arial" w:cs="Arial"/>
          <w:color w:val="000000"/>
          <w:sz w:val="22"/>
          <w:szCs w:val="22"/>
        </w:rPr>
        <w:t>), y declaratoria de importancia estratégica por parte del Consejo Nacional de Política Económica y Social (</w:t>
      </w:r>
      <w:proofErr w:type="spellStart"/>
      <w:r w:rsidRPr="009A0E79">
        <w:rPr>
          <w:rFonts w:ascii="Arial" w:hAnsi="Arial" w:cs="Arial"/>
          <w:color w:val="000000"/>
          <w:sz w:val="22"/>
          <w:szCs w:val="22"/>
        </w:rPr>
        <w:t>Conpes</w:t>
      </w:r>
      <w:proofErr w:type="spellEnd"/>
      <w:r w:rsidRPr="009A0E79">
        <w:rPr>
          <w:rFonts w:ascii="Arial" w:hAnsi="Arial" w:cs="Arial"/>
          <w:color w:val="000000"/>
          <w:sz w:val="22"/>
          <w:szCs w:val="22"/>
        </w:rPr>
        <w:t>), en los casos en que las normas lo exijan. </w:t>
      </w:r>
    </w:p>
    <w:p w14:paraId="339216D3" w14:textId="3E3BE0D7" w:rsidR="003541E9" w:rsidRPr="009A0E79" w:rsidRDefault="003541E9" w:rsidP="002118E6">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40" w:name="ver_30180192"/>
      <w:bookmarkEnd w:id="40"/>
    </w:p>
    <w:p w14:paraId="06827466"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35.</w:t>
      </w:r>
      <w:r w:rsidRPr="009A0E79">
        <w:rPr>
          <w:rFonts w:ascii="Arial" w:hAnsi="Arial" w:cs="Arial"/>
          <w:color w:val="000000"/>
          <w:sz w:val="22"/>
          <w:szCs w:val="22"/>
        </w:rPr>
        <w:t> En las Empresas Industriales y Comerciales del Estado y en las Sociedades de Economía Mixta sujetas al régimen de aquellas, los gastos relacionados con la adquisición de bienes y servicios necesarios para los procesos de producción, transformación y comercialización se clasificarán como proyectos de inversión. Igual procedimiento se aplicará a las Empresas de Servicios Públicos Domiciliarios en cuyo capital la Nación o sus entidades descentralizadas posean el 90% o más. </w:t>
      </w:r>
    </w:p>
    <w:p w14:paraId="55B81511" w14:textId="77777777" w:rsidR="003541E9" w:rsidRPr="009A0E79" w:rsidRDefault="003541E9" w:rsidP="00D808F4">
      <w:pPr>
        <w:spacing w:after="0" w:line="240" w:lineRule="auto"/>
        <w:jc w:val="both"/>
        <w:rPr>
          <w:rFonts w:ascii="Arial" w:hAnsi="Arial" w:cs="Arial"/>
          <w:color w:val="000000"/>
        </w:rPr>
      </w:pPr>
      <w:bookmarkStart w:id="41" w:name="ver_30180193"/>
      <w:bookmarkEnd w:id="41"/>
    </w:p>
    <w:p w14:paraId="120D06DE" w14:textId="1A2D6210"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lastRenderedPageBreak/>
        <w:t>Artículo 36.</w:t>
      </w:r>
      <w:r w:rsidRPr="009A0E79">
        <w:rPr>
          <w:rFonts w:ascii="Arial" w:hAnsi="Arial" w:cs="Arial"/>
          <w:color w:val="000000"/>
          <w:sz w:val="22"/>
          <w:szCs w:val="22"/>
        </w:rPr>
        <w:t> Los cupos anuales autorizados para asumir compromisos de vigencias futuras no utilizados a 31 de diciembre del año en que se concede la autorización caducan, salvo en los casos previstos en el inciso 2° del artículo 8° de la Ley 819 de 2003. </w:t>
      </w:r>
    </w:p>
    <w:p w14:paraId="5A17BE00" w14:textId="77777777" w:rsidR="002118E6" w:rsidRPr="009A0E79" w:rsidRDefault="002118E6" w:rsidP="00D808F4">
      <w:pPr>
        <w:pStyle w:val="NormalWeb"/>
        <w:spacing w:before="0" w:beforeAutospacing="0" w:after="0" w:afterAutospacing="0"/>
        <w:jc w:val="both"/>
        <w:rPr>
          <w:rFonts w:ascii="Arial" w:hAnsi="Arial" w:cs="Arial"/>
          <w:color w:val="000000"/>
          <w:sz w:val="22"/>
          <w:szCs w:val="22"/>
        </w:rPr>
      </w:pPr>
    </w:p>
    <w:p w14:paraId="18CD3663"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Cuando no fuere posible adelantar en la vigencia fiscal correspondiente los ajustes presupuestales, a que se refiere el inciso 2° del artículo 8° de la Ley 819 de 2003, se requerirá de la reprogramación de los cupos anuales autorizados por parte de la autoridad que expidió la autorización inicial, con el fin de dar continuidad al proceso de selección del contratista. </w:t>
      </w:r>
    </w:p>
    <w:p w14:paraId="13AC2F3C" w14:textId="77777777" w:rsidR="003541E9" w:rsidRPr="009A0E79" w:rsidRDefault="003541E9"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Los registros en el Sistema Integrado de Información Financiera SIIF - Nación deberán corresponder a los cupos efectivamente utilizados. </w:t>
      </w:r>
    </w:p>
    <w:p w14:paraId="68219BA2" w14:textId="77777777" w:rsidR="003541E9" w:rsidRPr="009A0E79" w:rsidRDefault="003541E9" w:rsidP="002118E6">
      <w:pPr>
        <w:spacing w:after="0" w:line="240" w:lineRule="auto"/>
        <w:jc w:val="center"/>
        <w:rPr>
          <w:rFonts w:ascii="Arial" w:eastAsia="Times New Roman" w:hAnsi="Arial" w:cs="Arial"/>
          <w:b/>
          <w:bCs/>
          <w:color w:val="000000"/>
          <w:lang w:eastAsia="es-CO"/>
        </w:rPr>
      </w:pPr>
    </w:p>
    <w:p w14:paraId="56A9D48D" w14:textId="77777777" w:rsidR="00711124" w:rsidRPr="009A0E79" w:rsidRDefault="00711124" w:rsidP="002118E6">
      <w:pPr>
        <w:spacing w:after="0" w:line="240" w:lineRule="auto"/>
        <w:jc w:val="center"/>
        <w:rPr>
          <w:rFonts w:ascii="Arial" w:eastAsia="Times New Roman" w:hAnsi="Arial" w:cs="Arial"/>
          <w:b/>
          <w:bCs/>
          <w:color w:val="000000"/>
          <w:lang w:eastAsia="es-CO"/>
        </w:rPr>
      </w:pPr>
      <w:r w:rsidRPr="009A0E79">
        <w:rPr>
          <w:rFonts w:ascii="Arial" w:eastAsia="Times New Roman" w:hAnsi="Arial" w:cs="Arial"/>
          <w:b/>
          <w:bCs/>
          <w:color w:val="000000"/>
          <w:lang w:eastAsia="es-CO"/>
        </w:rPr>
        <w:t>CAPÍTULO V</w:t>
      </w:r>
    </w:p>
    <w:p w14:paraId="4C4C1670" w14:textId="77777777" w:rsidR="00711124" w:rsidRPr="009A0E79" w:rsidRDefault="00711124" w:rsidP="002118E6">
      <w:pPr>
        <w:spacing w:after="0" w:line="240" w:lineRule="auto"/>
        <w:jc w:val="center"/>
        <w:rPr>
          <w:rFonts w:ascii="Arial" w:eastAsia="Times New Roman" w:hAnsi="Arial" w:cs="Arial"/>
          <w:b/>
          <w:bCs/>
          <w:color w:val="000000"/>
          <w:lang w:eastAsia="es-CO"/>
        </w:rPr>
      </w:pPr>
      <w:r w:rsidRPr="009A0E79">
        <w:rPr>
          <w:rFonts w:ascii="Arial" w:eastAsia="Times New Roman" w:hAnsi="Arial" w:cs="Arial"/>
          <w:b/>
          <w:bCs/>
          <w:color w:val="000000"/>
          <w:lang w:eastAsia="es-CO"/>
        </w:rPr>
        <w:t>Clasificación de los gastos</w:t>
      </w:r>
    </w:p>
    <w:p w14:paraId="1E05B223" w14:textId="77777777" w:rsidR="00711124" w:rsidRPr="009A0E79" w:rsidRDefault="00711124" w:rsidP="00D808F4">
      <w:pPr>
        <w:spacing w:after="0" w:line="240" w:lineRule="auto"/>
        <w:jc w:val="both"/>
        <w:rPr>
          <w:rFonts w:ascii="Arial" w:eastAsia="Times New Roman" w:hAnsi="Arial" w:cs="Arial"/>
          <w:color w:val="000000"/>
          <w:lang w:eastAsia="es-CO"/>
        </w:rPr>
      </w:pPr>
      <w:bookmarkStart w:id="42" w:name="ver_30180194"/>
      <w:bookmarkEnd w:id="42"/>
    </w:p>
    <w:p w14:paraId="5B8FAE52" w14:textId="5BE0FD0F"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Artículo 37. Los gastos incluidos en el presupuesto para la vigencia fiscal de 2019 se clasifican de la siguiente forma: </w:t>
      </w:r>
    </w:p>
    <w:p w14:paraId="77F2FF19"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321F762D" w14:textId="507D74B4"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A - FUNCIONAMIENTO </w:t>
      </w:r>
    </w:p>
    <w:p w14:paraId="3E78202A"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7C0575E2" w14:textId="40314D88"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GASTOS DE PERSONAL </w:t>
      </w:r>
    </w:p>
    <w:p w14:paraId="65123AA4"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788861A0" w14:textId="2176C938"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01 PLANTA DE PERSONAL PERMANENTE </w:t>
      </w:r>
    </w:p>
    <w:p w14:paraId="1C7AD83E"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23162127" w14:textId="0760827E"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01 01 SALARIO </w:t>
      </w:r>
    </w:p>
    <w:p w14:paraId="6F052900"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2302898C" w14:textId="2FC68C67"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01 02 CONTRIBUCIONES INHERENTES A LA NÓMINA </w:t>
      </w:r>
    </w:p>
    <w:p w14:paraId="6D5F363A"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33637210" w14:textId="3402E02F"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01 03 REMUNERACIONES NO CONSTITUTIVAS DE FACTOR SALARIAL </w:t>
      </w:r>
    </w:p>
    <w:p w14:paraId="1A2F582F"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091B9E1E" w14:textId="78B03006"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01 04 OTROS GASTOS DE PERSONAL-PREVIO CONCEPTO DGPPN </w:t>
      </w:r>
    </w:p>
    <w:p w14:paraId="0B808712"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038D9143" w14:textId="2556BC3F"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02 PERSONAL SUPERNUMERARIO Y PLANTA TEMPORAL </w:t>
      </w:r>
    </w:p>
    <w:p w14:paraId="5C5BC3C3"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690A58D5" w14:textId="5CCA6A45"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02 01 SALARIO </w:t>
      </w:r>
    </w:p>
    <w:p w14:paraId="7BE45E6D"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4CFEC4A3" w14:textId="477202DB"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02 02 CONTRIBUCIONES INHERENTES A LA NÓMINA </w:t>
      </w:r>
    </w:p>
    <w:p w14:paraId="508A0034"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64CA7236" w14:textId="030777C2"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02 03 REMUNERACIONES NO CONSTITUTIVAS DE FACTOR SALARIAL </w:t>
      </w:r>
    </w:p>
    <w:p w14:paraId="202F648D"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458C6905" w14:textId="5936A39B"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02 04 OTROS GASTOS DE PERSONAL-PREVIO CONCEPTO DGPPN </w:t>
      </w:r>
    </w:p>
    <w:p w14:paraId="5C09D4A5"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36A5B1C5" w14:textId="553136A2"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02 ADQUISICIÓN DE BIENES Y SERVICIOS </w:t>
      </w:r>
    </w:p>
    <w:p w14:paraId="3CEA24D0"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0DA19AF3" w14:textId="002F9816"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02 01 ADQUISICIÓN DE ACTIVOS NO FINANCIEROS </w:t>
      </w:r>
    </w:p>
    <w:p w14:paraId="0CB8C1B5"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0BC22197" w14:textId="7D930877"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02 02 ADQUISICIONES DIFERENTES DE ACTIVOS </w:t>
      </w:r>
    </w:p>
    <w:p w14:paraId="453ACFCB"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318F5202" w14:textId="26EBF5A0"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03 TRANSFERENCIAS CORRIENTES </w:t>
      </w:r>
    </w:p>
    <w:p w14:paraId="1E8E935B"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6249DA63" w14:textId="7C428253"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04 TRANSFERENCIAS DE CAPITAL </w:t>
      </w:r>
    </w:p>
    <w:p w14:paraId="4A1180E4"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464BE2A1" w14:textId="5EB7BE6F"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05 GASTOS DE COMERCIALIZACIÓN Y PRODUCCIÓN </w:t>
      </w:r>
    </w:p>
    <w:p w14:paraId="0755B9B7"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68420C15" w14:textId="1C8A7921"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06 ADQUISICIÓN DE ACTIVOS FINANCIEROS </w:t>
      </w:r>
    </w:p>
    <w:p w14:paraId="7D902BB6"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48D67A6A" w14:textId="7EC242F8"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07 DISMINUCIÓN DE PASIVOS </w:t>
      </w:r>
    </w:p>
    <w:p w14:paraId="0CC1DB8B"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672306DA" w14:textId="1EE9DCA1"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08 GASTOS POR TRIBUTOS, MULTAS, SANCIONES E INTERESES DE MORA B - SERVICIO DE LA DEUDA PÚBLICA </w:t>
      </w:r>
    </w:p>
    <w:p w14:paraId="762ED892"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45CACAF0" w14:textId="041008D0"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09 SERVICIO DE LA DEUDA PÚBLICA EXTERNA </w:t>
      </w:r>
    </w:p>
    <w:p w14:paraId="28540024"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0FD828B1" w14:textId="7E373E0A"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10 SERVICIO DE LA DEUDA PÚBLICA INTERNA </w:t>
      </w:r>
    </w:p>
    <w:p w14:paraId="53E19014"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729DB70F" w14:textId="39963E52"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 – INVERSIÓN</w:t>
      </w:r>
    </w:p>
    <w:p w14:paraId="060C8F5E" w14:textId="77777777" w:rsidR="00263E5B" w:rsidRPr="009A0E79" w:rsidRDefault="00263E5B" w:rsidP="00D808F4">
      <w:pPr>
        <w:spacing w:after="0" w:line="240" w:lineRule="auto"/>
        <w:jc w:val="both"/>
        <w:rPr>
          <w:rFonts w:ascii="Arial" w:eastAsia="Times New Roman" w:hAnsi="Arial" w:cs="Arial"/>
          <w:color w:val="000000"/>
          <w:lang w:eastAsia="es-CO"/>
        </w:rPr>
      </w:pPr>
    </w:p>
    <w:p w14:paraId="111925F7" w14:textId="77777777" w:rsidR="00711124" w:rsidRPr="009A0E79" w:rsidRDefault="00711124" w:rsidP="002118E6">
      <w:pPr>
        <w:spacing w:after="0" w:line="240" w:lineRule="auto"/>
        <w:jc w:val="center"/>
        <w:rPr>
          <w:rFonts w:ascii="Arial" w:eastAsia="Times New Roman" w:hAnsi="Arial" w:cs="Arial"/>
          <w:b/>
          <w:bCs/>
          <w:color w:val="000000"/>
          <w:lang w:eastAsia="es-CO"/>
        </w:rPr>
      </w:pPr>
      <w:bookmarkStart w:id="43" w:name="ver_30180197"/>
      <w:bookmarkEnd w:id="43"/>
      <w:r w:rsidRPr="009A0E79">
        <w:rPr>
          <w:rFonts w:ascii="Arial" w:eastAsia="Times New Roman" w:hAnsi="Arial" w:cs="Arial"/>
          <w:b/>
          <w:bCs/>
          <w:color w:val="000000"/>
          <w:lang w:eastAsia="es-CO"/>
        </w:rPr>
        <w:t>CAPÍTULO VI</w:t>
      </w:r>
    </w:p>
    <w:p w14:paraId="0CD226A3" w14:textId="77777777" w:rsidR="00711124" w:rsidRPr="009A0E79" w:rsidRDefault="00711124" w:rsidP="002118E6">
      <w:pPr>
        <w:spacing w:after="0" w:line="240" w:lineRule="auto"/>
        <w:jc w:val="center"/>
        <w:rPr>
          <w:rFonts w:ascii="Arial" w:eastAsia="Times New Roman" w:hAnsi="Arial" w:cs="Arial"/>
          <w:b/>
          <w:bCs/>
          <w:color w:val="000000"/>
          <w:lang w:eastAsia="es-CO"/>
        </w:rPr>
      </w:pPr>
      <w:r w:rsidRPr="009A0E79">
        <w:rPr>
          <w:rFonts w:ascii="Arial" w:eastAsia="Times New Roman" w:hAnsi="Arial" w:cs="Arial"/>
          <w:b/>
          <w:bCs/>
          <w:color w:val="000000"/>
          <w:lang w:eastAsia="es-CO"/>
        </w:rPr>
        <w:t>Definición de los gastos</w:t>
      </w:r>
    </w:p>
    <w:p w14:paraId="7520EDA3" w14:textId="77777777" w:rsidR="00711124" w:rsidRPr="009A0E79" w:rsidRDefault="00711124" w:rsidP="00D808F4">
      <w:pPr>
        <w:spacing w:after="0" w:line="240" w:lineRule="auto"/>
        <w:jc w:val="both"/>
        <w:rPr>
          <w:rFonts w:ascii="Arial" w:eastAsia="Times New Roman" w:hAnsi="Arial" w:cs="Arial"/>
          <w:color w:val="000000"/>
          <w:lang w:eastAsia="es-CO"/>
        </w:rPr>
      </w:pPr>
      <w:bookmarkStart w:id="44" w:name="ver_30180196"/>
      <w:bookmarkEnd w:id="44"/>
    </w:p>
    <w:p w14:paraId="2585FE54" w14:textId="2ACBC1A0" w:rsidR="002118E6"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Artículo 38. Los gastos incluidos en el presupuesto para la vigencia fiscal 2019 se definen de la siguiente forma:</w:t>
      </w:r>
    </w:p>
    <w:p w14:paraId="731D1F44" w14:textId="77777777" w:rsidR="0051571A" w:rsidRPr="009A0E79" w:rsidRDefault="0051571A" w:rsidP="00D808F4">
      <w:pPr>
        <w:spacing w:after="0" w:line="240" w:lineRule="auto"/>
        <w:jc w:val="both"/>
        <w:rPr>
          <w:rFonts w:ascii="Arial" w:eastAsia="Times New Roman" w:hAnsi="Arial" w:cs="Arial"/>
          <w:color w:val="000000"/>
          <w:lang w:eastAsia="es-CO"/>
        </w:rPr>
      </w:pPr>
    </w:p>
    <w:p w14:paraId="201DD861" w14:textId="6342517F" w:rsidR="00711124" w:rsidRPr="009A0E79" w:rsidRDefault="00711124" w:rsidP="0051571A">
      <w:pPr>
        <w:pStyle w:val="Prrafodelista"/>
        <w:numPr>
          <w:ilvl w:val="0"/>
          <w:numId w:val="2"/>
        </w:num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FUNCIONAMIENTO  </w:t>
      </w:r>
    </w:p>
    <w:p w14:paraId="30B0744D" w14:textId="77777777" w:rsidR="0051571A" w:rsidRPr="009A0E79" w:rsidRDefault="0051571A" w:rsidP="0051571A">
      <w:pPr>
        <w:pStyle w:val="Prrafodelista"/>
        <w:spacing w:after="0" w:line="240" w:lineRule="auto"/>
        <w:ind w:left="1120"/>
        <w:jc w:val="both"/>
        <w:rPr>
          <w:rFonts w:ascii="Arial" w:eastAsia="Times New Roman" w:hAnsi="Arial" w:cs="Arial"/>
          <w:color w:val="000000"/>
          <w:lang w:eastAsia="es-CO"/>
        </w:rPr>
      </w:pPr>
    </w:p>
    <w:p w14:paraId="3402CA38"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Son aquellos gastos que tienen por objeto atender las necesidades de los órganos para cumplir a cabalidad con las funciones asignadas en la Constitución Política y la ley. </w:t>
      </w:r>
    </w:p>
    <w:p w14:paraId="322C7195"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33D9422E" w14:textId="02A940ED"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GASTOS DE PERSONAL  </w:t>
      </w:r>
    </w:p>
    <w:p w14:paraId="1B01CF14"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30CCA55F"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Son los gastos asociados con el personal vinculado laboralmente con el estado a través de una relación legal/reglamentaria o de una relación contractual laboral (Ley 909 de 2004, artículo 1°). </w:t>
      </w:r>
    </w:p>
    <w:p w14:paraId="1247EBE1"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769AA891" w14:textId="780C7DED"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01 PLANTA DE PERSONAL PERMANENTE  </w:t>
      </w:r>
    </w:p>
    <w:p w14:paraId="2AB122A7"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2641CA73" w14:textId="45470813"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Comprende la remuneración por los servicios laborales prestados por servidores públicos vinculados a la planta de personal aprobada para cada órgano del PGN. </w:t>
      </w:r>
    </w:p>
    <w:p w14:paraId="381822BA"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45005659" w14:textId="3537C89E"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01 01 SALARIO  </w:t>
      </w:r>
    </w:p>
    <w:p w14:paraId="254D1B12"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240E2C3C" w14:textId="19E7F67D" w:rsidR="0051571A"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Son las remuneraciones pagadas en efectivo o en especie a los empleados vinculados laboralmente con el estado, como contraprestación por los servicios prestados. El salario se compone por un sueldo básico y por los demás pagos que tienen como particularidad remunerar el trabajo del empleado. </w:t>
      </w:r>
    </w:p>
    <w:p w14:paraId="41F6AEC6"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5381E7A8" w14:textId="72E7CED5"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01 02 CONTRIBUCIONES INHERENTES A LA NÓMINA  </w:t>
      </w:r>
    </w:p>
    <w:p w14:paraId="22E234FF"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39A100DB"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 xml:space="preserve">Corresponde a las contribuciones legales que debe hacer una entidad como empleadora, a entidades del sector privado y público, tales como: Cajas de Compensación Familiar, SENA, ICBF, ESAP, Fondo Nacional de Ahorro, Fondos Administradores de Cesantías y Pensiones, Empresas </w:t>
      </w:r>
      <w:r w:rsidRPr="009A0E79">
        <w:rPr>
          <w:rFonts w:ascii="Arial" w:eastAsia="Times New Roman" w:hAnsi="Arial" w:cs="Arial"/>
          <w:color w:val="000000"/>
          <w:lang w:eastAsia="es-CO"/>
        </w:rPr>
        <w:lastRenderedPageBreak/>
        <w:t>Promotoras de Salud privadas y públicas, así como, las administradoras públicas y privadas de aportes que se destinan para accidentes de trabajo y enfermedad profesional. </w:t>
      </w:r>
    </w:p>
    <w:p w14:paraId="3B78FE23" w14:textId="77777777" w:rsidR="0051571A" w:rsidRPr="009A0E79" w:rsidRDefault="0051571A" w:rsidP="00D808F4">
      <w:pPr>
        <w:spacing w:after="0" w:line="240" w:lineRule="auto"/>
        <w:jc w:val="both"/>
        <w:rPr>
          <w:rFonts w:ascii="Arial" w:eastAsia="Times New Roman" w:hAnsi="Arial" w:cs="Arial"/>
          <w:color w:val="000000"/>
          <w:lang w:eastAsia="es-CO"/>
        </w:rPr>
      </w:pPr>
    </w:p>
    <w:p w14:paraId="5F27D218" w14:textId="77777777" w:rsidR="00711124" w:rsidRPr="009A0E79" w:rsidRDefault="00711124" w:rsidP="0051571A">
      <w:pPr>
        <w:spacing w:after="0" w:line="240" w:lineRule="auto"/>
        <w:jc w:val="both"/>
        <w:rPr>
          <w:rFonts w:ascii="Arial" w:eastAsia="Times New Roman" w:hAnsi="Arial" w:cs="Arial"/>
          <w:color w:val="000000"/>
          <w:lang w:eastAsia="es-CO"/>
        </w:rPr>
      </w:pPr>
      <w:r w:rsidRPr="755FE940">
        <w:rPr>
          <w:rFonts w:ascii="Arial" w:eastAsia="Times New Roman" w:hAnsi="Arial" w:cs="Arial"/>
          <w:color w:val="000000" w:themeColor="text1"/>
          <w:lang w:eastAsia="es-CO"/>
        </w:rPr>
        <w:t>01 01 03 REMUNERACIONES NO CONSTITUTIVAS DE FACTOR SALARIAL  </w:t>
      </w:r>
    </w:p>
    <w:p w14:paraId="24169524" w14:textId="6A078DB4" w:rsidR="755FE940" w:rsidRDefault="755FE940" w:rsidP="755FE940">
      <w:pPr>
        <w:spacing w:after="0" w:line="240" w:lineRule="auto"/>
        <w:jc w:val="both"/>
        <w:rPr>
          <w:rFonts w:ascii="Arial" w:eastAsia="Times New Roman" w:hAnsi="Arial" w:cs="Arial"/>
          <w:color w:val="000000" w:themeColor="text1"/>
          <w:lang w:eastAsia="es-CO"/>
        </w:rPr>
      </w:pPr>
    </w:p>
    <w:p w14:paraId="15B3D596"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Corresponde a los gastos del personal vinculado laboralmente con el estado que la ley no reconoce como constitutivos de factor salarial. Estos pagos no forman parte de la base para el cálculo y pago de las prestaciones sociales, aportes parafiscales y seguridad social, aunque sí forman parte de la base de retención en la fuente, por ingresos laborales. </w:t>
      </w:r>
    </w:p>
    <w:p w14:paraId="2956ED6A" w14:textId="77777777" w:rsidR="0051571A" w:rsidRPr="009A0E79" w:rsidRDefault="0051571A" w:rsidP="00D808F4">
      <w:pPr>
        <w:spacing w:after="0" w:line="240" w:lineRule="auto"/>
        <w:jc w:val="both"/>
        <w:rPr>
          <w:rFonts w:ascii="Arial" w:eastAsia="Times New Roman" w:hAnsi="Arial" w:cs="Arial"/>
          <w:color w:val="000000"/>
          <w:lang w:eastAsia="es-CO"/>
        </w:rPr>
      </w:pPr>
    </w:p>
    <w:p w14:paraId="6BB853A1" w14:textId="77777777"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01 04 OTROS GASTOS DE PERSONAL-PREVIO CONCEPTO DGPPN  </w:t>
      </w:r>
    </w:p>
    <w:p w14:paraId="28DD405B"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196D461F"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Esta cuenta es de programación presupuestal y registra el monto de los gastos de personal por incremento salarial que resulta del ajuste del poder adquisitivo y demás criterios de programación impartidos para consideración, si los hubiera. </w:t>
      </w:r>
    </w:p>
    <w:p w14:paraId="0FF9D78F" w14:textId="77777777" w:rsidR="0051571A" w:rsidRPr="009A0E79" w:rsidRDefault="0051571A" w:rsidP="00D808F4">
      <w:pPr>
        <w:spacing w:after="0" w:line="240" w:lineRule="auto"/>
        <w:jc w:val="both"/>
        <w:rPr>
          <w:rFonts w:ascii="Arial" w:eastAsia="Times New Roman" w:hAnsi="Arial" w:cs="Arial"/>
          <w:color w:val="000000"/>
          <w:lang w:eastAsia="es-CO"/>
        </w:rPr>
      </w:pPr>
    </w:p>
    <w:p w14:paraId="60DD93E2" w14:textId="77777777"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01 02 PERSONAL SUPERNUMERARIO Y PLANTA TEMPORAL  </w:t>
      </w:r>
    </w:p>
    <w:p w14:paraId="6EDAF871"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2F7F2995"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Comprende la remuneración por los servicios laborales prestados por el personal vinculado de forma temporal o transitoria con la administración pública, bien sea dentro de una planta de personal temporal o como personal supernumerario. </w:t>
      </w:r>
    </w:p>
    <w:p w14:paraId="3C6B02DC" w14:textId="77777777" w:rsidR="007C27DF" w:rsidRPr="009A0E79" w:rsidRDefault="007C27DF" w:rsidP="00D808F4">
      <w:pPr>
        <w:spacing w:after="0" w:line="240" w:lineRule="auto"/>
        <w:jc w:val="both"/>
        <w:rPr>
          <w:rFonts w:ascii="Arial" w:eastAsia="Times New Roman" w:hAnsi="Arial" w:cs="Arial"/>
          <w:color w:val="000000"/>
          <w:lang w:eastAsia="es-CO"/>
        </w:rPr>
      </w:pPr>
    </w:p>
    <w:p w14:paraId="70598191"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Las definiciones de los conceptos en que se desagregan los gastos de PERSONAL SUPERNUMERARIO Y PLANTA TEMPORAL correspondientes a 01 02 01 SALARIO, 01 02 02 CONTRIBUCIONES INHERENTES A LA NÓMINA, 01 02 03 REMUNERACIONES NO CONSTITUTIVAS DE FACTOR SALARIAL y 01 02 04 OTROS GASTOS DE PERSONAL-PREVIO CONCEPTO DGPPN para 01 02 PERSONAL SUPERNUMERARIO Y PLANTA TEMPORAL son iguales a los conceptos de la Planta de Personal Permanente aplicables a este tipo de vinculación laboral. </w:t>
      </w:r>
    </w:p>
    <w:p w14:paraId="34CC9B1A" w14:textId="77777777" w:rsidR="007C27DF" w:rsidRPr="009A0E79" w:rsidRDefault="007C27DF" w:rsidP="00D808F4">
      <w:pPr>
        <w:spacing w:after="0" w:line="240" w:lineRule="auto"/>
        <w:jc w:val="both"/>
        <w:rPr>
          <w:rFonts w:ascii="Arial" w:eastAsia="Times New Roman" w:hAnsi="Arial" w:cs="Arial"/>
          <w:color w:val="000000"/>
          <w:lang w:eastAsia="es-CO"/>
        </w:rPr>
      </w:pPr>
    </w:p>
    <w:p w14:paraId="2866FF00" w14:textId="77777777"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02 ADQUISICIÓN DE BIENES Y SERVICIOS  </w:t>
      </w:r>
    </w:p>
    <w:p w14:paraId="1D5EC970"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12517294"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Son los gastos asociados a la compra de bienes y a la contratación de servicios, suministrados por personas naturales o jurídicas, que son necesarios para el cumplimiento de las funciones asignadas por la Constitución Política y la ley al órgano del PGN.</w:t>
      </w:r>
    </w:p>
    <w:p w14:paraId="10AAB806" w14:textId="77777777" w:rsidR="00263E5B" w:rsidRPr="009A0E79" w:rsidRDefault="00263E5B" w:rsidP="00D808F4">
      <w:pPr>
        <w:spacing w:after="0" w:line="240" w:lineRule="auto"/>
        <w:jc w:val="both"/>
        <w:rPr>
          <w:rFonts w:ascii="Arial" w:eastAsia="Times New Roman" w:hAnsi="Arial" w:cs="Arial"/>
          <w:color w:val="000000"/>
          <w:lang w:eastAsia="es-CO"/>
        </w:rPr>
      </w:pPr>
    </w:p>
    <w:p w14:paraId="006279AD" w14:textId="77777777"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02 01 ADQUISICIÓN DE ACTIVOS NO FINANCIEROS  </w:t>
      </w:r>
    </w:p>
    <w:p w14:paraId="4B7AB4E2"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5CE29DDD"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Son los gastos asociados a la adquisición de algunos activos producidos y no producidos. Para efectos de esta cuenta, entiéndase por activos producidos aquellos que tienen su origen en procesos de producción, como son los activos fijos y los objetos de valor; y por activos no producidos, aquellos de origen natural como las tierras y terrenos y los recursos biológicos no cultivados. </w:t>
      </w:r>
    </w:p>
    <w:p w14:paraId="1063A02A" w14:textId="77777777" w:rsidR="0051571A" w:rsidRPr="009A0E79" w:rsidRDefault="0051571A" w:rsidP="00D808F4">
      <w:pPr>
        <w:spacing w:after="0" w:line="240" w:lineRule="auto"/>
        <w:jc w:val="both"/>
        <w:rPr>
          <w:rFonts w:ascii="Arial" w:eastAsia="Times New Roman" w:hAnsi="Arial" w:cs="Arial"/>
          <w:color w:val="000000"/>
          <w:lang w:eastAsia="es-CO"/>
        </w:rPr>
      </w:pPr>
    </w:p>
    <w:p w14:paraId="2F4247F7" w14:textId="77777777"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02 02 ADQUISICIONES DIFERENTES DE ACTIVOS  </w:t>
      </w:r>
    </w:p>
    <w:p w14:paraId="118E5C45"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1CCF9C95" w14:textId="77777777" w:rsidR="007C27DF"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Son los gastos asociados a la adquisición de bienes (que no constituyen activos), y servicios, suministrados por personas naturales y jurídicas, que se utilizan apoyar el desarrollo de las funciones de la entidad.</w:t>
      </w:r>
    </w:p>
    <w:p w14:paraId="64BCE385" w14:textId="77777777" w:rsidR="0051571A" w:rsidRPr="009A0E79" w:rsidRDefault="0051571A" w:rsidP="00D808F4">
      <w:pPr>
        <w:spacing w:after="0" w:line="240" w:lineRule="auto"/>
        <w:jc w:val="both"/>
        <w:rPr>
          <w:rFonts w:ascii="Arial" w:eastAsia="Times New Roman" w:hAnsi="Arial" w:cs="Arial"/>
          <w:color w:val="000000"/>
          <w:lang w:eastAsia="es-CO"/>
        </w:rPr>
      </w:pPr>
    </w:p>
    <w:p w14:paraId="773F82FF" w14:textId="3303CEA4" w:rsidR="00711124" w:rsidRPr="009A0E79" w:rsidRDefault="00711124" w:rsidP="00272ADC">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lastRenderedPageBreak/>
        <w:t>03 TRANSFERENCIAS CORRIENTES  </w:t>
      </w:r>
    </w:p>
    <w:p w14:paraId="3F28B554" w14:textId="77777777" w:rsidR="0051571A" w:rsidRPr="009A0E79" w:rsidRDefault="0051571A" w:rsidP="00272ADC">
      <w:pPr>
        <w:spacing w:after="0" w:line="240" w:lineRule="auto"/>
        <w:jc w:val="both"/>
        <w:rPr>
          <w:rFonts w:ascii="Arial" w:eastAsia="Times New Roman" w:hAnsi="Arial" w:cs="Arial"/>
          <w:color w:val="000000"/>
          <w:lang w:eastAsia="es-CO"/>
        </w:rPr>
      </w:pPr>
    </w:p>
    <w:p w14:paraId="5A917602"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 xml:space="preserve">Comprende las transacciones que realiza un órgano del PGN a otra unidad sin recibir de esta última ningún bien, servicio o activo a cambio como contrapartida directa. Las transferencias por su </w:t>
      </w:r>
      <w:proofErr w:type="gramStart"/>
      <w:r w:rsidRPr="009A0E79">
        <w:rPr>
          <w:rFonts w:ascii="Arial" w:eastAsia="Times New Roman" w:hAnsi="Arial" w:cs="Arial"/>
          <w:color w:val="000000"/>
          <w:lang w:eastAsia="es-CO"/>
        </w:rPr>
        <w:t>naturaleza,</w:t>
      </w:r>
      <w:proofErr w:type="gramEnd"/>
      <w:r w:rsidRPr="009A0E79">
        <w:rPr>
          <w:rFonts w:ascii="Arial" w:eastAsia="Times New Roman" w:hAnsi="Arial" w:cs="Arial"/>
          <w:color w:val="000000"/>
          <w:lang w:eastAsia="es-CO"/>
        </w:rPr>
        <w:t xml:space="preserve"> reducen el ingreso y las posibilidades de consumo del otorgante e incrementan el ingreso y las posibilidades de consumo del receptor. </w:t>
      </w:r>
    </w:p>
    <w:p w14:paraId="3D97E84E"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6EB86B23" w14:textId="756EFAC9"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04 TRANSFERENCIAS DE CAPITAL  </w:t>
      </w:r>
    </w:p>
    <w:p w14:paraId="530B2C6C"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33F305CB"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Comprende las transacciones que realiza un órgano del PGN a otra unidad para la adquisición de un bien o el pago de un pasivo, sin recibir de esta última ningún bien, servicio o activo a cambio como contrapartida directa. A diferencia de las transferencias corrientes, estas implican el traspaso de la propiedad de un activo (distinto del efectivo y de las existencias) de una unidad a otra, la obligación de adquirir o de disponer de un activo por una o ambas partes, o la obligación de pagar un pasivo por parte del receptor. </w:t>
      </w:r>
    </w:p>
    <w:p w14:paraId="1711B05C"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51943876" w14:textId="72D601D8"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05 GASTOS DE COMERCIALIZACIÓN Y PRODUCCIÓN  </w:t>
      </w:r>
    </w:p>
    <w:p w14:paraId="43FA4CE6"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3E46F1CA"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Comprende los gastos asociados a la adquisición de insumos necesarios para la producción y comercialización de los bienes y servicios que provee el órgano del PGN. </w:t>
      </w:r>
    </w:p>
    <w:p w14:paraId="56AECEA5" w14:textId="77777777" w:rsidR="0051571A" w:rsidRPr="009A0E79" w:rsidRDefault="0051571A" w:rsidP="00D808F4">
      <w:pPr>
        <w:spacing w:after="0" w:line="240" w:lineRule="auto"/>
        <w:jc w:val="both"/>
        <w:rPr>
          <w:rFonts w:ascii="Arial" w:eastAsia="Times New Roman" w:hAnsi="Arial" w:cs="Arial"/>
          <w:color w:val="000000"/>
          <w:lang w:eastAsia="es-CO"/>
        </w:rPr>
      </w:pPr>
    </w:p>
    <w:p w14:paraId="7621EB0E" w14:textId="77777777"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06 ADQUISICIÓN DE ACTIVOS FINANCIEROS  </w:t>
      </w:r>
    </w:p>
    <w:p w14:paraId="5DA0DC9F"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0E43755F"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Comprende los recursos destinados a la adquisición de derechos financieros, los cuales brindan a su propietario el derecho a recibir fondos u otros recursos de otra unidad. </w:t>
      </w:r>
    </w:p>
    <w:p w14:paraId="5DAAD04A" w14:textId="77777777" w:rsidR="0051571A" w:rsidRPr="009A0E79" w:rsidRDefault="0051571A" w:rsidP="00D808F4">
      <w:pPr>
        <w:spacing w:after="0" w:line="240" w:lineRule="auto"/>
        <w:jc w:val="both"/>
        <w:rPr>
          <w:rFonts w:ascii="Arial" w:eastAsia="Times New Roman" w:hAnsi="Arial" w:cs="Arial"/>
          <w:color w:val="000000"/>
          <w:lang w:eastAsia="es-CO"/>
        </w:rPr>
      </w:pPr>
    </w:p>
    <w:p w14:paraId="3D187F3D" w14:textId="77777777"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07 DISMINUCIÓN DE PASIVOS  </w:t>
      </w:r>
    </w:p>
    <w:p w14:paraId="5858BD2B"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6FD62D23"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Son los gastos asociados a una obligación de pago adquirida por el órgano del PGN, pero que está sustentada en el recaudo previo de los recursos. Los gastos por disminución de pasivos se caracterizan por no afectar el patrimonio de la unidad institucional. </w:t>
      </w:r>
    </w:p>
    <w:p w14:paraId="46993772"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22E0782A" w14:textId="0FEB07DC"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08 GASTOS POR TRIBUTOS, MULTAS, SANCIONES E INTERESES DE MORA  </w:t>
      </w:r>
    </w:p>
    <w:p w14:paraId="23C546B2" w14:textId="77777777" w:rsidR="0051571A" w:rsidRPr="009A0E79" w:rsidRDefault="0051571A" w:rsidP="00D808F4">
      <w:pPr>
        <w:spacing w:after="0" w:line="240" w:lineRule="auto"/>
        <w:ind w:left="760"/>
        <w:jc w:val="both"/>
        <w:rPr>
          <w:rFonts w:ascii="Arial" w:eastAsia="Times New Roman" w:hAnsi="Arial" w:cs="Arial"/>
          <w:color w:val="000000"/>
          <w:lang w:eastAsia="es-CO"/>
        </w:rPr>
      </w:pPr>
    </w:p>
    <w:p w14:paraId="186EA173"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Comprende el gasto por tributos, multas, sanciones e intereses de mora, que por mandato legal deben atender los órganos del PGN. Entiéndase por tributos, las prestaciones pecuniarias establecidas por una autoridad estatal, en ejercicio de su poder de imperio, para el cumplimiento de sus fines. Los tributos se distinguen entre impuestos, tasas y contribuciones según la intensidad del poder de coacción y el deber de contribución implícito en cada modalidad. </w:t>
      </w:r>
    </w:p>
    <w:p w14:paraId="44B6A3C2" w14:textId="77777777" w:rsidR="00E7431B" w:rsidRPr="009A0E79" w:rsidRDefault="00E7431B" w:rsidP="00D808F4">
      <w:pPr>
        <w:spacing w:after="0" w:line="240" w:lineRule="auto"/>
        <w:jc w:val="both"/>
        <w:rPr>
          <w:rFonts w:ascii="Arial" w:eastAsia="Times New Roman" w:hAnsi="Arial" w:cs="Arial"/>
          <w:color w:val="000000"/>
          <w:lang w:eastAsia="es-CO"/>
        </w:rPr>
      </w:pPr>
    </w:p>
    <w:p w14:paraId="658AD8D9" w14:textId="754A76A6"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Las Multas, sanciones e intereses de mora comprenden el gasto por penalidades pecuniarias que se derivan del poder punitivo del Estado, y que se establecen por el incumplimiento de leyes o normas administrativas, con el fin de prevenir un comportamiento considerado indeseable. </w:t>
      </w:r>
    </w:p>
    <w:p w14:paraId="54DB6915"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1A9B4FF4" w14:textId="1A13BA46" w:rsidR="00711124" w:rsidRPr="009A0E79" w:rsidRDefault="00711124" w:rsidP="0051571A">
      <w:pPr>
        <w:pStyle w:val="Prrafodelista"/>
        <w:numPr>
          <w:ilvl w:val="0"/>
          <w:numId w:val="2"/>
        </w:num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SERVICIO DE LA DEUDA PÚBLICA  </w:t>
      </w:r>
    </w:p>
    <w:p w14:paraId="44AF7476" w14:textId="77777777" w:rsidR="0051571A" w:rsidRPr="009A0E79" w:rsidRDefault="0051571A" w:rsidP="0051571A">
      <w:pPr>
        <w:pStyle w:val="Prrafodelista"/>
        <w:spacing w:after="0" w:line="240" w:lineRule="auto"/>
        <w:jc w:val="both"/>
        <w:rPr>
          <w:rFonts w:ascii="Arial" w:eastAsia="Times New Roman" w:hAnsi="Arial" w:cs="Arial"/>
          <w:color w:val="000000"/>
          <w:lang w:eastAsia="es-CO"/>
        </w:rPr>
      </w:pPr>
    </w:p>
    <w:p w14:paraId="5356F0AC" w14:textId="77777777" w:rsidR="007C27DF"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 xml:space="preserve">Los gastos por concepto del servicio a la deuda, tanto interna como externa, tienen por objeto atender el cumplimiento de las obligaciones correspondientes al pago del principal, los intereses, las comisiones, y todo tipo de gastos derivados de las operaciones de crédito público que realizan </w:t>
      </w:r>
      <w:r w:rsidRPr="009A0E79">
        <w:rPr>
          <w:rFonts w:ascii="Arial" w:eastAsia="Times New Roman" w:hAnsi="Arial" w:cs="Arial"/>
          <w:color w:val="000000"/>
          <w:lang w:eastAsia="es-CO"/>
        </w:rPr>
        <w:lastRenderedPageBreak/>
        <w:t>los órganos del PGN con el fin de dotar a la entidad estatal de recursos, bienes o servicios con plazo para su pago</w:t>
      </w:r>
      <w:r w:rsidR="007C27DF" w:rsidRPr="009A0E79">
        <w:rPr>
          <w:rFonts w:ascii="Arial" w:eastAsia="Times New Roman" w:hAnsi="Arial" w:cs="Arial"/>
          <w:color w:val="000000"/>
          <w:lang w:eastAsia="es-CO"/>
        </w:rPr>
        <w:t>.</w:t>
      </w:r>
    </w:p>
    <w:p w14:paraId="143DE812" w14:textId="77777777" w:rsidR="0051571A" w:rsidRPr="009A0E79" w:rsidRDefault="0051571A" w:rsidP="00D808F4">
      <w:pPr>
        <w:spacing w:after="0" w:line="240" w:lineRule="auto"/>
        <w:jc w:val="both"/>
        <w:rPr>
          <w:rFonts w:ascii="Arial" w:eastAsia="Times New Roman" w:hAnsi="Arial" w:cs="Arial"/>
          <w:color w:val="000000"/>
          <w:lang w:eastAsia="es-CO"/>
        </w:rPr>
      </w:pPr>
    </w:p>
    <w:p w14:paraId="634826D4" w14:textId="6AC094B5" w:rsidR="00711124" w:rsidRPr="009A0E79" w:rsidRDefault="00711124" w:rsidP="00E7431B">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09 SERVICIO DE LA DEUDA PÚBLICA EXTERNA  </w:t>
      </w:r>
    </w:p>
    <w:p w14:paraId="62068DBF"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Comprende el gasto por amortizaciones del principal, los intereses, las comisiones, y todo tipo de gastos derivados de las operaciones de crédito público que realizan los órganos del PGN con agentes residentes fuera del país. </w:t>
      </w:r>
    </w:p>
    <w:p w14:paraId="3D444818"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246249D4" w14:textId="6EBF559D"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10 SERVICIO DE LA DEUDA PÚBLICA INTERNA  </w:t>
      </w:r>
    </w:p>
    <w:p w14:paraId="1C08BA6B"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69B6FCE4"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Comprende el gasto por amortizaciones del principal, los intereses, las comisiones, y todo tipo de gastos derivados de las operaciones de crédito público que realizan los órganos del PGN con agentes residentes en el territorio colombiano. </w:t>
      </w:r>
    </w:p>
    <w:p w14:paraId="5582EA3C" w14:textId="77777777" w:rsidR="0051571A" w:rsidRPr="009A0E79" w:rsidRDefault="0051571A" w:rsidP="0051571A">
      <w:pPr>
        <w:spacing w:after="0" w:line="240" w:lineRule="auto"/>
        <w:jc w:val="both"/>
        <w:rPr>
          <w:rFonts w:ascii="Arial" w:eastAsia="Times New Roman" w:hAnsi="Arial" w:cs="Arial"/>
          <w:color w:val="000000"/>
          <w:lang w:eastAsia="es-CO"/>
        </w:rPr>
      </w:pPr>
    </w:p>
    <w:p w14:paraId="14764BAE" w14:textId="3F23A522" w:rsidR="00711124" w:rsidRPr="009A0E79" w:rsidRDefault="00711124" w:rsidP="0051571A">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C. INVERSIÓN  </w:t>
      </w:r>
    </w:p>
    <w:p w14:paraId="6B7B2833" w14:textId="77777777" w:rsidR="00E7431B" w:rsidRPr="009A0E79" w:rsidRDefault="00E7431B" w:rsidP="00D808F4">
      <w:pPr>
        <w:spacing w:after="0" w:line="240" w:lineRule="auto"/>
        <w:ind w:left="760"/>
        <w:jc w:val="both"/>
        <w:rPr>
          <w:rFonts w:ascii="Arial" w:eastAsia="Times New Roman" w:hAnsi="Arial" w:cs="Arial"/>
          <w:color w:val="000000"/>
          <w:lang w:eastAsia="es-CO"/>
        </w:rPr>
      </w:pPr>
    </w:p>
    <w:p w14:paraId="19421D71"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Son aquellas erogaciones susceptibles de causar réditos o de ser de algún modo económicamente productivas, o que tengan cuerpo de bienes de utilización perdurable, llamados también de capital por oposición a los de funcionamiento que se hayan destinado por lo común a extinguirse con su empleo. Asimismo, aquellos gastos destinados a crear infraestructura social. </w:t>
      </w:r>
    </w:p>
    <w:p w14:paraId="1870399E" w14:textId="77777777" w:rsidR="007C27DF" w:rsidRPr="009A0E79" w:rsidRDefault="007C27DF" w:rsidP="00D808F4">
      <w:pPr>
        <w:spacing w:after="0" w:line="240" w:lineRule="auto"/>
        <w:jc w:val="both"/>
        <w:rPr>
          <w:rFonts w:ascii="Arial" w:eastAsia="Times New Roman" w:hAnsi="Arial" w:cs="Arial"/>
          <w:color w:val="000000"/>
          <w:lang w:eastAsia="es-CO"/>
        </w:rPr>
      </w:pPr>
    </w:p>
    <w:p w14:paraId="245F1367" w14:textId="77777777" w:rsidR="007C27DF"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La característica fundamental de este gasto debe ser que su asignación permita acrecentar la capacidad de producción y productividad en el campo de la estructura física, económica y social.</w:t>
      </w:r>
    </w:p>
    <w:p w14:paraId="6E782850"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 </w:t>
      </w:r>
    </w:p>
    <w:p w14:paraId="12AF735C" w14:textId="77777777"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Las inversiones que estén financiadas con recursos del crédito externo, para poder ejecutarse, deberán tener el recurso incorporado en el Presupuesto, tener aprobación de la Dirección General de Crédito Público y Tesoro Nacional y someterse a los procedimientos de contratación administrativa. </w:t>
      </w:r>
    </w:p>
    <w:p w14:paraId="6FE95248" w14:textId="77777777" w:rsidR="007C27DF" w:rsidRPr="009A0E79" w:rsidRDefault="007C27DF" w:rsidP="00D808F4">
      <w:pPr>
        <w:spacing w:after="0" w:line="240" w:lineRule="auto"/>
        <w:jc w:val="both"/>
        <w:rPr>
          <w:rFonts w:ascii="Arial" w:eastAsia="Times New Roman" w:hAnsi="Arial" w:cs="Arial"/>
          <w:color w:val="000000"/>
          <w:lang w:eastAsia="es-CO"/>
        </w:rPr>
      </w:pPr>
    </w:p>
    <w:p w14:paraId="65068765" w14:textId="1BD8B3BD" w:rsidR="00711124" w:rsidRPr="009A0E79" w:rsidRDefault="00711124" w:rsidP="00D808F4">
      <w:pPr>
        <w:spacing w:after="0" w:line="240" w:lineRule="auto"/>
        <w:jc w:val="both"/>
        <w:rPr>
          <w:rFonts w:ascii="Arial" w:eastAsia="Times New Roman" w:hAnsi="Arial" w:cs="Arial"/>
          <w:color w:val="000000"/>
          <w:lang w:eastAsia="es-CO"/>
        </w:rPr>
      </w:pPr>
      <w:r w:rsidRPr="009A0E79">
        <w:rPr>
          <w:rFonts w:ascii="Arial" w:eastAsia="Times New Roman" w:hAnsi="Arial" w:cs="Arial"/>
          <w:color w:val="000000"/>
          <w:lang w:eastAsia="es-CO"/>
        </w:rPr>
        <w:t>Al momento de la obligación, los gastos de inversión se desagregarán al máximo nivel del Clasificador por Objeto de gasto del Catálogo de Clasificación Presupuestal establecido por la Dirección General del Presupuesto Público Nacional, al igual que los gastos de funcionamiento.</w:t>
      </w:r>
    </w:p>
    <w:p w14:paraId="63741FB7" w14:textId="78F1A950" w:rsidR="00D808F4" w:rsidRPr="009A0E79" w:rsidRDefault="00D808F4" w:rsidP="00E7431B">
      <w:pPr>
        <w:spacing w:after="0" w:line="240" w:lineRule="auto"/>
        <w:jc w:val="center"/>
        <w:rPr>
          <w:rFonts w:ascii="Arial" w:eastAsia="Times New Roman" w:hAnsi="Arial" w:cs="Arial"/>
          <w:b/>
          <w:bCs/>
          <w:color w:val="000000"/>
          <w:lang w:eastAsia="es-CO"/>
        </w:rPr>
      </w:pPr>
    </w:p>
    <w:p w14:paraId="66541EC4" w14:textId="77777777" w:rsidR="00D808F4" w:rsidRPr="009A0E79" w:rsidRDefault="00D808F4" w:rsidP="00E7431B">
      <w:pPr>
        <w:pStyle w:val="parrafo-division"/>
        <w:spacing w:before="0" w:beforeAutospacing="0" w:after="0" w:afterAutospacing="0"/>
        <w:jc w:val="center"/>
        <w:rPr>
          <w:rFonts w:ascii="Arial" w:hAnsi="Arial" w:cs="Arial"/>
          <w:b/>
          <w:bCs/>
          <w:color w:val="000000"/>
          <w:sz w:val="22"/>
          <w:szCs w:val="22"/>
        </w:rPr>
      </w:pPr>
      <w:r w:rsidRPr="009A0E79">
        <w:rPr>
          <w:rFonts w:ascii="Arial" w:hAnsi="Arial" w:cs="Arial"/>
          <w:b/>
          <w:bCs/>
          <w:color w:val="000000"/>
          <w:sz w:val="22"/>
          <w:szCs w:val="22"/>
        </w:rPr>
        <w:t>CAPÍTULO VII</w:t>
      </w:r>
    </w:p>
    <w:p w14:paraId="442D34C5" w14:textId="77777777" w:rsidR="00D808F4" w:rsidRPr="009A0E79" w:rsidRDefault="00D808F4" w:rsidP="00E7431B">
      <w:pPr>
        <w:pStyle w:val="parrafo-division"/>
        <w:spacing w:before="0" w:beforeAutospacing="0" w:after="0" w:afterAutospacing="0"/>
        <w:jc w:val="center"/>
        <w:rPr>
          <w:rFonts w:ascii="Arial" w:hAnsi="Arial" w:cs="Arial"/>
          <w:b/>
          <w:bCs/>
          <w:color w:val="000000"/>
          <w:sz w:val="22"/>
          <w:szCs w:val="22"/>
        </w:rPr>
      </w:pPr>
      <w:r w:rsidRPr="009A0E79">
        <w:rPr>
          <w:rStyle w:val="Textoennegrita"/>
          <w:rFonts w:ascii="Arial" w:hAnsi="Arial" w:cs="Arial"/>
          <w:color w:val="000000"/>
          <w:sz w:val="22"/>
          <w:szCs w:val="22"/>
        </w:rPr>
        <w:t>Disposiciones varias</w:t>
      </w:r>
    </w:p>
    <w:p w14:paraId="154E552B" w14:textId="77777777" w:rsidR="00D808F4" w:rsidRPr="009A0E79" w:rsidRDefault="00D808F4" w:rsidP="00D808F4">
      <w:pPr>
        <w:spacing w:after="0" w:line="240" w:lineRule="auto"/>
        <w:jc w:val="both"/>
        <w:rPr>
          <w:rFonts w:ascii="Arial" w:hAnsi="Arial" w:cs="Arial"/>
          <w:color w:val="000000"/>
        </w:rPr>
      </w:pPr>
      <w:bookmarkStart w:id="45" w:name="ver_30180199"/>
      <w:bookmarkEnd w:id="45"/>
    </w:p>
    <w:p w14:paraId="7925FFCD" w14:textId="6EC23006"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40.</w:t>
      </w:r>
      <w:r w:rsidRPr="009A0E79">
        <w:rPr>
          <w:rFonts w:ascii="Arial" w:hAnsi="Arial" w:cs="Arial"/>
          <w:color w:val="000000"/>
          <w:sz w:val="22"/>
          <w:szCs w:val="22"/>
        </w:rPr>
        <w:t> El servidor público que reciba una orden de embargo sobre los recursos incorporados en el Presupuesto General de la Nación, incluidas las transferencias que hace la Nación a las entidades territoriales, está obligado a efectuar los trámites correspondientes para solicitar su desembargo. Para este efecto, solicitará al jefe de la sección presupuestal donde se encuentren incorporados los recursos objeto de la medida cautelar la certificación de inembargabilidad. Esta función podrá ser delegada en los términos del artículo 110 del Estatuto Orgánico del Presupuesto. La solicitud debe indicar el tipo de proceso, las partes involucradas, el despacho judicial que profirió las medidas cautelares y el origen de los recursos que fueron embargados. </w:t>
      </w:r>
    </w:p>
    <w:p w14:paraId="2AB94DFE"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41D3499E"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descentralizadas que administran recursos de la seguridad social certificará la inembargabilidad de estos recursos en los términos previstos en el artículo 63 de la Constitución Política en concordancia con el artículo 134 de la Ley 100 de 1993 y el artículo 25 de la Ley 1751 de 2015. </w:t>
      </w:r>
    </w:p>
    <w:p w14:paraId="61BC0CD6" w14:textId="77777777" w:rsidR="00D808F4" w:rsidRPr="009A0E79" w:rsidRDefault="00D808F4" w:rsidP="00D808F4">
      <w:pPr>
        <w:spacing w:after="0" w:line="240" w:lineRule="auto"/>
        <w:jc w:val="both"/>
        <w:rPr>
          <w:rFonts w:ascii="Arial" w:hAnsi="Arial" w:cs="Arial"/>
          <w:color w:val="000000"/>
        </w:rPr>
      </w:pPr>
      <w:bookmarkStart w:id="46" w:name="ver_30180200"/>
      <w:bookmarkEnd w:id="46"/>
    </w:p>
    <w:p w14:paraId="064550CD" w14:textId="21F1CDD6"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lastRenderedPageBreak/>
        <w:t>Artículo 41.</w:t>
      </w:r>
      <w:r w:rsidRPr="009A0E79">
        <w:rPr>
          <w:rFonts w:ascii="Arial" w:hAnsi="Arial" w:cs="Arial"/>
          <w:color w:val="000000"/>
          <w:sz w:val="22"/>
          <w:szCs w:val="22"/>
        </w:rPr>
        <w:t> Los órganos a que se refiere el artículo 3° del presente decreto pagarán los fallos de tutela con cargo al rubro que corresponda a la naturaleza del negocio fallado, igualmente, los contratos de transacción se imputarán con cargo al rubro afectado inicialmente con el respectivo compromiso. </w:t>
      </w:r>
    </w:p>
    <w:p w14:paraId="547245EF"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2C3980E5" w14:textId="3EF1CEB2"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Para pagarlos, en primer lugar, se deben efectuar los traslados presupuestales requeridos, con cargo a los saldos de apropiación disponibles durante la vigencia fiscal en curso. </w:t>
      </w:r>
    </w:p>
    <w:p w14:paraId="5D935994"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3512A26A" w14:textId="78E07793"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Los establecimientos públicos deben atender las providencias que se profieran en su contra, en primer </w:t>
      </w:r>
      <w:proofErr w:type="gramStart"/>
      <w:r w:rsidRPr="009A0E79">
        <w:rPr>
          <w:rFonts w:ascii="Arial" w:hAnsi="Arial" w:cs="Arial"/>
          <w:color w:val="000000"/>
          <w:sz w:val="22"/>
          <w:szCs w:val="22"/>
        </w:rPr>
        <w:t>lugar</w:t>
      </w:r>
      <w:proofErr w:type="gramEnd"/>
      <w:r w:rsidRPr="009A0E79">
        <w:rPr>
          <w:rFonts w:ascii="Arial" w:hAnsi="Arial" w:cs="Arial"/>
          <w:color w:val="000000"/>
          <w:sz w:val="22"/>
          <w:szCs w:val="22"/>
        </w:rPr>
        <w:t xml:space="preserve"> con recursos propios realizando previamente las operaciones presupuestales a que haya lugar. </w:t>
      </w:r>
    </w:p>
    <w:p w14:paraId="5658496C"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26ED9274"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Con cargo a las apropiaciones del rubro sentencias y conciliaciones, se podrán pagar todos los gastos originados en los tribunales de arbitramento, así como las cauciones o garantías bancarias o de compañía de seguros que se requieran en procesos judiciales. </w:t>
      </w:r>
    </w:p>
    <w:p w14:paraId="5178CB70" w14:textId="2C5DF6DD" w:rsidR="00D808F4" w:rsidRPr="009A0E79" w:rsidRDefault="00D808F4" w:rsidP="00E7431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47" w:name="ver_30180201"/>
      <w:bookmarkEnd w:id="47"/>
    </w:p>
    <w:p w14:paraId="222168CD"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42.</w:t>
      </w:r>
      <w:r w:rsidRPr="009A0E79">
        <w:rPr>
          <w:rFonts w:ascii="Arial" w:hAnsi="Arial" w:cs="Arial"/>
          <w:color w:val="000000"/>
          <w:sz w:val="22"/>
          <w:szCs w:val="22"/>
        </w:rPr>
        <w:t xml:space="preserve"> La </w:t>
      </w:r>
      <w:proofErr w:type="gramStart"/>
      <w:r w:rsidRPr="009A0E79">
        <w:rPr>
          <w:rFonts w:ascii="Arial" w:hAnsi="Arial" w:cs="Arial"/>
          <w:color w:val="000000"/>
          <w:sz w:val="22"/>
          <w:szCs w:val="22"/>
        </w:rPr>
        <w:t>Fiscalía General</w:t>
      </w:r>
      <w:proofErr w:type="gramEnd"/>
      <w:r w:rsidRPr="009A0E79">
        <w:rPr>
          <w:rFonts w:ascii="Arial" w:hAnsi="Arial" w:cs="Arial"/>
          <w:color w:val="000000"/>
          <w:sz w:val="22"/>
          <w:szCs w:val="22"/>
        </w:rPr>
        <w:t xml:space="preserve"> de la Nación, la Policía Nacional, el Ejército Nacional, la Armada Nacional, la Fuerza Aérea y la Unidad Nacional de Protección, deben cubrir con cargo a sus respectivos presupuestos, los gastos del personal vinculado a dichos órganos y que conforman los Grupos de Acción Unificada por la Libertad Personal (Gaula), a que se refiere la Ley 282 de 1996. </w:t>
      </w:r>
    </w:p>
    <w:p w14:paraId="76BE342C"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La Unidad Nacional de Protección o la Policía Nacional deberán cubrir, con cargo al rubro de viáticos y gastos de viaje de sus respectivos presupuestos, los gastos causados por los funcionarios que hayan sido asignados al Congreso de la República para prestar los servicios de protección y seguridad personal a sus miembros o a esta Institución. </w:t>
      </w:r>
    </w:p>
    <w:p w14:paraId="79E4628F" w14:textId="77777777" w:rsidR="00D808F4" w:rsidRPr="009A0E79" w:rsidRDefault="00D808F4" w:rsidP="00D808F4">
      <w:pPr>
        <w:spacing w:after="0" w:line="240" w:lineRule="auto"/>
        <w:jc w:val="both"/>
        <w:rPr>
          <w:rFonts w:ascii="Arial" w:hAnsi="Arial" w:cs="Arial"/>
          <w:color w:val="000000"/>
        </w:rPr>
      </w:pPr>
      <w:bookmarkStart w:id="48" w:name="ver_30180202"/>
      <w:bookmarkEnd w:id="48"/>
    </w:p>
    <w:p w14:paraId="49A5FB6A" w14:textId="2BD43B3A"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43.</w:t>
      </w:r>
      <w:r w:rsidRPr="009A0E79">
        <w:rPr>
          <w:rFonts w:ascii="Arial" w:hAnsi="Arial" w:cs="Arial"/>
          <w:color w:val="000000"/>
          <w:sz w:val="22"/>
          <w:szCs w:val="22"/>
        </w:rPr>
        <w:t> Las obligaciones por concepto de servicios médico-asistenciales, servicios públicos domiciliarios, gastos de operación aduanera, comunicaciones, transporte y contribuciones inherentes a la nómina, causados en el último bimestre de 2018, se pueden pagar con cargo a las apropiaciones de la vigencia fiscal de 2019. </w:t>
      </w:r>
    </w:p>
    <w:p w14:paraId="07F0E9BB"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7FAAE7E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Las vacaciones, la prima de vacaciones, la indemnización a las mismas, la bonificación por recreación, las cesantías, las pensiones, gastos de inhumación, los impuestos, la tarifa de control fiscal, y contribuciones a organismos internacionales, se pueden pagar con cargo al presupuesto vigente cualquiera que sea el año de su causación. Los órganos que hacen parte del Presupuesto General de la Nación podrán pagar, con cargo al presupuesto vigente, las obligaciones recibidas de las entidades liquidadas que fueron causadas por las mismas, correspondientes a servicios públicos domiciliarios y contribuciones inherentes a la nómina, cualquiera que sea el año de su causación, afectando el rubro que les dio origen. </w:t>
      </w:r>
    </w:p>
    <w:p w14:paraId="5A8F4CF4" w14:textId="77777777" w:rsidR="00D808F4" w:rsidRPr="009A0E79" w:rsidRDefault="00D808F4" w:rsidP="00D808F4">
      <w:pPr>
        <w:spacing w:after="0" w:line="240" w:lineRule="auto"/>
        <w:jc w:val="both"/>
        <w:rPr>
          <w:rFonts w:ascii="Arial" w:hAnsi="Arial" w:cs="Arial"/>
          <w:color w:val="000000"/>
        </w:rPr>
      </w:pPr>
      <w:bookmarkStart w:id="49" w:name="ver_30180203"/>
      <w:bookmarkEnd w:id="49"/>
    </w:p>
    <w:p w14:paraId="468803C8" w14:textId="40434D40"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44.</w:t>
      </w:r>
      <w:r w:rsidRPr="009A0E79">
        <w:rPr>
          <w:rFonts w:ascii="Arial" w:hAnsi="Arial" w:cs="Arial"/>
          <w:color w:val="000000"/>
          <w:sz w:val="22"/>
          <w:szCs w:val="22"/>
        </w:rPr>
        <w:t> Autorícese a la Nación y sus entidades descentralizadas, para efectuar cruces de cuentas entre sí, con entidades territoriales y sus descentralizadas y con las Empresas de Servicios Públicos con participación estatal, sobre las obligaciones que recíprocamente tengan causadas. Para estos efectos se requerirá acuerdo previo entre las partes. </w:t>
      </w:r>
    </w:p>
    <w:p w14:paraId="70F7716E"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6B05F302"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Estas operaciones deben reflejarse en el presupuesto, conservando únicamente la destinación para la cual fueron programadas las apropiaciones respectivas. En el caso de las obligaciones de origen legal que tenga la Nación y sus entidades descentralizadas para con otros órganos públicos, se deben tener en cuenta, para efectos de estas compensaciones, las transferencias y aportes, a cualquier título, que las primeras hayan efectuado a las últimas en cualquier vigencia fiscal. Si quedare algún saldo en contra de la Nación, esta podrá sufragarlo a través de títulos de deuda </w:t>
      </w:r>
      <w:r w:rsidRPr="009A0E79">
        <w:rPr>
          <w:rFonts w:ascii="Arial" w:hAnsi="Arial" w:cs="Arial"/>
          <w:color w:val="000000"/>
          <w:sz w:val="22"/>
          <w:szCs w:val="22"/>
        </w:rPr>
        <w:lastRenderedPageBreak/>
        <w:t>pública, sin que implique operación presupuestal alguna. Cuando concurran las calidades de acreedor y deudor en una misma persona, como consecuencia de un proceso de liquidación o privatización de órganos nacionales de derecho público, se compensarán las cuentas, sin operación presupuestal alguna. </w:t>
      </w:r>
    </w:p>
    <w:p w14:paraId="208B2CC8" w14:textId="1E0FF9EC" w:rsidR="00D808F4" w:rsidRPr="009A0E79" w:rsidRDefault="00D808F4" w:rsidP="00E7431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50" w:name="ver_30180204"/>
      <w:bookmarkEnd w:id="50"/>
    </w:p>
    <w:p w14:paraId="1641ACB5"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45.</w:t>
      </w:r>
      <w:r w:rsidRPr="009A0E79">
        <w:rPr>
          <w:rFonts w:ascii="Arial" w:hAnsi="Arial" w:cs="Arial"/>
          <w:color w:val="000000"/>
          <w:sz w:val="22"/>
          <w:szCs w:val="22"/>
        </w:rPr>
        <w:t xml:space="preserve"> El porcentaje de la cesión del impuesto a las ventas asignado a las cajas departamentales de previsión y al Fondo de Prestaciones Sociales del Magisterio, con destino al pago de las cesantías definitivas y pensiones del personal docente nacionalizado, continuará </w:t>
      </w:r>
      <w:proofErr w:type="gramStart"/>
      <w:r w:rsidRPr="009A0E79">
        <w:rPr>
          <w:rFonts w:ascii="Arial" w:hAnsi="Arial" w:cs="Arial"/>
          <w:color w:val="000000"/>
          <w:sz w:val="22"/>
          <w:szCs w:val="22"/>
        </w:rPr>
        <w:t>pagándose tomando</w:t>
      </w:r>
      <w:proofErr w:type="gramEnd"/>
      <w:r w:rsidRPr="009A0E79">
        <w:rPr>
          <w:rFonts w:ascii="Arial" w:hAnsi="Arial" w:cs="Arial"/>
          <w:color w:val="000000"/>
          <w:sz w:val="22"/>
          <w:szCs w:val="22"/>
        </w:rPr>
        <w:t xml:space="preserve"> como base los convenios suscritos en virtud de lo dispuesto en la Ley 91 de 1989. </w:t>
      </w:r>
    </w:p>
    <w:p w14:paraId="708B4A22" w14:textId="77777777" w:rsidR="00D808F4" w:rsidRPr="009A0E79" w:rsidRDefault="00D808F4" w:rsidP="00D808F4">
      <w:pPr>
        <w:spacing w:after="0" w:line="240" w:lineRule="auto"/>
        <w:jc w:val="both"/>
        <w:rPr>
          <w:rFonts w:ascii="Arial" w:hAnsi="Arial" w:cs="Arial"/>
          <w:color w:val="000000"/>
        </w:rPr>
      </w:pPr>
      <w:bookmarkStart w:id="51" w:name="ver_30180205"/>
      <w:bookmarkEnd w:id="51"/>
    </w:p>
    <w:p w14:paraId="2AA7E4E7" w14:textId="65F39EA3"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46.</w:t>
      </w:r>
      <w:r w:rsidRPr="009A0E79">
        <w:rPr>
          <w:rFonts w:ascii="Arial" w:hAnsi="Arial" w:cs="Arial"/>
          <w:color w:val="000000"/>
          <w:sz w:val="22"/>
          <w:szCs w:val="22"/>
        </w:rPr>
        <w:t> La ejecución de los recursos que se giran al Fondo Nacional de Pensiones de las Entidades Territoriales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xml:space="preserve">), con cargo al Presupuesto General de la Nación, se realizará por medio de resolución expedida por el Ministerio de Hacienda y Crédito Público, ordenando el giro de los recursos. Si no fuere posible realizar el giro de los recursos a las administradoras del Fondo, bastará para el mismo efecto, que por dicha resolución se disponga la administración de </w:t>
      </w:r>
      <w:proofErr w:type="gramStart"/>
      <w:r w:rsidRPr="009A0E79">
        <w:rPr>
          <w:rFonts w:ascii="Arial" w:hAnsi="Arial" w:cs="Arial"/>
          <w:color w:val="000000"/>
          <w:sz w:val="22"/>
          <w:szCs w:val="22"/>
        </w:rPr>
        <w:t>los mismos</w:t>
      </w:r>
      <w:proofErr w:type="gramEnd"/>
      <w:r w:rsidRPr="009A0E79">
        <w:rPr>
          <w:rFonts w:ascii="Arial" w:hAnsi="Arial" w:cs="Arial"/>
          <w:color w:val="000000"/>
          <w:sz w:val="22"/>
          <w:szCs w:val="22"/>
        </w:rPr>
        <w:t xml:space="preserve"> por parte de la Dirección General de Crédito Público y Tesoro Nacional del Ministerio de Hacienda y Crédito Público a través de una cuenta especial, mientras los recursos puedan ser efectivamente entregados. </w:t>
      </w:r>
    </w:p>
    <w:p w14:paraId="4E19C422"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060530C9" w14:textId="4D861BED"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Los recursos serán girados con la periodicidad que disponga el Gobierno nacional. En el evento en que los recursos no se hayan distribuido en su totalidad entre las entidades territoriales, los no distribuidos se podrán girar a una cuenta del Fondo, administrada de la misma manera que los demás recursos del Fondo, como recursos por abonar a las cuentas correspondientes de las entidades territoriales. </w:t>
      </w:r>
    </w:p>
    <w:p w14:paraId="2CEA2931"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102D51B5" w14:textId="2E3B0B54"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Para efectos de realizar la verificación de las condiciones a las que hace referencia el parágrafo 3° del artículo 2° de la Ley 549 de 1999, el Gobierno nacional determinará las condiciones sustanciales que deben acreditarse, los documentos que deben remitirse para el efecto, y el procedimiento con que la misma se realizará. Mientras se producen las verificaciones, se girarán los recursos en la forma prevista en el inciso anterior. </w:t>
      </w:r>
    </w:p>
    <w:p w14:paraId="2A2E56C8"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35A4598E"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Cuando se establezca que la realidad no corresponde con lo que se acreditó, se descontarán los recursos correspondientes, para efectos de ser redistribuidos, sin que dicha nueva distribución constituya un nuevo acto de ejecución presupuestal. </w:t>
      </w:r>
    </w:p>
    <w:p w14:paraId="7D0C7D64" w14:textId="77777777" w:rsidR="00D808F4" w:rsidRPr="009A0E79" w:rsidRDefault="00D808F4" w:rsidP="00D808F4">
      <w:pPr>
        <w:spacing w:after="0" w:line="240" w:lineRule="auto"/>
        <w:jc w:val="both"/>
        <w:rPr>
          <w:rFonts w:ascii="Arial" w:hAnsi="Arial" w:cs="Arial"/>
          <w:color w:val="000000"/>
        </w:rPr>
      </w:pPr>
      <w:bookmarkStart w:id="52" w:name="ver_30180206"/>
      <w:bookmarkEnd w:id="52"/>
    </w:p>
    <w:p w14:paraId="6333593E" w14:textId="4EC3F226"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47.</w:t>
      </w:r>
      <w:r w:rsidRPr="009A0E79">
        <w:rPr>
          <w:rFonts w:ascii="Arial" w:hAnsi="Arial" w:cs="Arial"/>
          <w:color w:val="000000"/>
          <w:sz w:val="22"/>
          <w:szCs w:val="22"/>
        </w:rPr>
        <w:t xml:space="preserve"> Sin perjuicio de lo establecido en las normas vigentes para el pago de la deuda correspondiente al pasivo pensional de las entidades territoriales con el </w:t>
      </w:r>
      <w:proofErr w:type="spellStart"/>
      <w:r w:rsidRPr="009A0E79">
        <w:rPr>
          <w:rFonts w:ascii="Arial" w:hAnsi="Arial" w:cs="Arial"/>
          <w:color w:val="000000"/>
          <w:sz w:val="22"/>
          <w:szCs w:val="22"/>
        </w:rPr>
        <w:t>Fomag</w:t>
      </w:r>
      <w:proofErr w:type="spellEnd"/>
      <w:r w:rsidRPr="009A0E79">
        <w:rPr>
          <w:rFonts w:ascii="Arial" w:hAnsi="Arial" w:cs="Arial"/>
          <w:color w:val="000000"/>
          <w:sz w:val="22"/>
          <w:szCs w:val="22"/>
        </w:rPr>
        <w:t xml:space="preserve"> y de los recursos asignados en el Presupuesto General de la Nación, durante la vigencia fiscal 2019 y en cumplimiento del parágrafo 2° del artículo 18 de la Ley 715 de 2001, el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xml:space="preserve"> deberá girar al </w:t>
      </w:r>
      <w:proofErr w:type="spellStart"/>
      <w:r w:rsidRPr="009A0E79">
        <w:rPr>
          <w:rFonts w:ascii="Arial" w:hAnsi="Arial" w:cs="Arial"/>
          <w:color w:val="000000"/>
          <w:sz w:val="22"/>
          <w:szCs w:val="22"/>
        </w:rPr>
        <w:t>Fomag</w:t>
      </w:r>
      <w:proofErr w:type="spellEnd"/>
      <w:r w:rsidRPr="009A0E79">
        <w:rPr>
          <w:rFonts w:ascii="Arial" w:hAnsi="Arial" w:cs="Arial"/>
          <w:color w:val="000000"/>
          <w:sz w:val="22"/>
          <w:szCs w:val="22"/>
        </w:rPr>
        <w:t xml:space="preserve"> como amortización de la deuda pensional de los entes territoriales los recursos acumulados por cada una de ellas en el sector Educación del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xml:space="preserve">, sólo teniendo en cuenta el valor del pasivo pensional registrado en el Sistema de Información del Fondo y las necesidades de financiamiento de la nómina de pensionados que determine el Ministerio de Hacienda y Crédito Público. Para el efecto, el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xml:space="preserve"> podrá trasladar recursos excedentes del sector Propósito General de cada entidad territorial al sector educación, cuando no cuenten con los recursos suficientes para atender sus pasivos pensionales en dicho sector. </w:t>
      </w:r>
    </w:p>
    <w:p w14:paraId="4E2D7E2F"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43F3795D" w14:textId="424EBDDF"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lastRenderedPageBreak/>
        <w:t>En caso de que por efecto de la actualización de los cálculos actuariales de las entidades territoriales resulten giros superiores al pasivo pensional, estos serán abonados en la vigencia fiscal siguiente a favor de la Entidad Territorial. </w:t>
      </w:r>
    </w:p>
    <w:p w14:paraId="61D6E3F5"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6E83B674"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El </w:t>
      </w:r>
      <w:proofErr w:type="spellStart"/>
      <w:r w:rsidRPr="009A0E79">
        <w:rPr>
          <w:rFonts w:ascii="Arial" w:hAnsi="Arial" w:cs="Arial"/>
          <w:color w:val="000000"/>
          <w:sz w:val="22"/>
          <w:szCs w:val="22"/>
        </w:rPr>
        <w:t>Fomag</w:t>
      </w:r>
      <w:proofErr w:type="spellEnd"/>
      <w:r w:rsidRPr="009A0E79">
        <w:rPr>
          <w:rFonts w:ascii="Arial" w:hAnsi="Arial" w:cs="Arial"/>
          <w:color w:val="000000"/>
          <w:sz w:val="22"/>
          <w:szCs w:val="22"/>
        </w:rPr>
        <w:t xml:space="preserve"> informará de estas operaciones a las entidades territoriales para su correspondiente registro presupuestal y contabilización. </w:t>
      </w:r>
    </w:p>
    <w:p w14:paraId="4DFB7FE5" w14:textId="77777777" w:rsidR="00D808F4" w:rsidRPr="009A0E79" w:rsidRDefault="00D808F4" w:rsidP="00D808F4">
      <w:pPr>
        <w:spacing w:after="0" w:line="240" w:lineRule="auto"/>
        <w:jc w:val="both"/>
        <w:rPr>
          <w:rFonts w:ascii="Arial" w:hAnsi="Arial" w:cs="Arial"/>
          <w:color w:val="000000"/>
        </w:rPr>
      </w:pPr>
      <w:bookmarkStart w:id="53" w:name="ver_30180207"/>
      <w:bookmarkEnd w:id="53"/>
    </w:p>
    <w:p w14:paraId="4466427E"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48.</w:t>
      </w:r>
      <w:r w:rsidRPr="009A0E79">
        <w:rPr>
          <w:rFonts w:ascii="Arial" w:hAnsi="Arial" w:cs="Arial"/>
          <w:color w:val="000000"/>
          <w:sz w:val="22"/>
          <w:szCs w:val="22"/>
        </w:rPr>
        <w:t xml:space="preserve"> En cumplimiento de lo dispuesto, por la Ley 643 de 2001 para el caso de los municipios y por la Ley 1753 de 2015 para todas las entidades territoriales, el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xml:space="preserve"> deberá efectuar el giro de recursos acumulados en el sector salud a 31 de diciembre de 2018, a la Administradora de los Recursos del Sistema General de Seguridad Social en Salud (Adres), correspondiente a las entidades territoriales para las cuales, a esa misma fecha de corte, se haya determinado la no existencia de pasivos pensionales del sector salud o que los mismos se encuentren totalmente financiados, de acuerdo con el registro en el Sistema de Información del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según los requerimientos de cofinanciación del gasto corriente del régimen subsidiado y la programación de caja, que establezca el Ministerio de Hacienda y Crédito Público. Las entidades territoriales registrarán presupuestalmente sin situación de fondos estas operaciones y realizarán el respectivo registro contable con base en la información que suministre el Ministerio de Hacienda y Crédito Público. </w:t>
      </w:r>
    </w:p>
    <w:p w14:paraId="1B6005FF" w14:textId="3886D618" w:rsidR="00D808F4" w:rsidRPr="009A0E79" w:rsidRDefault="00D808F4" w:rsidP="00E7431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54" w:name="ver_30180208"/>
      <w:bookmarkEnd w:id="54"/>
    </w:p>
    <w:p w14:paraId="4DD2C288" w14:textId="27D026F8"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49.</w:t>
      </w:r>
      <w:r w:rsidRPr="009A0E79">
        <w:rPr>
          <w:rFonts w:ascii="Arial" w:hAnsi="Arial" w:cs="Arial"/>
          <w:color w:val="000000"/>
          <w:sz w:val="22"/>
          <w:szCs w:val="22"/>
        </w:rPr>
        <w:t xml:space="preserve"> Los retiros de recursos de las cuentas de las entidades territoriales en el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xml:space="preserve"> para el pago de bonos pensionales o cuotas partes de bonos pensionales y cuotas partes pensionales, se efectuarán de conformidad con la normativa vigente, sin que la entidad territorial requiera acreditar previamente la incorporación en su presupuesto. Durante la vigencia tales entidades territoriales deberán realizar la incorporación presupuestal y el registro contable de los pagos que por estos conceptos sean realizados por el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w:t>
      </w:r>
    </w:p>
    <w:p w14:paraId="7773C02C"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297DAC68" w14:textId="2EA04E26"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Para el caso de mesadas pensionales, por solicitud de las entidades territoriales el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xml:space="preserve"> podrá girar recursos para el pago de nómina de pensionados de la administración central territorial, hasta por el monto total del valor apropiado para pago de mesadas pensionales por las entidades territoriales para dicha vigencia aplicando el porcentaje de cubrimiento del pasivo pensional del sector propósito general sobre dicho valor. </w:t>
      </w:r>
    </w:p>
    <w:p w14:paraId="56E2CC83"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554BD2D1"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 previsto en el presente artículo se efectuará para las entidades territoriales que cumplan los requisitos establecidos en la Ley 549 de 1999 y demás normas vigentes, de acuerdo con las instrucciones y la información que suministre el Ministerio de Hacienda y Crédito Público. </w:t>
      </w:r>
    </w:p>
    <w:p w14:paraId="58E38F3D" w14:textId="77777777" w:rsidR="00D808F4" w:rsidRPr="009A0E79" w:rsidRDefault="00D808F4" w:rsidP="00D808F4">
      <w:pPr>
        <w:spacing w:after="0" w:line="240" w:lineRule="auto"/>
        <w:jc w:val="both"/>
        <w:rPr>
          <w:rFonts w:ascii="Arial" w:hAnsi="Arial" w:cs="Arial"/>
          <w:color w:val="000000"/>
        </w:rPr>
      </w:pPr>
      <w:bookmarkStart w:id="55" w:name="ver_30180209"/>
      <w:bookmarkEnd w:id="55"/>
    </w:p>
    <w:p w14:paraId="2CFB05E8" w14:textId="55CCAD15"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50.</w:t>
      </w:r>
      <w:r w:rsidRPr="009A0E79">
        <w:rPr>
          <w:rFonts w:ascii="Arial" w:hAnsi="Arial" w:cs="Arial"/>
          <w:color w:val="000000"/>
          <w:sz w:val="22"/>
          <w:szCs w:val="22"/>
        </w:rPr>
        <w:t> Las entidades estatales podrán constituir mediante patrimonio autónomo los fondos a que se refiere el artículo 107 de la Ley 42 de 1993. Los recursos que se coloquen en dichos fondos ampararán los bienes del Estado cuando los estudios técnicos indiquen que es más conveniente la cobertura de los riesgos con reservas públicas que con seguros comerciales. </w:t>
      </w:r>
    </w:p>
    <w:p w14:paraId="2818E342"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351E5A97" w14:textId="5DD332A4"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Cuando los estudios técnicos permitan establecer que determinados bienes no son asegurables o que su aseguramiento implica costos de tal naturaleza que la relación costo-beneficio del aseguramiento es negativa, o que los recursos para autoprotección mediante fondos de aseguramiento son de tal magnitud que no es posible o conveniente su uso para tal fin, se podrá asumir el riesgo frente a estos bienes y no asegurarlos ni ampararlos con fondos de aseguramiento. </w:t>
      </w:r>
    </w:p>
    <w:p w14:paraId="0A4AAB5A"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68862D5E" w14:textId="6D9C5324"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lastRenderedPageBreak/>
        <w:t xml:space="preserve">También podrán contratar un seguro de responsabilidad civil para servidores públicos, mediante el cual se ampare la responsabilidad de </w:t>
      </w:r>
      <w:proofErr w:type="gramStart"/>
      <w:r w:rsidRPr="009A0E79">
        <w:rPr>
          <w:rFonts w:ascii="Arial" w:hAnsi="Arial" w:cs="Arial"/>
          <w:color w:val="000000"/>
          <w:sz w:val="22"/>
          <w:szCs w:val="22"/>
        </w:rPr>
        <w:t>los mismos</w:t>
      </w:r>
      <w:proofErr w:type="gramEnd"/>
      <w:r w:rsidRPr="009A0E79">
        <w:rPr>
          <w:rFonts w:ascii="Arial" w:hAnsi="Arial" w:cs="Arial"/>
          <w:color w:val="000000"/>
          <w:sz w:val="22"/>
          <w:szCs w:val="22"/>
        </w:rPr>
        <w:t xml:space="preserve"> por actos o hechos no dolosos ocurridos en ejercicio de sus funciones, y los gastos de defensa en materia disciplinaria, penal y fiscal que deban realizar; estos últimos gastos los podrán pagar las entidades, siempre y cuando exista decisión definitiva que exonere de toda responsabilidad y no sea condenada la contraparte a las costas del proceso. </w:t>
      </w:r>
    </w:p>
    <w:p w14:paraId="212E75CE"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7E87592B"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Esta disposición será aplicada en las mismas condiciones a los Superintendentes, así como a las Empresas Industriales y Comerciales del Estado y a las Sociedades de Economía Mixta asimiladas a estas. </w:t>
      </w:r>
    </w:p>
    <w:p w14:paraId="001BFD0E" w14:textId="06A2669F" w:rsidR="00D808F4" w:rsidRPr="009A0E79" w:rsidRDefault="00D808F4" w:rsidP="0051571A">
      <w:pPr>
        <w:pStyle w:val="NormalWeb"/>
        <w:spacing w:before="0" w:beforeAutospacing="0" w:after="0" w:afterAutospacing="0"/>
        <w:jc w:val="both"/>
        <w:rPr>
          <w:rFonts w:ascii="Arial" w:hAnsi="Arial" w:cs="Arial"/>
          <w:color w:val="000000"/>
        </w:rPr>
      </w:pPr>
      <w:r w:rsidRPr="009A0E79">
        <w:rPr>
          <w:rFonts w:ascii="Arial" w:hAnsi="Arial" w:cs="Arial"/>
          <w:color w:val="000000"/>
          <w:sz w:val="22"/>
          <w:szCs w:val="22"/>
        </w:rPr>
        <w:t>  </w:t>
      </w:r>
      <w:bookmarkStart w:id="56" w:name="ver_30180210"/>
      <w:bookmarkEnd w:id="56"/>
    </w:p>
    <w:p w14:paraId="4CC7BC14"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51</w:t>
      </w:r>
      <w:r w:rsidRPr="009A0E79">
        <w:rPr>
          <w:rFonts w:ascii="Arial" w:hAnsi="Arial" w:cs="Arial"/>
          <w:color w:val="000000"/>
          <w:sz w:val="22"/>
          <w:szCs w:val="22"/>
        </w:rPr>
        <w:t>. En virtud de la autonomía consagrada en el artículo 69 de la Constitución Política, las universidades estatales pagarán las sentencias o fallos proferidos en contra de la Nación con los recursos asignados por parte de esta, en cumplimiento del artículo 86 de la Ley 30 de 1992. </w:t>
      </w:r>
    </w:p>
    <w:p w14:paraId="25873BBD" w14:textId="77777777" w:rsidR="00D808F4" w:rsidRPr="009A0E79" w:rsidRDefault="00D808F4" w:rsidP="00D808F4">
      <w:pPr>
        <w:spacing w:after="0" w:line="240" w:lineRule="auto"/>
        <w:jc w:val="both"/>
        <w:rPr>
          <w:rFonts w:ascii="Arial" w:hAnsi="Arial" w:cs="Arial"/>
          <w:color w:val="000000"/>
        </w:rPr>
      </w:pPr>
      <w:bookmarkStart w:id="57" w:name="ver_30180211"/>
      <w:bookmarkEnd w:id="57"/>
    </w:p>
    <w:p w14:paraId="500B75CF"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52.</w:t>
      </w:r>
      <w:r w:rsidRPr="009A0E79">
        <w:rPr>
          <w:rFonts w:ascii="Arial" w:hAnsi="Arial" w:cs="Arial"/>
          <w:color w:val="000000"/>
          <w:sz w:val="22"/>
          <w:szCs w:val="22"/>
        </w:rPr>
        <w:t> Con los ingresos corrientes y excedentes de la Subcuenta de Solidaridad del Fondo de Solidaridad Pensional se podrán financiar programas de la Subcuenta de Subsistencia de dicho Fondo, para la protección de las personas en estado de indigencia o de pobreza extrema, en los términos del Decreto 3771 de 2007, compilado por el Decreto 1833 de 2016 y las normas que lo modifiquen o adicionen. </w:t>
      </w:r>
    </w:p>
    <w:p w14:paraId="62B37039" w14:textId="77777777" w:rsidR="00D808F4" w:rsidRPr="009A0E79" w:rsidRDefault="00D808F4" w:rsidP="00D808F4">
      <w:pPr>
        <w:spacing w:after="0" w:line="240" w:lineRule="auto"/>
        <w:jc w:val="both"/>
        <w:rPr>
          <w:rFonts w:ascii="Arial" w:hAnsi="Arial" w:cs="Arial"/>
          <w:color w:val="000000"/>
        </w:rPr>
      </w:pPr>
      <w:bookmarkStart w:id="58" w:name="ver_30180212"/>
      <w:bookmarkEnd w:id="58"/>
    </w:p>
    <w:p w14:paraId="18E5155F" w14:textId="0E6A1EB4"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53.</w:t>
      </w:r>
      <w:r w:rsidRPr="009A0E79">
        <w:rPr>
          <w:rFonts w:ascii="Arial" w:hAnsi="Arial" w:cs="Arial"/>
          <w:color w:val="000000"/>
          <w:sz w:val="22"/>
          <w:szCs w:val="22"/>
        </w:rPr>
        <w:t> Con el fin de financiar el Sistema General de Seguridad Social en Salud, en cumplimiento de lo dispuesto en el artículo 48 de la Constitución Política y el artículo 9° de la Ley 1122 de 2007, para la vigencia 2019 se presupuestarán en el Presupuesto General de la Nación los ingresos corrientes y excedentes de los recursos de que trata el artículo 2.6.1.4.1.1 del Decreto 780 de 2016. </w:t>
      </w:r>
    </w:p>
    <w:p w14:paraId="1828A214"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2771AF1C" w14:textId="69DEA611"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Previa cobertura de los riesgos amparados con cargo a los recursos de que trata el artículo 2.6.1.4.1.1 del Decreto 780 de 2016, se financiará, con cargo a dichos recursos la Sostenibilidad y Afiliación de la Población Pobre y Vulnerable asegurada a través del Régimen Subsidiado; una vez se tenga garantizado el aseguramiento, se podrán destinar recursos a financiar otros programas de salud pública. </w:t>
      </w:r>
    </w:p>
    <w:p w14:paraId="1D95BAFC"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4F579798" w14:textId="1433231A"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También podrán ser financiados con dichos recursos, en el marco de lo dispuesto por el artículo 337 de la Constitución Política y los tratados e instrumentos internacionales vigentes, los valores que se determinen en cabeza del Estado colombiano por las atenciones iniciales de urgencia que sean prestadas a los nacionales colombianos en el territorio extranjero de zonas de frontera con Colombia, al igual que las atenciones iniciales de urgencia prestadas en el territorio colombiano a los nacionales de los países fronterizos, de conformidad con la reglamentación que para el efecto expida el Gobierno nacional. </w:t>
      </w:r>
    </w:p>
    <w:p w14:paraId="08D64FDA"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6E5F749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Los excedentes de los recursos de que trata el artículo 2.6.1.4.1.1 del Decreto 780 de 2016, con corte a 31 de diciembre de 2018, serán incorporados en el presupuesto de la Administradora de los Recursos del Sistema General de Seguridad Social en Salud (Adres), y se destinarán a la financiación del aseguramiento en salud. </w:t>
      </w:r>
    </w:p>
    <w:p w14:paraId="4413AABC" w14:textId="5D04DB01" w:rsidR="00D808F4" w:rsidRPr="009A0E79" w:rsidRDefault="00D808F4" w:rsidP="00E7431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59" w:name="ver_30180213"/>
      <w:bookmarkEnd w:id="59"/>
    </w:p>
    <w:p w14:paraId="4189CB5C" w14:textId="1E52AB01"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54.</w:t>
      </w:r>
      <w:r w:rsidRPr="009A0E79">
        <w:rPr>
          <w:rFonts w:ascii="Arial" w:hAnsi="Arial" w:cs="Arial"/>
          <w:color w:val="000000"/>
          <w:sz w:val="22"/>
          <w:szCs w:val="22"/>
        </w:rPr>
        <w:t xml:space="preserve"> Las entidades responsables de la Reparación Integral a la Población víctima del conflicto armado, del orden nacional, darán prioridad en la ejecución de sus respectivos presupuestos, a la atención de dicha población y en especial a la población en situación de desplazamiento forzado y a la población étnica víctima de desplazamiento, en cumplimiento de la </w:t>
      </w:r>
      <w:r w:rsidRPr="009A0E79">
        <w:rPr>
          <w:rFonts w:ascii="Arial" w:hAnsi="Arial" w:cs="Arial"/>
          <w:color w:val="000000"/>
          <w:sz w:val="22"/>
          <w:szCs w:val="22"/>
        </w:rPr>
        <w:lastRenderedPageBreak/>
        <w:t>Ley 1448 de 2011 y a lo ordenado por la Corte Constitucional en la Sentencia T-025 de 2004 y sus Autos de Seguimiento. </w:t>
      </w:r>
    </w:p>
    <w:p w14:paraId="6476FF95"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5E4B52D3"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Estas entidades deberán atender prioritariamente todas las solicitudes de Ayuda Humanitaria de Emergencia y Transición constituyendo esta un título de gasto prevalente sobre las demás obligaciones de la entidad. </w:t>
      </w:r>
    </w:p>
    <w:p w14:paraId="0AB550A8" w14:textId="77777777" w:rsidR="00D808F4" w:rsidRPr="009A0E79" w:rsidRDefault="00D808F4" w:rsidP="00D808F4">
      <w:pPr>
        <w:spacing w:after="0" w:line="240" w:lineRule="auto"/>
        <w:jc w:val="both"/>
        <w:rPr>
          <w:rFonts w:ascii="Arial" w:hAnsi="Arial" w:cs="Arial"/>
          <w:color w:val="000000"/>
        </w:rPr>
      </w:pPr>
      <w:bookmarkStart w:id="60" w:name="ver_30180214"/>
      <w:bookmarkEnd w:id="60"/>
    </w:p>
    <w:p w14:paraId="68E3F50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55.</w:t>
      </w:r>
      <w:r w:rsidRPr="009A0E79">
        <w:rPr>
          <w:rFonts w:ascii="Arial" w:hAnsi="Arial" w:cs="Arial"/>
          <w:color w:val="000000"/>
          <w:sz w:val="22"/>
          <w:szCs w:val="22"/>
        </w:rPr>
        <w:t> Las entidades encargadas de ejecutar la política de víctimas de que trata la Ley 1448 de 2011, especificarán en el Sistema Integrado de Información Financiera SIIF-Nación, en el Sistema Unificado de Inversiones y Finanzas Públicas (SUIFP), y en los demás aplicativos que para este propósito el Ministerio de Hacienda y Crédito Público y el Departamento Nacional de Planeación desarrollen, los rubros que dentro de su presupuesto tienen como destino beneficiar a la población víctima, así como los derechos a los que contribuye para su goce efectivo. A fin de verificar los avances en la implementación de la Ley 1448 de 2011, remitirán a la Unidad para la Atención y Reparación Integral a las Víctimas los listados de la población beneficiada de las medidas de atención, asistencia y reparación integral previstas para la población víctima del conflicto armado </w:t>
      </w:r>
    </w:p>
    <w:p w14:paraId="0C3AF524" w14:textId="77777777" w:rsidR="00D808F4" w:rsidRPr="009A0E79" w:rsidRDefault="00D808F4" w:rsidP="00D808F4">
      <w:pPr>
        <w:spacing w:after="0" w:line="240" w:lineRule="auto"/>
        <w:jc w:val="both"/>
        <w:rPr>
          <w:rFonts w:ascii="Arial" w:hAnsi="Arial" w:cs="Arial"/>
          <w:color w:val="000000"/>
        </w:rPr>
      </w:pPr>
      <w:bookmarkStart w:id="61" w:name="ver_30180215"/>
      <w:bookmarkEnd w:id="61"/>
    </w:p>
    <w:p w14:paraId="4CDB2E62"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56</w:t>
      </w:r>
      <w:r w:rsidRPr="009A0E79">
        <w:rPr>
          <w:rFonts w:ascii="Arial" w:hAnsi="Arial" w:cs="Arial"/>
          <w:color w:val="000000"/>
          <w:sz w:val="22"/>
          <w:szCs w:val="22"/>
        </w:rPr>
        <w:t>. En el marco de los principios de concurrencia, complementariedad y subsidiariedad, la Unidad de Atención y Reparación Integral a las Víctimas podrá con cargo al proyecto denominado “Apoyo a entidades territoriales a través de la cofinanciación para la asistencia, atención y reparación integral a las víctimas del desplazamiento forzado a nivel nacional”, cofinanciar iniciativas integrales de atención a la población desplazada que se adelanten por parte de las entidades territoriales. </w:t>
      </w:r>
    </w:p>
    <w:p w14:paraId="0F8F4A4F"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4F54C3BE" w14:textId="14F1420D" w:rsidR="00D808F4" w:rsidRPr="009A0E79" w:rsidRDefault="00D808F4" w:rsidP="00D808F4">
      <w:pPr>
        <w:pStyle w:val="NormalWeb"/>
        <w:spacing w:before="0" w:beforeAutospacing="0" w:after="0" w:afterAutospacing="0"/>
        <w:jc w:val="both"/>
        <w:rPr>
          <w:rFonts w:ascii="Arial" w:hAnsi="Arial" w:cs="Arial"/>
          <w:color w:val="000000"/>
          <w:sz w:val="22"/>
          <w:szCs w:val="22"/>
        </w:rPr>
      </w:pPr>
      <w:bookmarkStart w:id="62" w:name="ver_30180216"/>
      <w:bookmarkEnd w:id="62"/>
      <w:r w:rsidRPr="009A0E79">
        <w:rPr>
          <w:rStyle w:val="Textoennegrita"/>
          <w:rFonts w:ascii="Arial" w:hAnsi="Arial" w:cs="Arial"/>
          <w:b w:val="0"/>
          <w:bCs w:val="0"/>
          <w:color w:val="000000"/>
          <w:sz w:val="22"/>
          <w:szCs w:val="22"/>
        </w:rPr>
        <w:t>Artículo 57.</w:t>
      </w:r>
      <w:r w:rsidRPr="009A0E79">
        <w:rPr>
          <w:rFonts w:ascii="Arial" w:hAnsi="Arial" w:cs="Arial"/>
          <w:color w:val="000000"/>
          <w:sz w:val="22"/>
          <w:szCs w:val="22"/>
        </w:rPr>
        <w:t> Bajo la coordinación de la Unidad para la Atención y Reparación Integral a las Víctimas y el Departamento Nacional de Planeación, los órganos que integran el Presupuesto General de la Nación encargados de las iniciativas en el marco de la política pública de asistencia, atención y reparación integral a la población víctima, adelantarán la focalización y municipalización indicativa del gasto de inversión destinado a dicha población, en concordancia con la Ley 1448 de 2011 y la reglamentación vigente. </w:t>
      </w:r>
    </w:p>
    <w:p w14:paraId="067FAE70"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01E62E3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 focalización y municipalización indicativas se realizarán teniendo en cuenta las características heterogéneas y las capacidades institucionales de las entidades territoriales, las necesidades identificadas y la ubicación de la población víctima, así como las intervenciones en los procesos territoriales en materia de retornos, reubicaciones, reparaciones colectivas, fallos de restitución, entre otros, con el objeto de procurar la garantía del goce efectivo de sus derechos. </w:t>
      </w:r>
    </w:p>
    <w:p w14:paraId="76878D74" w14:textId="77777777" w:rsidR="00D808F4" w:rsidRPr="009A0E79" w:rsidRDefault="00D808F4" w:rsidP="00D808F4">
      <w:pPr>
        <w:spacing w:after="0" w:line="240" w:lineRule="auto"/>
        <w:jc w:val="both"/>
        <w:rPr>
          <w:rFonts w:ascii="Arial" w:hAnsi="Arial" w:cs="Arial"/>
          <w:color w:val="000000"/>
        </w:rPr>
      </w:pPr>
      <w:bookmarkStart w:id="63" w:name="ver_30180218"/>
      <w:bookmarkEnd w:id="63"/>
    </w:p>
    <w:p w14:paraId="494A920E"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58</w:t>
      </w:r>
      <w:r w:rsidRPr="009A0E79">
        <w:rPr>
          <w:rFonts w:ascii="Arial" w:hAnsi="Arial" w:cs="Arial"/>
          <w:color w:val="000000"/>
          <w:sz w:val="22"/>
          <w:szCs w:val="22"/>
        </w:rPr>
        <w:t xml:space="preserve">. Los recursos del Fondo para la Rehabilitación, Inversión y Lucha contra el Crimen Organizado (Frisco), en la presente vigencia fiscal serán transferidos a la Nación, y girados por la Sociedad de Activos Especiales S.A.E. S.A.S., a la Dirección General de Crédito Público y Tesoro Nacional del Ministerio de Hacienda y Crédito Público, para reintegrar los recursos que la Nación ha girado, de acuerdo con lo establecido en los Documentos </w:t>
      </w:r>
      <w:proofErr w:type="spellStart"/>
      <w:r w:rsidRPr="009A0E79">
        <w:rPr>
          <w:rFonts w:ascii="Arial" w:hAnsi="Arial" w:cs="Arial"/>
          <w:color w:val="000000"/>
          <w:sz w:val="22"/>
          <w:szCs w:val="22"/>
        </w:rPr>
        <w:t>Conpes</w:t>
      </w:r>
      <w:proofErr w:type="spellEnd"/>
      <w:r w:rsidRPr="009A0E79">
        <w:rPr>
          <w:rFonts w:ascii="Arial" w:hAnsi="Arial" w:cs="Arial"/>
          <w:color w:val="000000"/>
          <w:sz w:val="22"/>
          <w:szCs w:val="22"/>
        </w:rPr>
        <w:t xml:space="preserve"> 3412 de 2006, 3476 de 2007 y 3575 de 2009. </w:t>
      </w:r>
    </w:p>
    <w:p w14:paraId="4CD1F7AE" w14:textId="77777777" w:rsidR="00D808F4" w:rsidRPr="009A0E79" w:rsidRDefault="00D808F4" w:rsidP="00D808F4">
      <w:pPr>
        <w:spacing w:after="0" w:line="240" w:lineRule="auto"/>
        <w:jc w:val="both"/>
        <w:rPr>
          <w:rFonts w:ascii="Arial" w:hAnsi="Arial" w:cs="Arial"/>
          <w:color w:val="000000"/>
        </w:rPr>
      </w:pPr>
      <w:bookmarkStart w:id="64" w:name="ver_30180219"/>
      <w:bookmarkEnd w:id="64"/>
    </w:p>
    <w:p w14:paraId="2E17AAD3"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59.</w:t>
      </w:r>
      <w:r w:rsidRPr="009A0E79">
        <w:rPr>
          <w:rFonts w:ascii="Arial" w:hAnsi="Arial" w:cs="Arial"/>
          <w:color w:val="000000"/>
          <w:sz w:val="22"/>
          <w:szCs w:val="22"/>
        </w:rPr>
        <w:t xml:space="preserve"> Los hogares beneficiarios del subsidio familiar de vivienda podrán aplicar este subsidio en cualquier parte del país o modalidad de solución de vivienda, tanto en zona urbana como rural, independiente de la modalidad a la cual se postuló o asignó, siempre y cuando sean población desplazada y no se encuentren vinculados a planes de vivienda elegibles destinados a esta población. La población desplazada perteneciente a comunidades indígenas, comunidades negras </w:t>
      </w:r>
      <w:r w:rsidRPr="009A0E79">
        <w:rPr>
          <w:rFonts w:ascii="Arial" w:hAnsi="Arial" w:cs="Arial"/>
          <w:color w:val="000000"/>
          <w:sz w:val="22"/>
          <w:szCs w:val="22"/>
        </w:rPr>
        <w:lastRenderedPageBreak/>
        <w:t>y afrocolombianas podrán aplicar los subsidios para adquirir, construir o mejorar soluciones de vivienda en propiedades colectivas, conforme a los mandatos constitucionales y legales, tradiciones y sistemas de derecho propio de cada comunidad. </w:t>
      </w:r>
    </w:p>
    <w:p w14:paraId="5D01279C"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50AC435B"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bookmarkStart w:id="65" w:name="ver_30180221"/>
      <w:bookmarkEnd w:id="65"/>
      <w:r w:rsidRPr="009A0E79">
        <w:rPr>
          <w:rStyle w:val="Textoennegrita"/>
          <w:rFonts w:ascii="Arial" w:hAnsi="Arial" w:cs="Arial"/>
          <w:b w:val="0"/>
          <w:bCs w:val="0"/>
          <w:color w:val="000000"/>
          <w:sz w:val="22"/>
          <w:szCs w:val="22"/>
        </w:rPr>
        <w:t>Artículo 60.</w:t>
      </w:r>
      <w:r w:rsidRPr="009A0E79">
        <w:rPr>
          <w:rFonts w:ascii="Arial" w:hAnsi="Arial" w:cs="Arial"/>
          <w:color w:val="000000"/>
          <w:sz w:val="22"/>
          <w:szCs w:val="22"/>
        </w:rPr>
        <w:t> 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“Pago de Pasivos Exigibles - Vigencias Expiradas”. </w:t>
      </w:r>
    </w:p>
    <w:p w14:paraId="430A6E32" w14:textId="77777777" w:rsidR="0051571A" w:rsidRPr="009A0E79" w:rsidRDefault="0051571A" w:rsidP="00D808F4">
      <w:pPr>
        <w:pStyle w:val="NormalWeb"/>
        <w:spacing w:before="0" w:beforeAutospacing="0" w:after="0" w:afterAutospacing="0"/>
        <w:jc w:val="both"/>
        <w:rPr>
          <w:rFonts w:ascii="Arial" w:hAnsi="Arial" w:cs="Arial"/>
          <w:color w:val="000000"/>
          <w:sz w:val="22"/>
          <w:szCs w:val="22"/>
        </w:rPr>
      </w:pPr>
    </w:p>
    <w:p w14:paraId="7BA0DCF6" w14:textId="6B53BDA0"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069E9326"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6549C093" w14:textId="0C7FBB33"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El mecanismo previsto en el primer inciso de este artículo también procederá cuando se trate del cumplimiento de una obligación originada en la ley, exigible en vigencias anteriores, aun sin que medie certificado de </w:t>
      </w:r>
      <w:proofErr w:type="gramStart"/>
      <w:r w:rsidRPr="009A0E79">
        <w:rPr>
          <w:rFonts w:ascii="Arial" w:hAnsi="Arial" w:cs="Arial"/>
          <w:color w:val="000000"/>
          <w:sz w:val="22"/>
          <w:szCs w:val="22"/>
        </w:rPr>
        <w:t>disponibilidad presupuestal ni el registro presupuestal</w:t>
      </w:r>
      <w:proofErr w:type="gramEnd"/>
      <w:r w:rsidRPr="009A0E79">
        <w:rPr>
          <w:rFonts w:ascii="Arial" w:hAnsi="Arial" w:cs="Arial"/>
          <w:color w:val="000000"/>
          <w:sz w:val="22"/>
          <w:szCs w:val="22"/>
        </w:rPr>
        <w:t>. </w:t>
      </w:r>
    </w:p>
    <w:p w14:paraId="1B3D5551"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596DC74E" w14:textId="1AFECA56"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Contraloría General de la República. </w:t>
      </w:r>
    </w:p>
    <w:p w14:paraId="3BA50AC7"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6383D77F" w14:textId="459B3D59"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En todo caso, el jefe del órgano respectivo certificará previamente el cumplimiento de los requisitos señalados en este artículo. </w:t>
      </w:r>
    </w:p>
    <w:p w14:paraId="6F8D5CFD" w14:textId="77777777" w:rsidR="00E7431B" w:rsidRPr="009A0E79" w:rsidRDefault="00E7431B" w:rsidP="00D808F4">
      <w:pPr>
        <w:pStyle w:val="NormalWeb"/>
        <w:spacing w:before="0" w:beforeAutospacing="0" w:after="0" w:afterAutospacing="0"/>
        <w:jc w:val="both"/>
        <w:rPr>
          <w:rFonts w:ascii="Arial" w:hAnsi="Arial" w:cs="Arial"/>
          <w:color w:val="000000"/>
          <w:sz w:val="22"/>
          <w:szCs w:val="22"/>
        </w:rPr>
      </w:pPr>
    </w:p>
    <w:p w14:paraId="53EF0D02"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 preceptuado en el presente artículo no aplica cuando se configuren como hechos cumplidos. </w:t>
      </w:r>
    </w:p>
    <w:p w14:paraId="14D2F8D2" w14:textId="77777777" w:rsidR="00D808F4" w:rsidRPr="009A0E79" w:rsidRDefault="00D808F4" w:rsidP="00D808F4">
      <w:pPr>
        <w:spacing w:after="0" w:line="240" w:lineRule="auto"/>
        <w:jc w:val="both"/>
        <w:rPr>
          <w:rFonts w:ascii="Arial" w:hAnsi="Arial" w:cs="Arial"/>
          <w:color w:val="000000"/>
        </w:rPr>
      </w:pPr>
      <w:bookmarkStart w:id="66" w:name="ver_30180222"/>
      <w:bookmarkEnd w:id="66"/>
    </w:p>
    <w:p w14:paraId="7CA043C3"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61.</w:t>
      </w:r>
      <w:r w:rsidRPr="009A0E79">
        <w:rPr>
          <w:rFonts w:ascii="Arial" w:hAnsi="Arial" w:cs="Arial"/>
          <w:color w:val="000000"/>
          <w:sz w:val="22"/>
          <w:szCs w:val="22"/>
        </w:rPr>
        <w:t> En los presupuestos del Ministerio de Hacienda y Crédito Público y el Departamento Nacional de Planeación se incluirá una apropiación con el objeto de atender los gastos, en otras secciones presupuestales, para la prevención y atención de desastres, Atención, Asistencia y Reparación Integral a las Víctimas del Conflicto Armado Interno, así como para financiar programas y proyectos de inversión que se encuentren debidamente registrados en el Banco Nacional de Programas y Proyectos de conformidad con el artículo 68 del Estatuto Orgánico del Presupuesto, sin cambiar su destinación y cuantía, en los términos de la Sentencia de la Corte Constitucional C-006/12. </w:t>
      </w:r>
    </w:p>
    <w:p w14:paraId="2B5487E0" w14:textId="77777777" w:rsidR="00D808F4" w:rsidRPr="009A0E79" w:rsidRDefault="00D808F4" w:rsidP="00D808F4">
      <w:pPr>
        <w:spacing w:after="0" w:line="240" w:lineRule="auto"/>
        <w:jc w:val="both"/>
        <w:rPr>
          <w:rFonts w:ascii="Arial" w:hAnsi="Arial" w:cs="Arial"/>
          <w:color w:val="000000"/>
        </w:rPr>
      </w:pPr>
      <w:bookmarkStart w:id="67" w:name="ver_30180223"/>
      <w:bookmarkEnd w:id="67"/>
    </w:p>
    <w:p w14:paraId="58B39CCA" w14:textId="77777777" w:rsidR="00142D6B"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62.</w:t>
      </w:r>
      <w:r w:rsidRPr="009A0E79">
        <w:rPr>
          <w:rFonts w:ascii="Arial" w:hAnsi="Arial" w:cs="Arial"/>
          <w:color w:val="000000"/>
          <w:sz w:val="22"/>
          <w:szCs w:val="22"/>
        </w:rPr>
        <w:t> Las asignaciones presupuestales del Fondo de Tecnología de la Información y las Comunicaciones (</w:t>
      </w:r>
      <w:proofErr w:type="spellStart"/>
      <w:r w:rsidRPr="009A0E79">
        <w:rPr>
          <w:rFonts w:ascii="Arial" w:hAnsi="Arial" w:cs="Arial"/>
          <w:color w:val="000000"/>
          <w:sz w:val="22"/>
          <w:szCs w:val="22"/>
        </w:rPr>
        <w:t>Fontic</w:t>
      </w:r>
      <w:proofErr w:type="spellEnd"/>
      <w:r w:rsidRPr="009A0E79">
        <w:rPr>
          <w:rFonts w:ascii="Arial" w:hAnsi="Arial" w:cs="Arial"/>
          <w:color w:val="000000"/>
          <w:sz w:val="22"/>
          <w:szCs w:val="22"/>
        </w:rPr>
        <w:t>) incluyen los recursos necesarios para cubrir el importe de los costos en que incurra el operador oficial de los servicios de franquicia postal y telegráfica para la prestación de estos servicios a los órganos que hacen parte del Presupuesto General de la Nación.</w:t>
      </w:r>
    </w:p>
    <w:p w14:paraId="64ED75EA" w14:textId="2847772C"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030F80F2" w14:textId="77777777" w:rsidR="00142D6B"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El Fondo de Tecnología de la Información y las Comunicaciones hará la transferencia de recursos al operador postal y telegráfico oficial, quien expedirá a la entidad destinataria del servicio, el respectivo paz y salvo, tan pronto como reciba los recursos.</w:t>
      </w:r>
    </w:p>
    <w:p w14:paraId="04D16E2C" w14:textId="7D92C7FF"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717C517E"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lastRenderedPageBreak/>
        <w:t xml:space="preserve">El </w:t>
      </w:r>
      <w:proofErr w:type="spellStart"/>
      <w:r w:rsidRPr="009A0E79">
        <w:rPr>
          <w:rFonts w:ascii="Arial" w:hAnsi="Arial" w:cs="Arial"/>
          <w:color w:val="000000"/>
          <w:sz w:val="22"/>
          <w:szCs w:val="22"/>
        </w:rPr>
        <w:t>Fontic</w:t>
      </w:r>
      <w:proofErr w:type="spellEnd"/>
      <w:r w:rsidRPr="009A0E79">
        <w:rPr>
          <w:rFonts w:ascii="Arial" w:hAnsi="Arial" w:cs="Arial"/>
          <w:color w:val="000000"/>
          <w:sz w:val="22"/>
          <w:szCs w:val="22"/>
        </w:rPr>
        <w:t xml:space="preserve"> podrá destinar los dineros recibidos por la contraprestación de que trata el artículo 14 de la Ley 1369 de 2009, para financiar el servicio postal universal y cubrir los gastos de vigilancia y control de los operadores postales </w:t>
      </w:r>
    </w:p>
    <w:p w14:paraId="494F41DD" w14:textId="77777777" w:rsidR="00D808F4" w:rsidRPr="009A0E79" w:rsidRDefault="00D808F4" w:rsidP="00D808F4">
      <w:pPr>
        <w:spacing w:after="0" w:line="240" w:lineRule="auto"/>
        <w:jc w:val="both"/>
        <w:rPr>
          <w:rFonts w:ascii="Arial" w:hAnsi="Arial" w:cs="Arial"/>
          <w:color w:val="000000"/>
        </w:rPr>
      </w:pPr>
      <w:bookmarkStart w:id="68" w:name="ver_30180225"/>
      <w:bookmarkEnd w:id="68"/>
    </w:p>
    <w:p w14:paraId="009E9521"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63.</w:t>
      </w:r>
      <w:r w:rsidRPr="009A0E79">
        <w:rPr>
          <w:rFonts w:ascii="Arial" w:hAnsi="Arial" w:cs="Arial"/>
          <w:color w:val="000000"/>
          <w:sz w:val="22"/>
          <w:szCs w:val="22"/>
        </w:rPr>
        <w:t> Los órganos que hacen parte del Presupuesto General de la Nación solo podrán solicitar la situación de los recursos aprobados en el Programa Anual de Caja a la Dirección General de Crédito Público y Tesoro Nacional, cuando hayan recibido los bienes y/o servicios o se tengan cumplidos los requisitos que hagan exigible su pago. En ningún caso las entidades podrán solicitar giro de recursos para transferir a Fiducias o Encargos Fiduciarios o Patrimonios Autónomos o a las entidades con las que celebre convenios o contratos interadministrativos, sin que se haya cumplido el objeto del gasto. Cuando las Fiducias, los Encargos Fiduciarios, los Patrimonios Autónomos o los convenios o contratos interadministrativos utilicen la creación de subcuentas, subprogramas, subproyecto, o cualquier otra modalidad de clasificación, deberán implementar el principio de Unidad de Caja, para buscar eficiencia en el manejo de los recursos que les sitúa la Nación. </w:t>
      </w:r>
    </w:p>
    <w:p w14:paraId="272730B1" w14:textId="0C9022BA" w:rsidR="00D808F4" w:rsidRPr="009A0E79" w:rsidRDefault="00D808F4" w:rsidP="00142D6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69" w:name="ver_30180227"/>
      <w:bookmarkEnd w:id="69"/>
    </w:p>
    <w:p w14:paraId="2583BA0A"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64.</w:t>
      </w:r>
      <w:r w:rsidRPr="009A0E79">
        <w:rPr>
          <w:rFonts w:ascii="Arial" w:hAnsi="Arial" w:cs="Arial"/>
          <w:color w:val="000000"/>
          <w:sz w:val="22"/>
          <w:szCs w:val="22"/>
        </w:rPr>
        <w:t> Con el fin de garantizar el flujo efectivo de recursos en el Sistema General de Seguridad Social en Salud, el Ministerio de Salud y Protección Social o la Entidad Administradora de los Recursos del Sistema General de Seguridad Social en Salud girará directamente, a nombre de las Entidades Territoriales, la Unidad de Pago por Capitación a las Entidades Promotoras de Salud o a las Instituciones Prestadoras de Salud de los distritos y los municipios de más de cien mil habitantes (100.000), utilizando el instrumento jurídico definido en el artículo 29 de la Ley 1438 de 2011. </w:t>
      </w:r>
    </w:p>
    <w:p w14:paraId="4984CCE7" w14:textId="77777777" w:rsidR="00D808F4" w:rsidRPr="009A0E79" w:rsidRDefault="00D808F4" w:rsidP="00D808F4">
      <w:pPr>
        <w:spacing w:after="0" w:line="240" w:lineRule="auto"/>
        <w:jc w:val="both"/>
        <w:rPr>
          <w:rFonts w:ascii="Arial" w:hAnsi="Arial" w:cs="Arial"/>
          <w:color w:val="000000"/>
        </w:rPr>
      </w:pPr>
      <w:bookmarkStart w:id="70" w:name="ver_30180229"/>
      <w:bookmarkEnd w:id="70"/>
    </w:p>
    <w:p w14:paraId="06B5876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65.</w:t>
      </w:r>
      <w:r w:rsidRPr="009A0E79">
        <w:rPr>
          <w:rFonts w:ascii="Arial" w:hAnsi="Arial" w:cs="Arial"/>
          <w:color w:val="000000"/>
          <w:sz w:val="22"/>
          <w:szCs w:val="22"/>
        </w:rPr>
        <w:t xml:space="preserve"> Cuando se extiendan los efectos de una sentencia de unificación jurisprudencial dictada por el Consejo de Estado de conformidad con lo dispuesto con el artículo 102 del Código de Procedimiento Administrativo y de lo Contencioso Administrativo, en virtud de la autonomía presupuestal consagrada en el artículo 110 del Estatuto Orgánico del Presupuesto, la operación presupuestal a que haya lugar será responsabilidad del </w:t>
      </w:r>
      <w:proofErr w:type="gramStart"/>
      <w:r w:rsidRPr="009A0E79">
        <w:rPr>
          <w:rFonts w:ascii="Arial" w:hAnsi="Arial" w:cs="Arial"/>
          <w:color w:val="000000"/>
          <w:sz w:val="22"/>
          <w:szCs w:val="22"/>
        </w:rPr>
        <w:t>Jefe</w:t>
      </w:r>
      <w:proofErr w:type="gramEnd"/>
      <w:r w:rsidRPr="009A0E79">
        <w:rPr>
          <w:rFonts w:ascii="Arial" w:hAnsi="Arial" w:cs="Arial"/>
          <w:color w:val="000000"/>
          <w:sz w:val="22"/>
          <w:szCs w:val="22"/>
        </w:rPr>
        <w:t xml:space="preserve"> de cada órgano y su pago se imputará al rubro que lo generó. </w:t>
      </w:r>
    </w:p>
    <w:p w14:paraId="1CD78A3D" w14:textId="2DC0325F" w:rsidR="00D808F4" w:rsidRPr="009A0E79" w:rsidRDefault="00D808F4" w:rsidP="00142D6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71" w:name="ver_30180230"/>
      <w:bookmarkEnd w:id="71"/>
    </w:p>
    <w:p w14:paraId="13DEFCF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66</w:t>
      </w:r>
      <w:r w:rsidRPr="009A0E79">
        <w:rPr>
          <w:rFonts w:ascii="Arial" w:hAnsi="Arial" w:cs="Arial"/>
          <w:color w:val="000000"/>
          <w:sz w:val="22"/>
          <w:szCs w:val="22"/>
        </w:rPr>
        <w:t xml:space="preserve">. El respaldo presupuestal a cargo de la Nación frente a los títulos que emita Colpensiones para amparar el 20% correspondiente a la Nación del subsidio o incentivo periódico de los BEPS en el caso de indemnización sustitutiva o devolución de aportes, de que trata la Ley 1328 de 2009, considerarán las disponibilidades fiscales de la Nación que sean definidas por el </w:t>
      </w:r>
      <w:proofErr w:type="spellStart"/>
      <w:r w:rsidRPr="009A0E79">
        <w:rPr>
          <w:rFonts w:ascii="Arial" w:hAnsi="Arial" w:cs="Arial"/>
          <w:color w:val="000000"/>
          <w:sz w:val="22"/>
          <w:szCs w:val="22"/>
        </w:rPr>
        <w:t>Confis</w:t>
      </w:r>
      <w:proofErr w:type="spellEnd"/>
      <w:r w:rsidRPr="009A0E79">
        <w:rPr>
          <w:rFonts w:ascii="Arial" w:hAnsi="Arial" w:cs="Arial"/>
          <w:color w:val="000000"/>
          <w:sz w:val="22"/>
          <w:szCs w:val="22"/>
        </w:rPr>
        <w:t>. Dichos títulos se podrán programar en el Presupuesto General de la Nación hasta por el monto definido en el Marco de Gasto de Mediano Plazo del sector en la vigencia fiscal en la cual se deba realizar su pago, es decir, a los tres años de la emisión del título. </w:t>
      </w:r>
    </w:p>
    <w:p w14:paraId="6C9A2E32" w14:textId="77777777" w:rsidR="00D808F4" w:rsidRPr="009A0E79" w:rsidRDefault="00D808F4" w:rsidP="00D808F4">
      <w:pPr>
        <w:spacing w:after="0" w:line="240" w:lineRule="auto"/>
        <w:jc w:val="both"/>
        <w:rPr>
          <w:rFonts w:ascii="Arial" w:hAnsi="Arial" w:cs="Arial"/>
          <w:color w:val="000000"/>
        </w:rPr>
      </w:pPr>
      <w:bookmarkStart w:id="72" w:name="ver_30180231"/>
      <w:bookmarkEnd w:id="72"/>
    </w:p>
    <w:p w14:paraId="71EB180A"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67.</w:t>
      </w:r>
      <w:r w:rsidRPr="009A0E79">
        <w:rPr>
          <w:rFonts w:ascii="Arial" w:hAnsi="Arial" w:cs="Arial"/>
          <w:color w:val="000000"/>
          <w:sz w:val="22"/>
          <w:szCs w:val="22"/>
        </w:rPr>
        <w:t> Las entidades que forman parte del Presupuesto General de la Nación destinarán recursos de sus presupuestos para financiar los estudios y diseños de obras que se pretendan realizar en las regiones con municipios de 4, 5 y 6 categoría. </w:t>
      </w:r>
    </w:p>
    <w:p w14:paraId="63063CC7" w14:textId="77777777" w:rsidR="00D808F4" w:rsidRPr="009A0E79" w:rsidRDefault="00D808F4" w:rsidP="00D808F4">
      <w:pPr>
        <w:spacing w:after="0" w:line="240" w:lineRule="auto"/>
        <w:jc w:val="both"/>
        <w:rPr>
          <w:rFonts w:ascii="Arial" w:hAnsi="Arial" w:cs="Arial"/>
          <w:color w:val="000000"/>
        </w:rPr>
      </w:pPr>
      <w:bookmarkStart w:id="73" w:name="ver_30180232"/>
      <w:bookmarkEnd w:id="73"/>
    </w:p>
    <w:p w14:paraId="015695F5"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68.</w:t>
      </w:r>
      <w:r w:rsidRPr="009A0E79">
        <w:rPr>
          <w:rFonts w:ascii="Arial" w:hAnsi="Arial" w:cs="Arial"/>
          <w:color w:val="000000"/>
          <w:sz w:val="22"/>
          <w:szCs w:val="22"/>
        </w:rPr>
        <w:t xml:space="preserve"> Las entidades estatales que tienen a cargo la asignación de recursos físicos para los esquemas de seguridad de personas en virtud del </w:t>
      </w:r>
      <w:proofErr w:type="gramStart"/>
      <w:r w:rsidRPr="009A0E79">
        <w:rPr>
          <w:rFonts w:ascii="Arial" w:hAnsi="Arial" w:cs="Arial"/>
          <w:color w:val="000000"/>
          <w:sz w:val="22"/>
          <w:szCs w:val="22"/>
        </w:rPr>
        <w:t>cargo,</w:t>
      </w:r>
      <w:proofErr w:type="gramEnd"/>
      <w:r w:rsidRPr="009A0E79">
        <w:rPr>
          <w:rFonts w:ascii="Arial" w:hAnsi="Arial" w:cs="Arial"/>
          <w:color w:val="000000"/>
          <w:sz w:val="22"/>
          <w:szCs w:val="22"/>
        </w:rPr>
        <w:t xml:space="preserve"> podrán celebrar convenios o contratos interadministrativos con la Unidad Nacional de Protección o con la Policía Nacional, con sujeción a las normas vigentes, para la asunción de los diferentes esquemas de seguridad. </w:t>
      </w:r>
    </w:p>
    <w:p w14:paraId="76409A0D" w14:textId="0C1491F5" w:rsidR="00D808F4" w:rsidRPr="009A0E79" w:rsidRDefault="00D808F4" w:rsidP="00EB7B7B">
      <w:pPr>
        <w:pStyle w:val="NormalWeb"/>
        <w:spacing w:before="0" w:beforeAutospacing="0" w:after="0" w:afterAutospacing="0"/>
        <w:jc w:val="both"/>
        <w:rPr>
          <w:rFonts w:ascii="Arial" w:hAnsi="Arial" w:cs="Arial"/>
          <w:color w:val="000000"/>
        </w:rPr>
      </w:pPr>
      <w:r w:rsidRPr="009A0E79">
        <w:rPr>
          <w:rFonts w:ascii="Arial" w:hAnsi="Arial" w:cs="Arial"/>
          <w:color w:val="000000"/>
          <w:sz w:val="22"/>
          <w:szCs w:val="22"/>
        </w:rPr>
        <w:t>  </w:t>
      </w:r>
      <w:bookmarkStart w:id="74" w:name="ver_30180233"/>
      <w:bookmarkEnd w:id="74"/>
    </w:p>
    <w:p w14:paraId="2762E095"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69.</w:t>
      </w:r>
      <w:r w:rsidRPr="009A0E79">
        <w:rPr>
          <w:rFonts w:ascii="Arial" w:hAnsi="Arial" w:cs="Arial"/>
          <w:color w:val="000000"/>
          <w:sz w:val="22"/>
          <w:szCs w:val="22"/>
        </w:rPr>
        <w:t xml:space="preserve"> Las entidades que hacen parte del Presupuesto General de la Nación que celebren contratos y convenios interadministrativos con entidades del orden territorial, y en donde se </w:t>
      </w:r>
      <w:r w:rsidRPr="009A0E79">
        <w:rPr>
          <w:rFonts w:ascii="Arial" w:hAnsi="Arial" w:cs="Arial"/>
          <w:color w:val="000000"/>
          <w:sz w:val="22"/>
          <w:szCs w:val="22"/>
        </w:rPr>
        <w:lastRenderedPageBreak/>
        <w:t>ejecuten recursos de partidas que correspondan a inversión regional, exigirán que para la ejecución de dichos proyectos, la entidad territorial publique previamente el proceso de selección que adelante en el Sistema Electrónico para la Contratación Pública (</w:t>
      </w:r>
      <w:proofErr w:type="spellStart"/>
      <w:r w:rsidRPr="009A0E79">
        <w:rPr>
          <w:rFonts w:ascii="Arial" w:hAnsi="Arial" w:cs="Arial"/>
          <w:color w:val="000000"/>
          <w:sz w:val="22"/>
          <w:szCs w:val="22"/>
        </w:rPr>
        <w:t>Secop</w:t>
      </w:r>
      <w:proofErr w:type="spellEnd"/>
      <w:r w:rsidRPr="009A0E79">
        <w:rPr>
          <w:rFonts w:ascii="Arial" w:hAnsi="Arial" w:cs="Arial"/>
          <w:color w:val="000000"/>
          <w:sz w:val="22"/>
          <w:szCs w:val="22"/>
        </w:rPr>
        <w:t>), y sólo se podrán contratar con Pliegos Tipo establecidos por el Gobierno nacional. </w:t>
      </w:r>
    </w:p>
    <w:p w14:paraId="174E7159" w14:textId="77777777" w:rsidR="00D808F4" w:rsidRPr="009A0E79" w:rsidRDefault="00D808F4" w:rsidP="00D808F4">
      <w:pPr>
        <w:spacing w:after="0" w:line="240" w:lineRule="auto"/>
        <w:jc w:val="both"/>
        <w:rPr>
          <w:rFonts w:ascii="Arial" w:hAnsi="Arial" w:cs="Arial"/>
          <w:color w:val="000000"/>
        </w:rPr>
      </w:pPr>
      <w:bookmarkStart w:id="75" w:name="ver_30180234"/>
      <w:bookmarkEnd w:id="75"/>
    </w:p>
    <w:p w14:paraId="375F262B"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70.</w:t>
      </w:r>
      <w:r w:rsidRPr="009A0E79">
        <w:rPr>
          <w:rFonts w:ascii="Arial" w:hAnsi="Arial" w:cs="Arial"/>
          <w:color w:val="000000"/>
          <w:sz w:val="22"/>
          <w:szCs w:val="22"/>
        </w:rPr>
        <w:t> Los pagos por menores tarifas del sector eléctrico y de gas que se causen durante la vigencia del presente decreto, podrán ser girados por el Ministerio de Minas y Energía, con base en la proyección de costos realizada con la información aportada por los prestadores del servicio, o a falta de ella, con base en la información disponible. Los saldos que a 31 de diciembre se generen por este concepto serán atendidos en la vigencia fiscal siguiente. El Ministerio de Minas y Energía podrá, con cargo a los recursos disponibles apropiados para el efecto, pagar los saldos que por este concepto se hubieren causado en vigencias anteriores. </w:t>
      </w:r>
    </w:p>
    <w:p w14:paraId="58481A5C" w14:textId="77777777" w:rsidR="00D808F4" w:rsidRPr="009A0E79" w:rsidRDefault="00D808F4" w:rsidP="00D808F4">
      <w:pPr>
        <w:spacing w:after="0" w:line="240" w:lineRule="auto"/>
        <w:jc w:val="both"/>
        <w:rPr>
          <w:rFonts w:ascii="Arial" w:hAnsi="Arial" w:cs="Arial"/>
          <w:color w:val="000000"/>
        </w:rPr>
      </w:pPr>
      <w:bookmarkStart w:id="76" w:name="ver_30180235"/>
      <w:bookmarkEnd w:id="76"/>
    </w:p>
    <w:p w14:paraId="612813FC"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71</w:t>
      </w:r>
      <w:r w:rsidRPr="009A0E79">
        <w:rPr>
          <w:rFonts w:ascii="Arial" w:hAnsi="Arial" w:cs="Arial"/>
          <w:color w:val="000000"/>
          <w:sz w:val="22"/>
          <w:szCs w:val="22"/>
        </w:rPr>
        <w:t>. La apropiación destinada a la ejecución del programa Fortalecimiento de la Gestión Pública en las Entidades Nacionales y Territoriales, aprobada en la sección presupuestal de la Escuela Superior de Administración Pública (ESAP), financiada con recursos diferentes a la Ley 21 de 1982, será ejecutada a través de convenio interadministrativo por el Departamento Administrativo de la Función Pública. </w:t>
      </w:r>
    </w:p>
    <w:p w14:paraId="59939F36" w14:textId="77777777" w:rsidR="00D808F4" w:rsidRPr="009A0E79" w:rsidRDefault="00D808F4" w:rsidP="00D808F4">
      <w:pPr>
        <w:spacing w:after="0" w:line="240" w:lineRule="auto"/>
        <w:jc w:val="both"/>
        <w:rPr>
          <w:rFonts w:ascii="Arial" w:hAnsi="Arial" w:cs="Arial"/>
          <w:color w:val="000000"/>
        </w:rPr>
      </w:pPr>
      <w:bookmarkStart w:id="77" w:name="ver_30180236"/>
      <w:bookmarkEnd w:id="77"/>
    </w:p>
    <w:p w14:paraId="0F4FAD57"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72.</w:t>
      </w:r>
      <w:r w:rsidRPr="009A0E79">
        <w:rPr>
          <w:rFonts w:ascii="Arial" w:hAnsi="Arial" w:cs="Arial"/>
          <w:color w:val="000000"/>
          <w:sz w:val="22"/>
          <w:szCs w:val="22"/>
        </w:rPr>
        <w:t> Para efectos de atenuar en el mercado interno el impacto de las fluctuaciones de los precios de los combustibles en los mercados internacionales, conforme lo disponen los artículos 69 de la Ley 1151 de 2007 y 101 de la Ley 1450 de 2011, el Ministerio de Minas y Energía podrá autorizar la importación de combustibles con las calidades del país de origen para ser distribuidos de manera exclusiva en los municipios reconocidos por el Gobierno nacional como zonas de frontera. </w:t>
      </w:r>
    </w:p>
    <w:p w14:paraId="7EB9AA75" w14:textId="77777777" w:rsidR="00D808F4" w:rsidRPr="009A0E79" w:rsidRDefault="00D808F4" w:rsidP="00D808F4">
      <w:pPr>
        <w:spacing w:after="0" w:line="240" w:lineRule="auto"/>
        <w:jc w:val="both"/>
        <w:rPr>
          <w:rFonts w:ascii="Arial" w:hAnsi="Arial" w:cs="Arial"/>
          <w:color w:val="000000"/>
        </w:rPr>
      </w:pPr>
      <w:bookmarkStart w:id="78" w:name="ver_30180237"/>
      <w:bookmarkEnd w:id="78"/>
    </w:p>
    <w:p w14:paraId="33CD522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73.</w:t>
      </w:r>
      <w:r w:rsidRPr="009A0E79">
        <w:rPr>
          <w:rFonts w:ascii="Arial" w:hAnsi="Arial" w:cs="Arial"/>
          <w:color w:val="000000"/>
          <w:sz w:val="22"/>
          <w:szCs w:val="22"/>
        </w:rPr>
        <w:t xml:space="preserve"> La subcuenta denominada Departamento Archipiélago de San Andrés, Providencia y Santa Catalina, creada en el Fondo Nacional de Gestión de Riesgo de Desastres, continuará durante la vigencia del presente decreto apoyando el financiamiento de programas y proyectos de inversión sustentables y resilientes para el conocimiento, la prevención y la reducción de riesgos; y para la atención de las necesidades que surjan por la ocurrencia de un hecho o circunstancia que genere un efecto económico y social adverso de carácter prolongado, así como para los recursos destinados al cumplimiento de programas estratégicos, que para el efecto defina el Gobierno nacional, en coordinación con las autoridades departamentales y municipales, para el Archipiélago de San </w:t>
      </w:r>
      <w:proofErr w:type="spellStart"/>
      <w:r w:rsidRPr="009A0E79">
        <w:rPr>
          <w:rFonts w:ascii="Arial" w:hAnsi="Arial" w:cs="Arial"/>
          <w:color w:val="000000"/>
          <w:sz w:val="22"/>
          <w:szCs w:val="22"/>
        </w:rPr>
        <w:t>Andres</w:t>
      </w:r>
      <w:proofErr w:type="spellEnd"/>
      <w:r w:rsidRPr="009A0E79">
        <w:rPr>
          <w:rFonts w:ascii="Arial" w:hAnsi="Arial" w:cs="Arial"/>
          <w:color w:val="000000"/>
          <w:sz w:val="22"/>
          <w:szCs w:val="22"/>
        </w:rPr>
        <w:t>, providencia y Santa Catalina. </w:t>
      </w:r>
    </w:p>
    <w:p w14:paraId="2D23EE4C" w14:textId="77777777" w:rsidR="00EB7B7B" w:rsidRPr="009A0E79" w:rsidRDefault="00EB7B7B" w:rsidP="00D808F4">
      <w:pPr>
        <w:pStyle w:val="NormalWeb"/>
        <w:spacing w:before="0" w:beforeAutospacing="0" w:after="0" w:afterAutospacing="0"/>
        <w:jc w:val="both"/>
        <w:rPr>
          <w:rFonts w:ascii="Arial" w:hAnsi="Arial" w:cs="Arial"/>
          <w:color w:val="000000"/>
          <w:sz w:val="22"/>
          <w:szCs w:val="22"/>
        </w:rPr>
      </w:pPr>
    </w:p>
    <w:p w14:paraId="66D466C5"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Lo dispuesto en este artículo no imposibilita para que, en caso de así requerirse, se pueda atender gasto en ese departamento, con cargo a los recursos de las demás subcuentas que integran el Fondo. </w:t>
      </w:r>
    </w:p>
    <w:p w14:paraId="7D7788E7" w14:textId="77777777" w:rsidR="00D808F4" w:rsidRPr="009A0E79" w:rsidRDefault="00D808F4" w:rsidP="00D808F4">
      <w:pPr>
        <w:spacing w:after="0" w:line="240" w:lineRule="auto"/>
        <w:jc w:val="both"/>
        <w:rPr>
          <w:rFonts w:ascii="Arial" w:hAnsi="Arial" w:cs="Arial"/>
          <w:color w:val="000000"/>
        </w:rPr>
      </w:pPr>
      <w:bookmarkStart w:id="79" w:name="ver_30180238"/>
      <w:bookmarkEnd w:id="79"/>
    </w:p>
    <w:p w14:paraId="6DCBF0FD"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74.</w:t>
      </w:r>
      <w:r w:rsidRPr="009A0E79">
        <w:rPr>
          <w:rFonts w:ascii="Arial" w:hAnsi="Arial" w:cs="Arial"/>
          <w:color w:val="000000"/>
          <w:sz w:val="22"/>
          <w:szCs w:val="22"/>
        </w:rPr>
        <w:t> Los recursos apropiados en la Unidad Nacional de Protección son para cubrir la totalidad del gasto de protección del 1° de enero hasta el 31 de diciembre de 2019, en consecuencia, el Consejo de Estudio de Riesgos y Recomendaciones de Medidas (</w:t>
      </w:r>
      <w:proofErr w:type="spellStart"/>
      <w:r w:rsidRPr="009A0E79">
        <w:rPr>
          <w:rFonts w:ascii="Arial" w:hAnsi="Arial" w:cs="Arial"/>
          <w:color w:val="000000"/>
          <w:sz w:val="22"/>
          <w:szCs w:val="22"/>
        </w:rPr>
        <w:t>Cerrem</w:t>
      </w:r>
      <w:proofErr w:type="spellEnd"/>
      <w:r w:rsidRPr="009A0E79">
        <w:rPr>
          <w:rFonts w:ascii="Arial" w:hAnsi="Arial" w:cs="Arial"/>
          <w:color w:val="000000"/>
          <w:sz w:val="22"/>
          <w:szCs w:val="22"/>
        </w:rPr>
        <w:t>) no podrá ordenar la implementación de medidas de protección a cargo de la Unidad Nacional de Protección sino hasta el monto de las apropiaciones contenidas en la Ley anual de presupuesto para dicha entidad. </w:t>
      </w:r>
    </w:p>
    <w:p w14:paraId="5E1D78FE" w14:textId="529C87E1" w:rsidR="00D808F4" w:rsidRPr="009A0E79" w:rsidRDefault="00D808F4" w:rsidP="00142D6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80" w:name="ver_30180239"/>
      <w:bookmarkEnd w:id="80"/>
    </w:p>
    <w:p w14:paraId="2BB782CA"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75.</w:t>
      </w:r>
      <w:r w:rsidRPr="009A0E79">
        <w:rPr>
          <w:rFonts w:ascii="Arial" w:hAnsi="Arial" w:cs="Arial"/>
          <w:color w:val="000000"/>
          <w:sz w:val="22"/>
          <w:szCs w:val="22"/>
        </w:rPr>
        <w:t xml:space="preserve"> Como requisito para la aprobación de nuevos registros calificados o para la renovación de los existentes, el Ministerio de Educación Nacional deberá verificar que los recursos para el </w:t>
      </w:r>
      <w:r w:rsidRPr="009A0E79">
        <w:rPr>
          <w:rFonts w:ascii="Arial" w:hAnsi="Arial" w:cs="Arial"/>
          <w:color w:val="000000"/>
          <w:sz w:val="22"/>
          <w:szCs w:val="22"/>
        </w:rPr>
        <w:lastRenderedPageBreak/>
        <w:t xml:space="preserve">desarrollo de </w:t>
      </w:r>
      <w:proofErr w:type="gramStart"/>
      <w:r w:rsidRPr="009A0E79">
        <w:rPr>
          <w:rFonts w:ascii="Arial" w:hAnsi="Arial" w:cs="Arial"/>
          <w:color w:val="000000"/>
          <w:sz w:val="22"/>
          <w:szCs w:val="22"/>
        </w:rPr>
        <w:t>los mismos</w:t>
      </w:r>
      <w:proofErr w:type="gramEnd"/>
      <w:r w:rsidRPr="009A0E79">
        <w:rPr>
          <w:rFonts w:ascii="Arial" w:hAnsi="Arial" w:cs="Arial"/>
          <w:color w:val="000000"/>
          <w:sz w:val="22"/>
          <w:szCs w:val="22"/>
        </w:rPr>
        <w:t xml:space="preserve"> cuenten con apropiación presupuestal disponible, de conformidad con lo dispuesto en el artículo 71 del Estatuto Orgánico del Presupuesto. </w:t>
      </w:r>
    </w:p>
    <w:p w14:paraId="3A21430B" w14:textId="77777777" w:rsidR="00D808F4" w:rsidRPr="009A0E79" w:rsidRDefault="00D808F4" w:rsidP="00D808F4">
      <w:pPr>
        <w:spacing w:after="0" w:line="240" w:lineRule="auto"/>
        <w:jc w:val="both"/>
        <w:rPr>
          <w:rFonts w:ascii="Arial" w:hAnsi="Arial" w:cs="Arial"/>
          <w:color w:val="000000"/>
        </w:rPr>
      </w:pPr>
      <w:bookmarkStart w:id="81" w:name="ver_30180240"/>
      <w:bookmarkEnd w:id="81"/>
    </w:p>
    <w:p w14:paraId="2915D7A9" w14:textId="183F77C1"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76.</w:t>
      </w:r>
      <w:r w:rsidRPr="009A0E79">
        <w:rPr>
          <w:rFonts w:ascii="Arial" w:hAnsi="Arial" w:cs="Arial"/>
          <w:color w:val="000000"/>
          <w:sz w:val="22"/>
          <w:szCs w:val="22"/>
        </w:rPr>
        <w:t> El Ministerio de Educación Nacional apoyará el Programa de Alimentación Escolar (PAE) de que trata el artículo 76.17 de la Ley 715 de 2001 con los recursos que le sean apropiados en el Presupuesto General de la Nación. De manera excepcional, y de acuerdo con la reglamentación que para el efecto se expida, el Ministerio de Educación. </w:t>
      </w:r>
    </w:p>
    <w:p w14:paraId="55E1E813"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45FF3FFE" w14:textId="5A15A199"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Nacional podrá ejecutar directamente los recursos del PAE que le sean apropiados en su presupuesto de inversión. </w:t>
      </w:r>
    </w:p>
    <w:p w14:paraId="0AE542C7"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6C46C5B1" w14:textId="56910D3F"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Los recursos que sean transferidos por el Ministerio de Educación Nacional para la operación del PAE, deberán ser ejecutados por las entidades territoriales certificadas en forma concurrente con las demás fuentes de financiación para la alimentación escolar que establezca la normatividad vigente. Para la distribución de los recursos de que trata este artículo, se deberán establecer criterios de priorización de las entidades destinatarias, basados en los principios de eficiencia y equidad. </w:t>
      </w:r>
    </w:p>
    <w:p w14:paraId="15B61CC1"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721B1002"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Las entidades territoriales certificadas podrán celebrar convenios de asociación para la administración y ejecución del PAE con los municipios no certificados en educación, de su jurisdicción, garantizándose siempre el uso concurrente de todos los recursos de financiación para la alimentación escolar que establezca la normatividad vigente. </w:t>
      </w:r>
    </w:p>
    <w:p w14:paraId="13420E8C" w14:textId="77777777" w:rsidR="00D808F4" w:rsidRPr="009A0E79" w:rsidRDefault="00D808F4" w:rsidP="00D808F4">
      <w:pPr>
        <w:spacing w:after="0" w:line="240" w:lineRule="auto"/>
        <w:jc w:val="both"/>
        <w:rPr>
          <w:rFonts w:ascii="Arial" w:hAnsi="Arial" w:cs="Arial"/>
          <w:color w:val="000000"/>
        </w:rPr>
      </w:pPr>
      <w:bookmarkStart w:id="82" w:name="ver_30180241"/>
      <w:bookmarkEnd w:id="82"/>
    </w:p>
    <w:p w14:paraId="6834C109" w14:textId="0679DD0D"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77.</w:t>
      </w:r>
      <w:r w:rsidRPr="009A0E79">
        <w:rPr>
          <w:rFonts w:ascii="Arial" w:hAnsi="Arial" w:cs="Arial"/>
          <w:color w:val="000000"/>
          <w:sz w:val="22"/>
          <w:szCs w:val="22"/>
        </w:rPr>
        <w:t> Durante la vigencia fiscal 2019, el Gobierno nacional podrá concurrir con Colpensiones en el pago de las costas judiciales y agencias en derecho de los procesos judiciales que por concepto de prestaciones pensionales condenaron al extinto Instituto de Seguros Sociales. Para este efecto, Colpensiones y el Patrimonio Autónomo de Remanentes del ISS, realizarán las acciones necesarias para depurar la información correspondiente. </w:t>
      </w:r>
    </w:p>
    <w:p w14:paraId="0C21F366"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4ADE6E9B"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En el caso en que las acreencias por concepto de costas judiciales y agencias en derecho correspondan a los fondos de Invalidez, Vejez y Muerte (IVM) se podrán efectuar cruces de cuentas sin operación presupuestal, con base en las transferencias del Presupuesto General de la Nación que se hayan entregado a dichos fondos, para lo cual se harán las operaciones contables que se requieran. </w:t>
      </w:r>
    </w:p>
    <w:p w14:paraId="5245FF35" w14:textId="77777777" w:rsidR="00D808F4" w:rsidRPr="009A0E79" w:rsidRDefault="00D808F4" w:rsidP="00D808F4">
      <w:pPr>
        <w:spacing w:after="0" w:line="240" w:lineRule="auto"/>
        <w:jc w:val="both"/>
        <w:rPr>
          <w:rFonts w:ascii="Arial" w:hAnsi="Arial" w:cs="Arial"/>
          <w:color w:val="000000"/>
        </w:rPr>
      </w:pPr>
      <w:bookmarkStart w:id="83" w:name="ver_30180242"/>
      <w:bookmarkEnd w:id="83"/>
    </w:p>
    <w:p w14:paraId="625C785B"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78.</w:t>
      </w:r>
      <w:r w:rsidRPr="009A0E79">
        <w:rPr>
          <w:rFonts w:ascii="Arial" w:hAnsi="Arial" w:cs="Arial"/>
          <w:color w:val="000000"/>
          <w:sz w:val="22"/>
          <w:szCs w:val="22"/>
        </w:rPr>
        <w:t> Durante la vigencia del presente decreto, los gastos de funcionamiento del Servicio Social Complementario de Beneficios Económicos Periódicos (BEPS) de que trata la Ley 1328 de 2009, será asumido por la Administradora Colombiana de Pensiones (Colpensiones), con cargo a sus excedentes financieros. Dichos gastos entrarán a hacer parte del presupuesto de la Administradora y para efectos de los procesos de programación, aprobación y ejecución de este presupuesto se aplicará lo previsto en la Resolución 2416 de 1997 del Ministerio de Hacienda y Crédito Público. </w:t>
      </w:r>
    </w:p>
    <w:p w14:paraId="6D4560BC" w14:textId="59714AF3" w:rsidR="00D808F4" w:rsidRPr="009A0E79" w:rsidRDefault="00D808F4" w:rsidP="00142D6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84" w:name="ver_30180243"/>
      <w:bookmarkEnd w:id="84"/>
    </w:p>
    <w:p w14:paraId="199D0DDA"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79.</w:t>
      </w:r>
      <w:r w:rsidRPr="009A0E79">
        <w:rPr>
          <w:rFonts w:ascii="Arial" w:hAnsi="Arial" w:cs="Arial"/>
          <w:color w:val="000000"/>
          <w:sz w:val="22"/>
          <w:szCs w:val="22"/>
        </w:rPr>
        <w:t xml:space="preserve"> La Nación, a través de la Oficina de Bonos Pensionales del Ministerio de Hacienda y Crédito Público y la Administradora Colombiana de Pensiones (Colpensiones), en virtud del artículo 2.2.16.7.25 del Decreto 1833 de 2016, podrán compensar deudas recíprocas, por concepto de Bonos Pensionales Tipo A pagados por la Nación por cuenta de Colpensiones, y obligaciones exigibles a cargo de la Nación a favor de Colpensiones, por concepto de Bonos Pensionales Tipo B y T, sin afectación presupuestal. Para tal efecto, será suficiente que las entidades, lleven a cabo los registros contables a que haya lugar. En el evento, en el que, una vez efectuada la </w:t>
      </w:r>
      <w:r w:rsidRPr="009A0E79">
        <w:rPr>
          <w:rFonts w:ascii="Arial" w:hAnsi="Arial" w:cs="Arial"/>
          <w:color w:val="000000"/>
          <w:sz w:val="22"/>
          <w:szCs w:val="22"/>
        </w:rPr>
        <w:lastRenderedPageBreak/>
        <w:t>compensación, subsistan obligaciones a cargo de la Nación y/o Colpensiones, corresponderá a la entidad deudora, estimar e incluir en el presupuesto de cada vigencia fiscal, la apropiación presupuestal con los recursos necesarios, con el fin de efectuar los pagos de las obligaciones, a su cargo. </w:t>
      </w:r>
    </w:p>
    <w:p w14:paraId="392919EB" w14:textId="77777777" w:rsidR="00D808F4" w:rsidRPr="009A0E79" w:rsidRDefault="00D808F4" w:rsidP="00D808F4">
      <w:pPr>
        <w:spacing w:after="0" w:line="240" w:lineRule="auto"/>
        <w:jc w:val="both"/>
        <w:rPr>
          <w:rFonts w:ascii="Arial" w:hAnsi="Arial" w:cs="Arial"/>
          <w:color w:val="000000"/>
        </w:rPr>
      </w:pPr>
      <w:bookmarkStart w:id="85" w:name="ver_30180244"/>
      <w:bookmarkEnd w:id="85"/>
    </w:p>
    <w:p w14:paraId="78D42F4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80.</w:t>
      </w:r>
      <w:r w:rsidRPr="009A0E79">
        <w:rPr>
          <w:rFonts w:ascii="Arial" w:hAnsi="Arial" w:cs="Arial"/>
          <w:color w:val="000000"/>
          <w:sz w:val="22"/>
          <w:szCs w:val="22"/>
        </w:rPr>
        <w:t xml:space="preserve"> Las entidades responsables del Sistema Penitenciario y Carcelario del país del orden </w:t>
      </w:r>
      <w:proofErr w:type="gramStart"/>
      <w:r w:rsidRPr="009A0E79">
        <w:rPr>
          <w:rFonts w:ascii="Arial" w:hAnsi="Arial" w:cs="Arial"/>
          <w:color w:val="000000"/>
          <w:sz w:val="22"/>
          <w:szCs w:val="22"/>
        </w:rPr>
        <w:t>Nacional,</w:t>
      </w:r>
      <w:proofErr w:type="gramEnd"/>
      <w:r w:rsidRPr="009A0E79">
        <w:rPr>
          <w:rFonts w:ascii="Arial" w:hAnsi="Arial" w:cs="Arial"/>
          <w:color w:val="000000"/>
          <w:sz w:val="22"/>
          <w:szCs w:val="22"/>
        </w:rPr>
        <w:t xml:space="preserve"> darán prioridad en la ejecución con sus respectivos presupuestos, a la atención integral a la población penitenciaria y carcelaria, en cumplimiento de las Sentencias de la Corte Constitucional T-388 de 2013 y T-762 de 2015. </w:t>
      </w:r>
    </w:p>
    <w:p w14:paraId="7F2687A3" w14:textId="77777777" w:rsidR="00D808F4" w:rsidRPr="009A0E79" w:rsidRDefault="00D808F4" w:rsidP="00D808F4">
      <w:pPr>
        <w:spacing w:after="0" w:line="240" w:lineRule="auto"/>
        <w:jc w:val="both"/>
        <w:rPr>
          <w:rFonts w:ascii="Arial" w:hAnsi="Arial" w:cs="Arial"/>
          <w:color w:val="000000"/>
        </w:rPr>
      </w:pPr>
      <w:bookmarkStart w:id="86" w:name="ver_30180245"/>
      <w:bookmarkEnd w:id="86"/>
    </w:p>
    <w:p w14:paraId="042E781F"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81.</w:t>
      </w:r>
      <w:r w:rsidRPr="009A0E79">
        <w:rPr>
          <w:rFonts w:ascii="Arial" w:hAnsi="Arial" w:cs="Arial"/>
          <w:color w:val="000000"/>
          <w:sz w:val="22"/>
          <w:szCs w:val="22"/>
        </w:rPr>
        <w:t> De acuerdo con lo establecido en el artículo 255 de la Ley 1753 de 2015, la progresividad en la compensación del impuesto predial a los municipios donde existen territorios colectivos de comunidades negras, para el año 2019 será de hasta el 75% del valor a compensar, teniendo en cuenta para su liquidación el valor del avalúo para la vigencia fiscal 2018, certificado por la autoridad competente, por la tarifa promedio ponderada determinada por el respectivo municipio. El porcentaje dejado de compensar no es acumulable para su pago en posteriores vigencias fiscales. </w:t>
      </w:r>
    </w:p>
    <w:p w14:paraId="05C2F324" w14:textId="77777777" w:rsidR="00D808F4" w:rsidRPr="009A0E79" w:rsidRDefault="00D808F4" w:rsidP="00D808F4">
      <w:pPr>
        <w:spacing w:after="0" w:line="240" w:lineRule="auto"/>
        <w:jc w:val="both"/>
        <w:rPr>
          <w:rFonts w:ascii="Arial" w:hAnsi="Arial" w:cs="Arial"/>
          <w:color w:val="000000"/>
        </w:rPr>
      </w:pPr>
      <w:bookmarkStart w:id="87" w:name="ver_30180246"/>
      <w:bookmarkEnd w:id="87"/>
    </w:p>
    <w:p w14:paraId="22F65032"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82.</w:t>
      </w:r>
      <w:r w:rsidRPr="009A0E79">
        <w:rPr>
          <w:rFonts w:ascii="Arial" w:hAnsi="Arial" w:cs="Arial"/>
          <w:color w:val="000000"/>
          <w:sz w:val="22"/>
          <w:szCs w:val="22"/>
        </w:rPr>
        <w:t> Con el ánimo de garantizar el derecho al pago oportuno de las mesadas pensionales, Colpensiones podrá recurrir a los recursos de liquidez propios con el propósito de atender el pago de las obligaciones en los artículos 137 y 138 de la Ley 100 de 1993. Estos recursos serán devueltos por la Nación a Colpensiones, bajo los términos y condiciones acordados por las partes, sin que puedan pasar más de 6 meses del año siguiente para su devolución. </w:t>
      </w:r>
    </w:p>
    <w:p w14:paraId="5E6F56C5" w14:textId="77777777" w:rsidR="00D808F4" w:rsidRPr="009A0E79" w:rsidRDefault="00D808F4" w:rsidP="00D808F4">
      <w:pPr>
        <w:spacing w:after="0" w:line="240" w:lineRule="auto"/>
        <w:jc w:val="both"/>
        <w:rPr>
          <w:rFonts w:ascii="Arial" w:hAnsi="Arial" w:cs="Arial"/>
          <w:color w:val="000000"/>
        </w:rPr>
      </w:pPr>
      <w:bookmarkStart w:id="88" w:name="ver_30180247"/>
      <w:bookmarkEnd w:id="88"/>
    </w:p>
    <w:p w14:paraId="70609DC7"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83</w:t>
      </w:r>
      <w:r w:rsidRPr="009A0E79">
        <w:rPr>
          <w:rFonts w:ascii="Arial" w:hAnsi="Arial" w:cs="Arial"/>
          <w:color w:val="000000"/>
          <w:sz w:val="22"/>
          <w:szCs w:val="22"/>
        </w:rPr>
        <w:t>. </w:t>
      </w:r>
      <w:r w:rsidRPr="009A0E79">
        <w:rPr>
          <w:rStyle w:val="nfasis"/>
          <w:rFonts w:ascii="Arial" w:hAnsi="Arial" w:cs="Arial"/>
          <w:i w:val="0"/>
          <w:iCs w:val="0"/>
          <w:color w:val="000000"/>
          <w:sz w:val="22"/>
          <w:szCs w:val="22"/>
        </w:rPr>
        <w:t>Fondo Inversiones para la Paz</w:t>
      </w:r>
      <w:r w:rsidRPr="009A0E79">
        <w:rPr>
          <w:rFonts w:ascii="Arial" w:hAnsi="Arial" w:cs="Arial"/>
          <w:color w:val="000000"/>
          <w:sz w:val="22"/>
          <w:szCs w:val="22"/>
        </w:rPr>
        <w:t>. Todos los programas y proyectos en carreteras y aeropuertos, que no estén a cargo de la Nación y que estén financiados con recursos del Fondo de Inversiones para la Paz que está adscrito al Departamento Administrativo para la Prosperidad Social, podrán ser ejecutados por el Instituto Nacional de Vías, la Unidad Administrativa Especial de la Aeronáutica Civil o mediante convenios con las entidades territoriales según sea el caso. </w:t>
      </w:r>
    </w:p>
    <w:p w14:paraId="4591CFCE"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Las transferencias que realice la entidad a cargo de este Fondo a los patrimonios autónomos </w:t>
      </w:r>
      <w:proofErr w:type="gramStart"/>
      <w:r w:rsidRPr="009A0E79">
        <w:rPr>
          <w:rFonts w:ascii="Arial" w:hAnsi="Arial" w:cs="Arial"/>
          <w:color w:val="000000"/>
          <w:sz w:val="22"/>
          <w:szCs w:val="22"/>
        </w:rPr>
        <w:t>constituidos,</w:t>
      </w:r>
      <w:proofErr w:type="gramEnd"/>
      <w:r w:rsidRPr="009A0E79">
        <w:rPr>
          <w:rFonts w:ascii="Arial" w:hAnsi="Arial" w:cs="Arial"/>
          <w:color w:val="000000"/>
          <w:sz w:val="22"/>
          <w:szCs w:val="22"/>
        </w:rPr>
        <w:t xml:space="preserve"> se tendrán como mecanismo de ejecución del Presupuesto General de la Nación. </w:t>
      </w:r>
    </w:p>
    <w:p w14:paraId="05DDFD10" w14:textId="77777777" w:rsidR="00D808F4" w:rsidRPr="009A0E79" w:rsidRDefault="00D808F4" w:rsidP="00D808F4">
      <w:pPr>
        <w:spacing w:after="0" w:line="240" w:lineRule="auto"/>
        <w:jc w:val="both"/>
        <w:rPr>
          <w:rFonts w:ascii="Arial" w:hAnsi="Arial" w:cs="Arial"/>
          <w:color w:val="000000"/>
        </w:rPr>
      </w:pPr>
      <w:bookmarkStart w:id="89" w:name="ver_30180248"/>
      <w:bookmarkEnd w:id="89"/>
    </w:p>
    <w:p w14:paraId="3041FF84" w14:textId="6A5538FF"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84</w:t>
      </w:r>
      <w:r w:rsidRPr="009A0E79">
        <w:rPr>
          <w:rFonts w:ascii="Arial" w:hAnsi="Arial" w:cs="Arial"/>
          <w:color w:val="000000"/>
          <w:sz w:val="22"/>
          <w:szCs w:val="22"/>
        </w:rPr>
        <w:t>. </w:t>
      </w:r>
      <w:r w:rsidRPr="009A0E79">
        <w:rPr>
          <w:rStyle w:val="nfasis"/>
          <w:rFonts w:ascii="Arial" w:hAnsi="Arial" w:cs="Arial"/>
          <w:i w:val="0"/>
          <w:iCs w:val="0"/>
          <w:color w:val="000000"/>
          <w:sz w:val="22"/>
          <w:szCs w:val="22"/>
        </w:rPr>
        <w:t>Plan de Austeridad del Gasto</w:t>
      </w:r>
      <w:r w:rsidRPr="009A0E79">
        <w:rPr>
          <w:rFonts w:ascii="Arial" w:hAnsi="Arial" w:cs="Arial"/>
          <w:color w:val="000000"/>
          <w:sz w:val="22"/>
          <w:szCs w:val="22"/>
        </w:rPr>
        <w:t>. Durante la vigencia fiscal de 2019, los órganos que hacen parte del Presupuesto General de la Nación, en cumplimiento del Plan de Austeridad y del Decreto 1068 de 2015, deberán abstenerse de realizar las siguientes actividades: </w:t>
      </w:r>
    </w:p>
    <w:p w14:paraId="62787DFA" w14:textId="77777777" w:rsidR="00EB7B7B" w:rsidRPr="009A0E79" w:rsidRDefault="00EB7B7B" w:rsidP="00EB7B7B">
      <w:pPr>
        <w:pStyle w:val="NormalWeb"/>
        <w:spacing w:before="0" w:beforeAutospacing="0" w:after="0" w:afterAutospacing="0"/>
        <w:jc w:val="both"/>
        <w:rPr>
          <w:rFonts w:ascii="Arial" w:hAnsi="Arial" w:cs="Arial"/>
          <w:color w:val="000000"/>
          <w:sz w:val="22"/>
          <w:szCs w:val="22"/>
        </w:rPr>
      </w:pPr>
    </w:p>
    <w:p w14:paraId="6EF44756" w14:textId="77777777" w:rsidR="00D808F4" w:rsidRPr="009A0E79" w:rsidRDefault="00D808F4" w:rsidP="00EB7B7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a) Celebrar contratos de prestación de servicios con personas naturales o jurídicas. Solo procederá la contratación cuando no exista personal de planta con capaci</w:t>
      </w:r>
      <w:r w:rsidRPr="009A0E79">
        <w:rPr>
          <w:rFonts w:ascii="Arial" w:hAnsi="Arial" w:cs="Arial"/>
          <w:color w:val="000000"/>
          <w:sz w:val="22"/>
          <w:szCs w:val="22"/>
        </w:rPr>
        <w:softHyphen/>
        <w:t>dad para realizar las actividades que serán contratadas, en concordancia con lo previsto en el artículo 2.8.4.4.5. del Decreto 1068 de 2015. </w:t>
      </w:r>
    </w:p>
    <w:p w14:paraId="01775D4A" w14:textId="77777777" w:rsidR="00EB7B7B" w:rsidRPr="009A0E79" w:rsidRDefault="00EB7B7B" w:rsidP="00EB7B7B">
      <w:pPr>
        <w:pStyle w:val="NormalWeb"/>
        <w:spacing w:before="0" w:beforeAutospacing="0" w:after="0" w:afterAutospacing="0"/>
        <w:jc w:val="both"/>
        <w:rPr>
          <w:rFonts w:ascii="Arial" w:hAnsi="Arial" w:cs="Arial"/>
          <w:color w:val="000000"/>
          <w:sz w:val="22"/>
          <w:szCs w:val="22"/>
        </w:rPr>
      </w:pPr>
    </w:p>
    <w:p w14:paraId="2C61AD06" w14:textId="4385DCE0" w:rsidR="00D808F4" w:rsidRPr="009A0E79" w:rsidRDefault="00D808F4" w:rsidP="00EB7B7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b) Celebrar contratos de publicidad y/o propaganda personalizada o que promo</w:t>
      </w:r>
      <w:r w:rsidRPr="009A0E79">
        <w:rPr>
          <w:rFonts w:ascii="Arial" w:hAnsi="Arial" w:cs="Arial"/>
          <w:color w:val="000000"/>
          <w:sz w:val="22"/>
          <w:szCs w:val="22"/>
        </w:rPr>
        <w:softHyphen/>
        <w:t>cione la gestión del Gobierno nacional, (agendas, almanaques, libretas, pocillos, vasos, esferos, etc.), adquirir libros, revistas, o similares; imprimir informes, folletos o textos institucionales. </w:t>
      </w:r>
    </w:p>
    <w:p w14:paraId="213C2334" w14:textId="77777777" w:rsidR="00EB7B7B" w:rsidRPr="009A0E79" w:rsidRDefault="00EB7B7B" w:rsidP="00EB7B7B">
      <w:pPr>
        <w:pStyle w:val="NormalWeb"/>
        <w:spacing w:before="0" w:beforeAutospacing="0" w:after="0" w:afterAutospacing="0"/>
        <w:jc w:val="both"/>
        <w:rPr>
          <w:rFonts w:ascii="Arial" w:hAnsi="Arial" w:cs="Arial"/>
          <w:color w:val="000000"/>
          <w:sz w:val="22"/>
          <w:szCs w:val="22"/>
        </w:rPr>
      </w:pPr>
    </w:p>
    <w:p w14:paraId="3A377F8B" w14:textId="5B42802D" w:rsidR="00D808F4" w:rsidRPr="009A0E79" w:rsidRDefault="00D808F4" w:rsidP="00EB7B7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 Realizar publicaciones impresas. Quedan prohibidas las publicaciones impresas y en especial las de costos elevados correspondientes a impresiones a color o en papeles especiales. Las publicaciones de toda entidad deberán hacerse en su espacio web. </w:t>
      </w:r>
    </w:p>
    <w:p w14:paraId="1BD594B4" w14:textId="77777777" w:rsidR="00EB7B7B" w:rsidRPr="009A0E79" w:rsidRDefault="00EB7B7B" w:rsidP="00EB7B7B">
      <w:pPr>
        <w:pStyle w:val="NormalWeb"/>
        <w:spacing w:before="0" w:beforeAutospacing="0" w:after="0" w:afterAutospacing="0"/>
        <w:jc w:val="both"/>
        <w:rPr>
          <w:rFonts w:ascii="Arial" w:hAnsi="Arial" w:cs="Arial"/>
          <w:color w:val="000000"/>
          <w:sz w:val="22"/>
          <w:szCs w:val="22"/>
        </w:rPr>
      </w:pPr>
    </w:p>
    <w:p w14:paraId="7E24D275" w14:textId="1B1F5391" w:rsidR="00D808F4" w:rsidRPr="009A0E79" w:rsidRDefault="00D808F4" w:rsidP="00EB7B7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lastRenderedPageBreak/>
        <w:t xml:space="preserve">d) Iniciar cualquier tipo de contratación que implique mejoras suntuarias, tales como el embellecimiento, la ornamentación o la instalación o adecuación de acabados estéticos de bienes inmuebles. El mantenimiento a bienes </w:t>
      </w:r>
      <w:proofErr w:type="gramStart"/>
      <w:r w:rsidRPr="009A0E79">
        <w:rPr>
          <w:rFonts w:ascii="Arial" w:hAnsi="Arial" w:cs="Arial"/>
          <w:color w:val="000000"/>
          <w:sz w:val="22"/>
          <w:szCs w:val="22"/>
        </w:rPr>
        <w:t>inmuebles,</w:t>
      </w:r>
      <w:proofErr w:type="gramEnd"/>
      <w:r w:rsidRPr="009A0E79">
        <w:rPr>
          <w:rFonts w:ascii="Arial" w:hAnsi="Arial" w:cs="Arial"/>
          <w:color w:val="000000"/>
          <w:sz w:val="22"/>
          <w:szCs w:val="22"/>
        </w:rPr>
        <w:t xml:space="preserve"> solo procederá cuando de no hacerse se ponga en riesgo la seguridad de los fun</w:t>
      </w:r>
      <w:r w:rsidRPr="009A0E79">
        <w:rPr>
          <w:rFonts w:ascii="Arial" w:hAnsi="Arial" w:cs="Arial"/>
          <w:color w:val="000000"/>
          <w:sz w:val="22"/>
          <w:szCs w:val="22"/>
        </w:rPr>
        <w:softHyphen/>
        <w:t>cionarios públicos. </w:t>
      </w:r>
    </w:p>
    <w:p w14:paraId="5516F826" w14:textId="77777777" w:rsidR="00EB7B7B" w:rsidRPr="009A0E79" w:rsidRDefault="00EB7B7B" w:rsidP="00EB7B7B">
      <w:pPr>
        <w:pStyle w:val="NormalWeb"/>
        <w:spacing w:before="0" w:beforeAutospacing="0" w:after="0" w:afterAutospacing="0"/>
        <w:jc w:val="both"/>
        <w:rPr>
          <w:rFonts w:ascii="Arial" w:hAnsi="Arial" w:cs="Arial"/>
          <w:color w:val="000000"/>
          <w:sz w:val="22"/>
          <w:szCs w:val="22"/>
        </w:rPr>
      </w:pPr>
    </w:p>
    <w:p w14:paraId="65AABFF9" w14:textId="6BB68B9D" w:rsidR="00D808F4" w:rsidRPr="009A0E79" w:rsidRDefault="00D808F4" w:rsidP="00EB7B7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 Adquirir bienes muebles no necesarios para el normal funcionamiento de las ins</w:t>
      </w:r>
      <w:r w:rsidRPr="009A0E79">
        <w:rPr>
          <w:rFonts w:ascii="Arial" w:hAnsi="Arial" w:cs="Arial"/>
          <w:color w:val="000000"/>
          <w:sz w:val="22"/>
          <w:szCs w:val="22"/>
        </w:rPr>
        <w:softHyphen/>
        <w:t xml:space="preserve">tituciones tales como neveras, televisores, equipos audiovisuales, video </w:t>
      </w:r>
      <w:proofErr w:type="spellStart"/>
      <w:r w:rsidRPr="009A0E79">
        <w:rPr>
          <w:rFonts w:ascii="Arial" w:hAnsi="Arial" w:cs="Arial"/>
          <w:color w:val="000000"/>
          <w:sz w:val="22"/>
          <w:szCs w:val="22"/>
        </w:rPr>
        <w:t>beam</w:t>
      </w:r>
      <w:proofErr w:type="spellEnd"/>
      <w:r w:rsidRPr="009A0E79">
        <w:rPr>
          <w:rFonts w:ascii="Arial" w:hAnsi="Arial" w:cs="Arial"/>
          <w:color w:val="000000"/>
          <w:sz w:val="22"/>
          <w:szCs w:val="22"/>
        </w:rPr>
        <w:t>, computadores portátiles, tableros interactivos, calentadores, hornos, etc. </w:t>
      </w:r>
    </w:p>
    <w:p w14:paraId="01539833" w14:textId="77777777" w:rsidR="00EB7B7B" w:rsidRPr="009A0E79" w:rsidRDefault="00EB7B7B" w:rsidP="00EB7B7B">
      <w:pPr>
        <w:pStyle w:val="NormalWeb"/>
        <w:spacing w:before="0" w:beforeAutospacing="0" w:after="0" w:afterAutospacing="0"/>
        <w:jc w:val="both"/>
        <w:rPr>
          <w:rFonts w:ascii="Arial" w:hAnsi="Arial" w:cs="Arial"/>
          <w:color w:val="000000"/>
          <w:sz w:val="22"/>
          <w:szCs w:val="22"/>
        </w:rPr>
      </w:pPr>
    </w:p>
    <w:p w14:paraId="2D92C95C" w14:textId="77777777" w:rsidR="009A0E79" w:rsidRPr="009A0E79" w:rsidRDefault="00D808F4" w:rsidP="00EB7B7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f) Adquirir vehículos automotores. </w:t>
      </w:r>
    </w:p>
    <w:p w14:paraId="53CE1531" w14:textId="696A4981" w:rsidR="00D808F4" w:rsidRPr="009A0E79" w:rsidRDefault="00D808F4" w:rsidP="00EB7B7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g) Cambiar de sedes. Solo procederá cuando no genere impacto presupuestal o su necesidad haga inaplazable su construcción. </w:t>
      </w:r>
    </w:p>
    <w:p w14:paraId="077F5209" w14:textId="77777777" w:rsidR="009A0E79" w:rsidRPr="009A0E79" w:rsidRDefault="009A0E79" w:rsidP="009A0E79">
      <w:pPr>
        <w:pStyle w:val="NormalWeb"/>
        <w:spacing w:before="0" w:beforeAutospacing="0" w:after="0" w:afterAutospacing="0"/>
        <w:jc w:val="both"/>
        <w:rPr>
          <w:rFonts w:ascii="Arial" w:hAnsi="Arial" w:cs="Arial"/>
          <w:color w:val="000000"/>
          <w:sz w:val="22"/>
          <w:szCs w:val="22"/>
        </w:rPr>
      </w:pPr>
    </w:p>
    <w:p w14:paraId="240FD856" w14:textId="1CF1E8DE" w:rsidR="00D808F4" w:rsidRPr="009A0E79" w:rsidRDefault="00D808F4" w:rsidP="009A0E7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h) Realizar recepciones, fiestas, agasajos o conmemoraciones de las entidades con cargo a los recursos del Tesoro Público. Otorgar condecoraciones de cualquier tipo. </w:t>
      </w:r>
    </w:p>
    <w:p w14:paraId="706E4133" w14:textId="77777777" w:rsidR="009A0E79" w:rsidRPr="009A0E79" w:rsidRDefault="009A0E79" w:rsidP="009A0E79">
      <w:pPr>
        <w:pStyle w:val="NormalWeb"/>
        <w:spacing w:before="0" w:beforeAutospacing="0" w:after="0" w:afterAutospacing="0"/>
        <w:jc w:val="both"/>
        <w:rPr>
          <w:rFonts w:ascii="Arial" w:hAnsi="Arial" w:cs="Arial"/>
          <w:color w:val="000000"/>
          <w:sz w:val="22"/>
          <w:szCs w:val="22"/>
        </w:rPr>
      </w:pPr>
    </w:p>
    <w:p w14:paraId="0EEB256D" w14:textId="7399DADD" w:rsidR="00D808F4" w:rsidRPr="009A0E79" w:rsidRDefault="00D808F4" w:rsidP="009A0E7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i) Adquirir regalos corporativos, souvenir o recuerdos. </w:t>
      </w:r>
    </w:p>
    <w:p w14:paraId="608F9893"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6E077354" w14:textId="126FA813"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Asimismo, las entidades que hacen parte del Presupuesto General de la Nación deberán realizar las siguientes acciones: </w:t>
      </w:r>
    </w:p>
    <w:p w14:paraId="7C4D6A90" w14:textId="77777777" w:rsidR="009A0E79" w:rsidRPr="009A0E79" w:rsidRDefault="009A0E79" w:rsidP="009A0E79">
      <w:pPr>
        <w:pStyle w:val="NormalWeb"/>
        <w:spacing w:before="0" w:beforeAutospacing="0" w:after="0" w:afterAutospacing="0"/>
        <w:jc w:val="both"/>
        <w:rPr>
          <w:rFonts w:ascii="Arial" w:hAnsi="Arial" w:cs="Arial"/>
          <w:color w:val="000000"/>
          <w:sz w:val="22"/>
          <w:szCs w:val="22"/>
        </w:rPr>
      </w:pPr>
    </w:p>
    <w:p w14:paraId="2EE04837" w14:textId="37B6D670" w:rsidR="00D808F4" w:rsidRPr="009A0E79" w:rsidRDefault="00D808F4" w:rsidP="009A0E7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1. Reducir comisiones de servicio, estudio o capacitación al interior y al exterior en por lo menos el 20% respecto del año anterior. </w:t>
      </w:r>
    </w:p>
    <w:p w14:paraId="31E72982" w14:textId="77777777" w:rsidR="009A0E79" w:rsidRPr="009A0E79" w:rsidRDefault="009A0E79" w:rsidP="009A0E79">
      <w:pPr>
        <w:pStyle w:val="NormalWeb"/>
        <w:spacing w:before="0" w:beforeAutospacing="0" w:after="0" w:afterAutospacing="0"/>
        <w:jc w:val="both"/>
        <w:rPr>
          <w:rFonts w:ascii="Arial" w:hAnsi="Arial" w:cs="Arial"/>
          <w:color w:val="000000"/>
          <w:sz w:val="22"/>
          <w:szCs w:val="22"/>
        </w:rPr>
      </w:pPr>
    </w:p>
    <w:p w14:paraId="6D3F32A1" w14:textId="54509168" w:rsidR="00D808F4" w:rsidRPr="009A0E79" w:rsidRDefault="00D808F4" w:rsidP="009A0E7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2. Durante el primer mes de la vigencia deberá diseñar un programa de compra de energía que involucre el suministro de </w:t>
      </w:r>
      <w:proofErr w:type="gramStart"/>
      <w:r w:rsidRPr="009A0E79">
        <w:rPr>
          <w:rFonts w:ascii="Arial" w:hAnsi="Arial" w:cs="Arial"/>
          <w:color w:val="000000"/>
          <w:sz w:val="22"/>
          <w:szCs w:val="22"/>
        </w:rPr>
        <w:t>la misma</w:t>
      </w:r>
      <w:proofErr w:type="gramEnd"/>
      <w:r w:rsidRPr="009A0E79">
        <w:rPr>
          <w:rFonts w:ascii="Arial" w:hAnsi="Arial" w:cs="Arial"/>
          <w:color w:val="000000"/>
          <w:sz w:val="22"/>
          <w:szCs w:val="22"/>
        </w:rPr>
        <w:t xml:space="preserve"> a todas sus dependencias que existan en el territorio nacional. Deberá lograrse un ahorro en el consumo de energía del 15% respecto del consumo del año anterior. </w:t>
      </w:r>
    </w:p>
    <w:p w14:paraId="19F758FA" w14:textId="77777777" w:rsidR="009A0E79" w:rsidRPr="009A0E79" w:rsidRDefault="009A0E79" w:rsidP="009A0E79">
      <w:pPr>
        <w:pStyle w:val="NormalWeb"/>
        <w:spacing w:before="0" w:beforeAutospacing="0" w:after="0" w:afterAutospacing="0"/>
        <w:jc w:val="both"/>
        <w:rPr>
          <w:rFonts w:ascii="Arial" w:hAnsi="Arial" w:cs="Arial"/>
          <w:color w:val="000000"/>
          <w:sz w:val="22"/>
          <w:szCs w:val="22"/>
        </w:rPr>
      </w:pPr>
    </w:p>
    <w:p w14:paraId="2C8643B9" w14:textId="205FE595" w:rsidR="00D808F4" w:rsidRPr="009A0E79" w:rsidRDefault="00D808F4" w:rsidP="009A0E7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3. Contratar planes corporativos de telefonía móvil o conmutada que permitan lo</w:t>
      </w:r>
      <w:r w:rsidRPr="009A0E79">
        <w:rPr>
          <w:rFonts w:ascii="Arial" w:hAnsi="Arial" w:cs="Arial"/>
          <w:color w:val="000000"/>
          <w:sz w:val="22"/>
          <w:szCs w:val="22"/>
        </w:rPr>
        <w:softHyphen/>
        <w:t>grar ahorros del 15% respecto del consumo del año anterior. No se podrá adqui</w:t>
      </w:r>
      <w:r w:rsidRPr="009A0E79">
        <w:rPr>
          <w:rFonts w:ascii="Arial" w:hAnsi="Arial" w:cs="Arial"/>
          <w:color w:val="000000"/>
          <w:sz w:val="22"/>
          <w:szCs w:val="22"/>
        </w:rPr>
        <w:softHyphen/>
        <w:t>rir nuevos equipos de telefonía celular, salvo que las reposiciones de los equipos no representen costos adicionales. </w:t>
      </w:r>
    </w:p>
    <w:p w14:paraId="633B51A5" w14:textId="77777777" w:rsidR="009A0E79" w:rsidRPr="009A0E79" w:rsidRDefault="009A0E79" w:rsidP="009A0E79">
      <w:pPr>
        <w:pStyle w:val="NormalWeb"/>
        <w:spacing w:before="0" w:beforeAutospacing="0" w:after="0" w:afterAutospacing="0"/>
        <w:jc w:val="both"/>
        <w:rPr>
          <w:rFonts w:ascii="Arial" w:hAnsi="Arial" w:cs="Arial"/>
          <w:color w:val="000000"/>
          <w:sz w:val="22"/>
          <w:szCs w:val="22"/>
        </w:rPr>
      </w:pPr>
    </w:p>
    <w:p w14:paraId="35E0E627" w14:textId="78C2C638" w:rsidR="00D808F4" w:rsidRPr="009A0E79" w:rsidRDefault="00D808F4" w:rsidP="009A0E7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4. Se deberá justificar la necesidad de los gastos viaje y viáticos, los pasajes aéreos solo serán en clase económica, excepto los señalados en el artículo 2.2.5.11.5 del Decreto 1083 de 2015. </w:t>
      </w:r>
    </w:p>
    <w:p w14:paraId="0812DD58"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0FEA26C2" w14:textId="561F4124"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Las oficinas de Control Interno verificarán en forma trimestral el cumplimiento de las disposiciones contenidas en el presente artículo. </w:t>
      </w:r>
    </w:p>
    <w:p w14:paraId="738E934E"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24DDA9FC" w14:textId="56C23596"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El Ministerio de Defensa Nacional - Fuerzas Militares y Policía Nacional, establecerá un plan para la contratación o la realización directa de ediciones, impresiones o publicaciones de documentos, estricta y directamente relacionados con los programas y las funciones que legalmente debe cumplir; para la adquisición de vehículos que sean para el uso exclusivo de defensa y seguridad nacional; y para dar cumplimiento con los estatutos de carrera y las disposiciones en materia de estímulos y ascenso, con el otorgamiento e imposición de condecoraciones de conformidad con lo previsto en las disposiciones especiales que las rigen, el cual deberá generar un ahorro en los gastos causados por estos concepto por lo menos del 15% respecto a la vigencia anterior. Las mismas reglas enunciadas anteriormente aplicarán al Departamento Administrativo de la Presidencia de la República, en lo relacionado con el ejercicio de las funciones que le son propias. </w:t>
      </w:r>
    </w:p>
    <w:p w14:paraId="29F2774F" w14:textId="34A5F8A8" w:rsidR="00D808F4" w:rsidRPr="009A0E79" w:rsidRDefault="00D808F4" w:rsidP="00142D6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lastRenderedPageBreak/>
        <w:t>  </w:t>
      </w:r>
      <w:bookmarkStart w:id="90" w:name="ver_30180249"/>
      <w:bookmarkEnd w:id="90"/>
    </w:p>
    <w:p w14:paraId="55D7DAFA"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85</w:t>
      </w:r>
      <w:r w:rsidRPr="009A0E79">
        <w:rPr>
          <w:rFonts w:ascii="Arial" w:hAnsi="Arial" w:cs="Arial"/>
          <w:color w:val="000000"/>
          <w:sz w:val="22"/>
          <w:szCs w:val="22"/>
        </w:rPr>
        <w:t>. </w:t>
      </w:r>
      <w:r w:rsidRPr="009A0E79">
        <w:rPr>
          <w:rStyle w:val="nfasis"/>
          <w:rFonts w:ascii="Arial" w:hAnsi="Arial" w:cs="Arial"/>
          <w:i w:val="0"/>
          <w:iCs w:val="0"/>
          <w:color w:val="000000"/>
          <w:sz w:val="22"/>
          <w:szCs w:val="22"/>
        </w:rPr>
        <w:t>Acción de repetición. </w:t>
      </w:r>
      <w:r w:rsidRPr="009A0E79">
        <w:rPr>
          <w:rFonts w:ascii="Arial" w:hAnsi="Arial" w:cs="Arial"/>
          <w:color w:val="000000"/>
          <w:sz w:val="22"/>
          <w:szCs w:val="22"/>
        </w:rPr>
        <w:t>Las entidades públicas obligadas a ejercer la acción de repetición, contenida en el artículo 4° de la Ley 678 de 2001, semestralmente reportarán para lo de su competencia a la Contraloría General de la República y a la Procuraduría General de la Nación, acerca de cada uno de los fallos judiciales pagados con dineros públicos durante el período respectivo, anexando la correspondiente certificación del Comité de Conciliación, donde conste el fundamento de la decisión de iniciar o no, las respectivas acciones de repetición. </w:t>
      </w:r>
    </w:p>
    <w:p w14:paraId="3283A1FB" w14:textId="77777777" w:rsidR="009A0E79" w:rsidRPr="009A0E79" w:rsidRDefault="009A0E79" w:rsidP="00D808F4">
      <w:pPr>
        <w:pStyle w:val="NormalWeb"/>
        <w:spacing w:before="0" w:beforeAutospacing="0" w:after="0" w:afterAutospacing="0"/>
        <w:jc w:val="both"/>
        <w:rPr>
          <w:rFonts w:ascii="Arial" w:hAnsi="Arial" w:cs="Arial"/>
          <w:color w:val="000000"/>
          <w:sz w:val="22"/>
          <w:szCs w:val="22"/>
        </w:rPr>
      </w:pPr>
    </w:p>
    <w:p w14:paraId="54F89B62" w14:textId="77777777" w:rsidR="00D808F4"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Así mismo, dentro de los dos (2) meses siguientes a la decisión del Comité de Conciliación, se remitirán a los organismos de control mencionados en el acápite anterior, las constancias de radicación de las respectivas acciones ante el funcionario judicial competente. </w:t>
      </w:r>
    </w:p>
    <w:p w14:paraId="6D40FE82" w14:textId="77777777" w:rsidR="009A0E79" w:rsidRPr="009A0E79" w:rsidRDefault="009A0E79" w:rsidP="00D808F4">
      <w:pPr>
        <w:pStyle w:val="NormalWeb"/>
        <w:spacing w:before="0" w:beforeAutospacing="0" w:after="0" w:afterAutospacing="0"/>
        <w:jc w:val="both"/>
        <w:rPr>
          <w:rFonts w:ascii="Arial" w:hAnsi="Arial" w:cs="Arial"/>
          <w:color w:val="000000"/>
          <w:sz w:val="22"/>
          <w:szCs w:val="22"/>
        </w:rPr>
      </w:pPr>
    </w:p>
    <w:p w14:paraId="606DF463"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Parágrafo. Lo dispuesto en el presente artículo tendrá efecto para todos los fallos que se hayan pagado a la </w:t>
      </w:r>
      <w:proofErr w:type="gramStart"/>
      <w:r w:rsidRPr="009A0E79">
        <w:rPr>
          <w:rFonts w:ascii="Arial" w:hAnsi="Arial" w:cs="Arial"/>
          <w:color w:val="000000"/>
          <w:sz w:val="22"/>
          <w:szCs w:val="22"/>
        </w:rPr>
        <w:t>entrada en vigencia</w:t>
      </w:r>
      <w:proofErr w:type="gramEnd"/>
      <w:r w:rsidRPr="009A0E79">
        <w:rPr>
          <w:rFonts w:ascii="Arial" w:hAnsi="Arial" w:cs="Arial"/>
          <w:color w:val="000000"/>
          <w:sz w:val="22"/>
          <w:szCs w:val="22"/>
        </w:rPr>
        <w:t xml:space="preserve"> del presente decreto y que aún no hayan sido objeto de acción de repetición </w:t>
      </w:r>
    </w:p>
    <w:p w14:paraId="7545687B" w14:textId="77777777" w:rsidR="00D808F4" w:rsidRPr="009A0E79" w:rsidRDefault="00D808F4" w:rsidP="00D808F4">
      <w:pPr>
        <w:spacing w:after="0" w:line="240" w:lineRule="auto"/>
        <w:jc w:val="both"/>
        <w:rPr>
          <w:rFonts w:ascii="Arial" w:hAnsi="Arial" w:cs="Arial"/>
          <w:color w:val="000000"/>
        </w:rPr>
      </w:pPr>
      <w:bookmarkStart w:id="91" w:name="ver_30180250"/>
      <w:bookmarkEnd w:id="91"/>
    </w:p>
    <w:p w14:paraId="02C633D1"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 xml:space="preserve">Artículo </w:t>
      </w:r>
      <w:proofErr w:type="gramStart"/>
      <w:r w:rsidRPr="009A0E79">
        <w:rPr>
          <w:rStyle w:val="Textoennegrita"/>
          <w:rFonts w:ascii="Arial" w:hAnsi="Arial" w:cs="Arial"/>
          <w:b w:val="0"/>
          <w:bCs w:val="0"/>
          <w:color w:val="000000"/>
          <w:sz w:val="22"/>
          <w:szCs w:val="22"/>
        </w:rPr>
        <w:t>86.</w:t>
      </w:r>
      <w:r w:rsidRPr="009A0E79">
        <w:rPr>
          <w:rStyle w:val="nfasis"/>
          <w:rFonts w:ascii="Arial" w:hAnsi="Arial" w:cs="Arial"/>
          <w:i w:val="0"/>
          <w:iCs w:val="0"/>
          <w:color w:val="000000"/>
          <w:sz w:val="22"/>
          <w:szCs w:val="22"/>
        </w:rPr>
        <w:t>Asistencia</w:t>
      </w:r>
      <w:proofErr w:type="gramEnd"/>
      <w:r w:rsidRPr="009A0E79">
        <w:rPr>
          <w:rStyle w:val="nfasis"/>
          <w:rFonts w:ascii="Arial" w:hAnsi="Arial" w:cs="Arial"/>
          <w:i w:val="0"/>
          <w:iCs w:val="0"/>
          <w:color w:val="000000"/>
          <w:sz w:val="22"/>
          <w:szCs w:val="22"/>
        </w:rPr>
        <w:t xml:space="preserve"> y representación judicial de entidades públicas. </w:t>
      </w:r>
      <w:r w:rsidRPr="009A0E79">
        <w:rPr>
          <w:rFonts w:ascii="Arial" w:hAnsi="Arial" w:cs="Arial"/>
          <w:color w:val="000000"/>
          <w:sz w:val="22"/>
          <w:szCs w:val="22"/>
        </w:rPr>
        <w:t>Austeridad en los gastos. Dentro del marco de austeridad presupuestal y de colaboración armónica que debe orientar las actuaciones administrativas de las distintas autoridades y entidades del Estado, y con el fin de reducir costos de desplazamientos y gastos judiciales: </w:t>
      </w:r>
    </w:p>
    <w:p w14:paraId="034FE26E" w14:textId="77777777" w:rsidR="00142D6B" w:rsidRPr="009A0E79" w:rsidRDefault="00142D6B" w:rsidP="00D808F4">
      <w:pPr>
        <w:pStyle w:val="NormalWeb"/>
        <w:spacing w:before="0" w:beforeAutospacing="0" w:after="0" w:afterAutospacing="0"/>
        <w:ind w:left="760"/>
        <w:jc w:val="both"/>
        <w:rPr>
          <w:rFonts w:ascii="Arial" w:hAnsi="Arial" w:cs="Arial"/>
          <w:color w:val="000000"/>
          <w:sz w:val="22"/>
          <w:szCs w:val="22"/>
        </w:rPr>
      </w:pPr>
    </w:p>
    <w:p w14:paraId="08BE9998" w14:textId="5E411F05" w:rsidR="00D808F4" w:rsidRPr="009A0E79" w:rsidRDefault="00D808F4" w:rsidP="009A0E7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a) Cuando varias entidades de la administración pública tanto del orden nacional como </w:t>
      </w:r>
      <w:proofErr w:type="gramStart"/>
      <w:r w:rsidRPr="009A0E79">
        <w:rPr>
          <w:rFonts w:ascii="Arial" w:hAnsi="Arial" w:cs="Arial"/>
          <w:color w:val="000000"/>
          <w:sz w:val="22"/>
          <w:szCs w:val="22"/>
        </w:rPr>
        <w:t>territorial,</w:t>
      </w:r>
      <w:proofErr w:type="gramEnd"/>
      <w:r w:rsidRPr="009A0E79">
        <w:rPr>
          <w:rFonts w:ascii="Arial" w:hAnsi="Arial" w:cs="Arial"/>
          <w:color w:val="000000"/>
          <w:sz w:val="22"/>
          <w:szCs w:val="22"/>
        </w:rPr>
        <w:t xml:space="preserve"> actúen como demandantes o demandadas dentro de un proceso judicial, podrán de común acuerdo con los apoderados judiciales que uno de ellos tome la representación judicial de las restantes para la comparecencia de las audiencias que dentro del respectivo proceso hayan sido convocadas o por ley deban asistir. Para tal efecto la entidad encomendada a asumir la represen</w:t>
      </w:r>
      <w:r w:rsidRPr="009A0E79">
        <w:rPr>
          <w:rFonts w:ascii="Arial" w:hAnsi="Arial" w:cs="Arial"/>
          <w:color w:val="000000"/>
          <w:sz w:val="22"/>
          <w:szCs w:val="22"/>
        </w:rPr>
        <w:softHyphen/>
        <w:t>tación judicial para la audiencia correspondiente, estará en capacidad y queda facultada para disponer de uno de sus apoderados o funcionarios que reciba los poderes que se requieran. </w:t>
      </w:r>
    </w:p>
    <w:p w14:paraId="79F6AE5C" w14:textId="77777777" w:rsidR="00142D6B" w:rsidRPr="009A0E79" w:rsidRDefault="00142D6B" w:rsidP="00D808F4">
      <w:pPr>
        <w:pStyle w:val="NormalWeb"/>
        <w:spacing w:before="0" w:beforeAutospacing="0" w:after="0" w:afterAutospacing="0"/>
        <w:ind w:left="760"/>
        <w:jc w:val="both"/>
        <w:rPr>
          <w:rFonts w:ascii="Arial" w:hAnsi="Arial" w:cs="Arial"/>
          <w:color w:val="000000"/>
          <w:sz w:val="22"/>
          <w:szCs w:val="22"/>
        </w:rPr>
      </w:pPr>
    </w:p>
    <w:p w14:paraId="13170655" w14:textId="2AAE40BF" w:rsidR="00D808F4" w:rsidRPr="009A0E79" w:rsidRDefault="00D808F4" w:rsidP="009A0E7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b) En materia de cobro de costas judiciales en que varias entidades de la Rama Ejecutiva, entre ellas el Ministerio de Hacienda y Crédito Público, sean bene</w:t>
      </w:r>
      <w:r w:rsidRPr="009A0E79">
        <w:rPr>
          <w:rFonts w:ascii="Arial" w:hAnsi="Arial" w:cs="Arial"/>
          <w:color w:val="000000"/>
          <w:sz w:val="22"/>
          <w:szCs w:val="22"/>
        </w:rPr>
        <w:softHyphen/>
        <w:t>ficiarías de los mismos, el recaudo de la totalidad de ellas estará a cargo de Ministerio de Hacienda y Crédito Público quien queda facultado para iniciar los cobros judiciales o extrajudiciales respectivos. Cuando las costas incluyan agencias en derecho las mismas se entenderán a favor de la entidad pública y no del apoderado que las representa. </w:t>
      </w:r>
    </w:p>
    <w:p w14:paraId="21224B91"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755AB87E" w14:textId="078C0180"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Sin perjuicio de lo dispuesto en el literal a) del presente artículo, las entidades podrán a través de la modalidad de teletrabajo, representar y vigilar los procesos en las diferentes zonas del país. </w:t>
      </w:r>
    </w:p>
    <w:p w14:paraId="3464B19F" w14:textId="77777777" w:rsidR="00D808F4" w:rsidRPr="009A0E79" w:rsidRDefault="00D808F4" w:rsidP="00D808F4">
      <w:pPr>
        <w:spacing w:after="0" w:line="240" w:lineRule="auto"/>
        <w:jc w:val="both"/>
        <w:rPr>
          <w:rFonts w:ascii="Arial" w:hAnsi="Arial" w:cs="Arial"/>
          <w:color w:val="000000"/>
        </w:rPr>
      </w:pPr>
      <w:bookmarkStart w:id="92" w:name="ver_30180251"/>
      <w:bookmarkEnd w:id="92"/>
    </w:p>
    <w:p w14:paraId="15FEFBF4"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87.</w:t>
      </w:r>
      <w:r w:rsidRPr="009A0E79">
        <w:rPr>
          <w:rFonts w:ascii="Arial" w:hAnsi="Arial" w:cs="Arial"/>
          <w:color w:val="000000"/>
          <w:sz w:val="22"/>
          <w:szCs w:val="22"/>
        </w:rPr>
        <w:t xml:space="preserve"> Con el propósito de evitar una doble presupuestación, la Superintendencia de Notariado y Registro girará directamente los recaudos de la Ley 55 de 1985 por concepto de los ingresos provenientes de los derechos por registro de instrumentos públicos y otorgamiento de escrituras en los porcentajes que establece la normatividad vigente a la Rama Judicial, la Fiscalía, </w:t>
      </w:r>
      <w:proofErr w:type="spellStart"/>
      <w:r w:rsidRPr="009A0E79">
        <w:rPr>
          <w:rFonts w:ascii="Arial" w:hAnsi="Arial" w:cs="Arial"/>
          <w:color w:val="000000"/>
          <w:sz w:val="22"/>
          <w:szCs w:val="22"/>
        </w:rPr>
        <w:t>Uspec</w:t>
      </w:r>
      <w:proofErr w:type="spellEnd"/>
      <w:r w:rsidRPr="009A0E79">
        <w:rPr>
          <w:rFonts w:ascii="Arial" w:hAnsi="Arial" w:cs="Arial"/>
          <w:color w:val="000000"/>
          <w:sz w:val="22"/>
          <w:szCs w:val="22"/>
        </w:rPr>
        <w:t>, Ministerio de Justicia y del Derecho y el ICBF, con cargo a los valores presupuestados en cada una de ellas, con esta fuente. La Superintendencia hará los ajustes contables a que haya lugar. </w:t>
      </w:r>
    </w:p>
    <w:p w14:paraId="15E473D3" w14:textId="77777777" w:rsidR="00D808F4" w:rsidRPr="009A0E79" w:rsidRDefault="00D808F4" w:rsidP="00D808F4">
      <w:pPr>
        <w:spacing w:after="0" w:line="240" w:lineRule="auto"/>
        <w:jc w:val="both"/>
        <w:rPr>
          <w:rFonts w:ascii="Arial" w:hAnsi="Arial" w:cs="Arial"/>
          <w:color w:val="000000"/>
        </w:rPr>
      </w:pPr>
      <w:bookmarkStart w:id="93" w:name="ver_30180252"/>
      <w:bookmarkEnd w:id="93"/>
    </w:p>
    <w:p w14:paraId="783C1454"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 xml:space="preserve">Artículo </w:t>
      </w:r>
      <w:proofErr w:type="gramStart"/>
      <w:r w:rsidRPr="009A0E79">
        <w:rPr>
          <w:rStyle w:val="Textoennegrita"/>
          <w:rFonts w:ascii="Arial" w:hAnsi="Arial" w:cs="Arial"/>
          <w:b w:val="0"/>
          <w:bCs w:val="0"/>
          <w:color w:val="000000"/>
          <w:sz w:val="22"/>
          <w:szCs w:val="22"/>
        </w:rPr>
        <w:t>88.</w:t>
      </w:r>
      <w:r w:rsidRPr="009A0E79">
        <w:rPr>
          <w:rStyle w:val="nfasis"/>
          <w:rFonts w:ascii="Arial" w:hAnsi="Arial" w:cs="Arial"/>
          <w:i w:val="0"/>
          <w:iCs w:val="0"/>
          <w:color w:val="000000"/>
          <w:sz w:val="22"/>
          <w:szCs w:val="22"/>
        </w:rPr>
        <w:t>Ejecución</w:t>
      </w:r>
      <w:proofErr w:type="gramEnd"/>
      <w:r w:rsidRPr="009A0E79">
        <w:rPr>
          <w:rStyle w:val="nfasis"/>
          <w:rFonts w:ascii="Arial" w:hAnsi="Arial" w:cs="Arial"/>
          <w:i w:val="0"/>
          <w:iCs w:val="0"/>
          <w:color w:val="000000"/>
          <w:sz w:val="22"/>
          <w:szCs w:val="22"/>
        </w:rPr>
        <w:t xml:space="preserve"> programas y proyectos de inversión por las FFMM. </w:t>
      </w:r>
      <w:r w:rsidRPr="009A0E79">
        <w:rPr>
          <w:rFonts w:ascii="Arial" w:hAnsi="Arial" w:cs="Arial"/>
          <w:color w:val="000000"/>
          <w:sz w:val="22"/>
          <w:szCs w:val="22"/>
        </w:rPr>
        <w:t xml:space="preserve">En cumplimiento de la política sectorial de Seguridad y Defensa y lo establecido en el Plan Nacional de Desarrollo, las Fuerzas Militares podrán ejecutar programas y proyectos de inversión para fortalecer las </w:t>
      </w:r>
      <w:r w:rsidRPr="009A0E79">
        <w:rPr>
          <w:rFonts w:ascii="Arial" w:hAnsi="Arial" w:cs="Arial"/>
          <w:color w:val="000000"/>
          <w:sz w:val="22"/>
          <w:szCs w:val="22"/>
        </w:rPr>
        <w:lastRenderedPageBreak/>
        <w:t>estrategias tendientes a consolidar la presencia institucional tales como: obras de infraestructura, dotación y mantenimiento, garantizando el bienestar de la población afectada por la situación de violencia generada por los grupos armados organizados y otros actores al margen de la ley. </w:t>
      </w:r>
    </w:p>
    <w:p w14:paraId="33E4E0F0" w14:textId="77777777" w:rsidR="00D808F4" w:rsidRPr="009A0E79" w:rsidRDefault="00D808F4" w:rsidP="00D808F4">
      <w:pPr>
        <w:spacing w:after="0" w:line="240" w:lineRule="auto"/>
        <w:jc w:val="both"/>
        <w:rPr>
          <w:rFonts w:ascii="Arial" w:hAnsi="Arial" w:cs="Arial"/>
          <w:color w:val="000000"/>
        </w:rPr>
      </w:pPr>
      <w:bookmarkStart w:id="94" w:name="ver_30180253"/>
      <w:bookmarkEnd w:id="94"/>
    </w:p>
    <w:p w14:paraId="6E962BEE"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89</w:t>
      </w:r>
      <w:r w:rsidRPr="009A0E79">
        <w:rPr>
          <w:rFonts w:ascii="Arial" w:hAnsi="Arial" w:cs="Arial"/>
          <w:color w:val="000000"/>
          <w:sz w:val="22"/>
          <w:szCs w:val="22"/>
        </w:rPr>
        <w:t>. Con cargo al presupuesto de funcionamiento - transferencias de la Unidad Administrativa Especial Agencia Nacional de Defensa Jurídica del Estado, se continuarán atendiendo todos los gastos relacionados con la defensa de los intereses del Estado en controversias internacionales. A través de esta cuenta se cubrirán los costos asociados a gastos de personal, honorarios y gastos generales, que demande la atención adecuada y oportuna de los intereses del Estado en las diferentes instancias que se deban atender. </w:t>
      </w:r>
    </w:p>
    <w:p w14:paraId="12203403" w14:textId="77777777" w:rsidR="00D808F4" w:rsidRPr="009A0E79" w:rsidRDefault="00D808F4" w:rsidP="00D808F4">
      <w:pPr>
        <w:spacing w:after="0" w:line="240" w:lineRule="auto"/>
        <w:jc w:val="both"/>
        <w:rPr>
          <w:rFonts w:ascii="Arial" w:hAnsi="Arial" w:cs="Arial"/>
          <w:color w:val="000000"/>
        </w:rPr>
      </w:pPr>
      <w:bookmarkStart w:id="95" w:name="ver_30180254"/>
      <w:bookmarkEnd w:id="95"/>
    </w:p>
    <w:p w14:paraId="787815F4"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90.</w:t>
      </w:r>
      <w:r w:rsidRPr="009A0E79">
        <w:rPr>
          <w:rFonts w:ascii="Arial" w:hAnsi="Arial" w:cs="Arial"/>
          <w:color w:val="000000"/>
          <w:sz w:val="22"/>
          <w:szCs w:val="22"/>
        </w:rPr>
        <w:t xml:space="preserve"> El Ministerio de Minas y Energía reconocerá las obligaciones por consumo de energía hasta por el monto de las apropiaciones de la vigencia fiscal, financiadas con los recursos del Fondo de Energía Social (FOES). Por tanto, los prestadores del servicio público de </w:t>
      </w:r>
      <w:proofErr w:type="gramStart"/>
      <w:r w:rsidRPr="009A0E79">
        <w:rPr>
          <w:rFonts w:ascii="Arial" w:hAnsi="Arial" w:cs="Arial"/>
          <w:color w:val="000000"/>
          <w:sz w:val="22"/>
          <w:szCs w:val="22"/>
        </w:rPr>
        <w:t>energía,</w:t>
      </w:r>
      <w:proofErr w:type="gramEnd"/>
      <w:r w:rsidRPr="009A0E79">
        <w:rPr>
          <w:rFonts w:ascii="Arial" w:hAnsi="Arial" w:cs="Arial"/>
          <w:color w:val="000000"/>
          <w:sz w:val="22"/>
          <w:szCs w:val="22"/>
        </w:rPr>
        <w:t xml:space="preserve"> no podrán constituir pasivos a cargo de la Nación que correspondan a la diferencia resultante entre el porcentaje señalado por el artículo 190 de la Ley 1753 de 2015 y lo efectivamente reconocido. </w:t>
      </w:r>
    </w:p>
    <w:p w14:paraId="3CDFC541" w14:textId="6C77F911" w:rsidR="00D808F4" w:rsidRPr="009A0E79" w:rsidRDefault="00D808F4" w:rsidP="00142D6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96" w:name="ver_30180255"/>
      <w:bookmarkEnd w:id="96"/>
    </w:p>
    <w:p w14:paraId="6F9F16FE"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91.</w:t>
      </w:r>
      <w:r w:rsidRPr="009A0E79">
        <w:rPr>
          <w:rFonts w:ascii="Arial" w:hAnsi="Arial" w:cs="Arial"/>
          <w:color w:val="000000"/>
          <w:sz w:val="22"/>
          <w:szCs w:val="22"/>
        </w:rPr>
        <w:t> Los excedentes de liquidez que resulten de la administración de los recursos del Sistema General de Seguridad Social en Salud, a través de la ADRES, podrán ser manejados por la Nación o por una entidad fiduciaria estatal o con participación mayoritaria de la Nación. </w:t>
      </w:r>
    </w:p>
    <w:p w14:paraId="4541F9F2" w14:textId="77777777" w:rsidR="00D808F4" w:rsidRPr="009A0E79" w:rsidRDefault="00D808F4" w:rsidP="00D808F4">
      <w:pPr>
        <w:spacing w:after="0" w:line="240" w:lineRule="auto"/>
        <w:jc w:val="both"/>
        <w:rPr>
          <w:rFonts w:ascii="Arial" w:hAnsi="Arial" w:cs="Arial"/>
          <w:color w:val="000000"/>
        </w:rPr>
      </w:pPr>
      <w:bookmarkStart w:id="97" w:name="ver_30180256"/>
      <w:bookmarkEnd w:id="97"/>
    </w:p>
    <w:p w14:paraId="0F1E9381"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92.</w:t>
      </w:r>
      <w:r w:rsidRPr="009A0E79">
        <w:rPr>
          <w:rFonts w:ascii="Arial" w:hAnsi="Arial" w:cs="Arial"/>
          <w:color w:val="000000"/>
          <w:sz w:val="22"/>
          <w:szCs w:val="22"/>
        </w:rPr>
        <w:t> La Dirección General de Crédito Público y Tesoro Nacional del Ministerio de Hacienda y Crédito Público podrá disponer transitoriamente del portafolio conformado con los recursos de que trata el artículo 5° de la Ley 448 de 1998. Los términos de dicha operación serán definidos en coordinación con la entidad que se establece en el parágrafo 2° del artículo 35 de la Ley 1753 de 2015. </w:t>
      </w:r>
    </w:p>
    <w:p w14:paraId="230D867E" w14:textId="77777777" w:rsidR="00D808F4" w:rsidRPr="009A0E79" w:rsidRDefault="00D808F4" w:rsidP="00D808F4">
      <w:pPr>
        <w:spacing w:after="0" w:line="240" w:lineRule="auto"/>
        <w:jc w:val="both"/>
        <w:rPr>
          <w:rFonts w:ascii="Arial" w:hAnsi="Arial" w:cs="Arial"/>
          <w:color w:val="000000"/>
        </w:rPr>
      </w:pPr>
      <w:bookmarkStart w:id="98" w:name="ver_30180257"/>
      <w:bookmarkEnd w:id="98"/>
    </w:p>
    <w:p w14:paraId="58ED665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93</w:t>
      </w:r>
      <w:r w:rsidRPr="009A0E79">
        <w:rPr>
          <w:rFonts w:ascii="Arial" w:hAnsi="Arial" w:cs="Arial"/>
          <w:color w:val="000000"/>
          <w:sz w:val="22"/>
          <w:szCs w:val="22"/>
        </w:rPr>
        <w:t>. Pertenecen a la Nación los rendimientos financieros obtenidos por el Sistema de Cuenta Única Nacional, originados tanto con recursos de la Nación como los provenientes de recursos propios de las entidades, fondos y demás órganos que hagan parte de dicho Sistema, en concordancia con lo establecido por los artículos 16 y 101 del Estatuto Orgánico del Presupuesto. </w:t>
      </w:r>
    </w:p>
    <w:p w14:paraId="267B036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Se exceptúa de la anterior disposición, aquellos rendimientos originados con recursos de las entidades estatales del orden nacional que administren contribuciones parafiscales y de los órganos de previsión y seguridad social que administren prestaciones sociales de carácter económico, los rendimientos financieros originados en patrimonios autónomos que la ley haya autorizado, así como los provenientes de recursos de terceros que dichas entidades estatales mantengan en calidad de depósitos o administración. </w:t>
      </w:r>
    </w:p>
    <w:p w14:paraId="583E2EF4" w14:textId="77777777" w:rsidR="00D808F4" w:rsidRPr="009A0E79" w:rsidRDefault="00D808F4" w:rsidP="00D808F4">
      <w:pPr>
        <w:spacing w:after="0" w:line="240" w:lineRule="auto"/>
        <w:jc w:val="both"/>
        <w:rPr>
          <w:rFonts w:ascii="Arial" w:hAnsi="Arial" w:cs="Arial"/>
          <w:color w:val="000000"/>
        </w:rPr>
      </w:pPr>
      <w:bookmarkStart w:id="99" w:name="ver_30180258"/>
      <w:bookmarkEnd w:id="99"/>
    </w:p>
    <w:p w14:paraId="649C2ABE"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94.</w:t>
      </w:r>
      <w:r w:rsidRPr="009A0E79">
        <w:rPr>
          <w:rFonts w:ascii="Arial" w:hAnsi="Arial" w:cs="Arial"/>
          <w:color w:val="000000"/>
          <w:sz w:val="22"/>
          <w:szCs w:val="22"/>
        </w:rPr>
        <w:t> El pago de los contratos y convenios necesarios para la asesoría y estructuración de operaciones de crédito público, asimiladas a estas y conexas a todas las anteriores, incluyendo la asesoría y estructuración de las operaciones del Tesoro Nacional y sus conexas, así como los costos asociados a la administración de títulos valores emitidos por la Nación, se podrán atender con cargo al servicio de la deuda pública. </w:t>
      </w:r>
    </w:p>
    <w:p w14:paraId="5620AEA3" w14:textId="77777777" w:rsidR="00D808F4" w:rsidRPr="009A0E79" w:rsidRDefault="00D808F4" w:rsidP="00D808F4">
      <w:pPr>
        <w:spacing w:after="0" w:line="240" w:lineRule="auto"/>
        <w:jc w:val="both"/>
        <w:rPr>
          <w:rFonts w:ascii="Arial" w:hAnsi="Arial" w:cs="Arial"/>
          <w:color w:val="000000"/>
        </w:rPr>
      </w:pPr>
      <w:bookmarkStart w:id="100" w:name="ver_30180259"/>
      <w:bookmarkEnd w:id="100"/>
    </w:p>
    <w:p w14:paraId="3ED88778"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95.</w:t>
      </w:r>
      <w:r w:rsidRPr="009A0E79">
        <w:rPr>
          <w:rFonts w:ascii="Arial" w:hAnsi="Arial" w:cs="Arial"/>
          <w:color w:val="000000"/>
          <w:sz w:val="22"/>
          <w:szCs w:val="22"/>
        </w:rPr>
        <w:t> La Dirección General de Crédito Público y Tesoro Nacional trasladará directamente, sin operación presupuestal, los recursos de la Cuenta Especial Fondes al Fondo Nacional para el Desarrollo de la Infraestructura (Fondes), administrado por la Financiera de Desarrollo Nacional (FDN). Para el caso de los títulos, dicho traslado se realizará por su valor contable, valorado a su tasa de adquisición. Los costos y gastos de administración del Fondes se atenderán con los rendimientos financieros generados por dicho fondo. </w:t>
      </w:r>
    </w:p>
    <w:p w14:paraId="4200FE74"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13D1E1C9" w14:textId="519AFDA2"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Los recursos que reciba el Fondes desde la Cuenta Especial Fondes, podrán ser invertidos conforme al régimen general autorizado para tal fondo. Adicionalmente, este podrá invertir en instrumentos emitidos por la FDN que computen en su capital regulatorio conforme al Decreto 2555 de 2010 o las normas que lo sustituyan, modifiquen o adicionen. Los títulos que sean recibidos por el Fondes en virtud del traslado desde la Cuenta Especial Fondes, podrán ser redimidos, pagados, recomprados o sustituidos por la FDN durante la vigencia del presente decreto, independiente del plazo transcurrido desde su emisión, siempre que los títulos o recursos sean invertidos, reemplazados, intercambiados o sustituidos por instrumentos emitidos por la misma FDN, que computen en su capital regulatorio, conforme al Decreto 2555 de 2010 o las normas, que lo sustituyan, modifiquen o adicionen. </w:t>
      </w:r>
    </w:p>
    <w:p w14:paraId="75CF91AA" w14:textId="77777777" w:rsidR="00D808F4" w:rsidRPr="009A0E79" w:rsidRDefault="00D808F4" w:rsidP="00D808F4">
      <w:pPr>
        <w:spacing w:after="0" w:line="240" w:lineRule="auto"/>
        <w:jc w:val="both"/>
        <w:rPr>
          <w:rFonts w:ascii="Arial" w:hAnsi="Arial" w:cs="Arial"/>
          <w:color w:val="000000"/>
        </w:rPr>
      </w:pPr>
      <w:bookmarkStart w:id="101" w:name="ver_30180260"/>
      <w:bookmarkEnd w:id="101"/>
    </w:p>
    <w:p w14:paraId="3714290F"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96.</w:t>
      </w:r>
      <w:r w:rsidRPr="009A0E79">
        <w:rPr>
          <w:rFonts w:ascii="Arial" w:hAnsi="Arial" w:cs="Arial"/>
          <w:color w:val="000000"/>
          <w:sz w:val="22"/>
          <w:szCs w:val="22"/>
        </w:rPr>
        <w:t> La Nación podrá otorgar los avales o garantías a las operaciones de financiamiento que realicen las entidades en el marco de la cofinanciación de la que trata el inciso 2° del artículo 14 de la Ley 86 de 1989, modificada por el artículo 31 de la Ley 1753 de 2015. En estos eventos, las entidades estatales podrán utilizar para la constitución de las contragarantías a favor de la Nación, entre otras, los flujos correspondientes a las vigencias futuras aprobadas por la instancia correspondiente. El Gobierno nacional reglamentará lo dispuesto por este artículo. </w:t>
      </w:r>
    </w:p>
    <w:p w14:paraId="1B77F97F" w14:textId="77777777" w:rsidR="00D808F4" w:rsidRPr="009A0E79" w:rsidRDefault="00D808F4" w:rsidP="00D808F4">
      <w:pPr>
        <w:spacing w:after="0" w:line="240" w:lineRule="auto"/>
        <w:jc w:val="both"/>
        <w:rPr>
          <w:rFonts w:ascii="Arial" w:hAnsi="Arial" w:cs="Arial"/>
          <w:color w:val="000000"/>
        </w:rPr>
      </w:pPr>
      <w:bookmarkStart w:id="102" w:name="ver_30180261"/>
      <w:bookmarkEnd w:id="102"/>
    </w:p>
    <w:p w14:paraId="64AB36D4"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97.</w:t>
      </w:r>
      <w:r w:rsidRPr="009A0E79">
        <w:rPr>
          <w:rFonts w:ascii="Arial" w:hAnsi="Arial" w:cs="Arial"/>
          <w:color w:val="000000"/>
          <w:sz w:val="22"/>
          <w:szCs w:val="22"/>
        </w:rPr>
        <w:t> Durante la vigencia del presente decreto, se podrán destinar a proyectos de ampliación de cobertura en zonas rurales y/o no interconectadas que se financien con los fondos FAER y FAZNI, y a pagos por menores tarifas del sector eléctrico, los recursos disponibles y sin comprometer del Programa de Normalización de Redes Eléctricas (Prone). </w:t>
      </w:r>
    </w:p>
    <w:p w14:paraId="17635DFA" w14:textId="77777777" w:rsidR="00D808F4" w:rsidRPr="009A0E79" w:rsidRDefault="00D808F4" w:rsidP="00D808F4">
      <w:pPr>
        <w:spacing w:after="0" w:line="240" w:lineRule="auto"/>
        <w:jc w:val="both"/>
        <w:rPr>
          <w:rFonts w:ascii="Arial" w:hAnsi="Arial" w:cs="Arial"/>
          <w:color w:val="000000"/>
        </w:rPr>
      </w:pPr>
      <w:bookmarkStart w:id="103" w:name="ver_30180262"/>
      <w:bookmarkEnd w:id="103"/>
    </w:p>
    <w:p w14:paraId="5A18F611"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98</w:t>
      </w:r>
      <w:r w:rsidRPr="009A0E79">
        <w:rPr>
          <w:rFonts w:ascii="Arial" w:hAnsi="Arial" w:cs="Arial"/>
          <w:color w:val="000000"/>
          <w:sz w:val="22"/>
          <w:szCs w:val="22"/>
        </w:rPr>
        <w:t>. </w:t>
      </w:r>
      <w:r w:rsidRPr="009A0E79">
        <w:rPr>
          <w:rStyle w:val="nfasis"/>
          <w:rFonts w:ascii="Arial" w:hAnsi="Arial" w:cs="Arial"/>
          <w:i w:val="0"/>
          <w:iCs w:val="0"/>
          <w:color w:val="000000"/>
          <w:sz w:val="22"/>
          <w:szCs w:val="22"/>
        </w:rPr>
        <w:t>Devolución de aportes pertenecientes al Sistema General de Pensiones. </w:t>
      </w:r>
      <w:r w:rsidRPr="009A0E79">
        <w:rPr>
          <w:rFonts w:ascii="Arial" w:hAnsi="Arial" w:cs="Arial"/>
          <w:color w:val="000000"/>
          <w:sz w:val="22"/>
          <w:szCs w:val="22"/>
        </w:rPr>
        <w:t xml:space="preserve">Las Entidades Administradoras del Régimen de Prima Media con Prestación Definida podrán solicitar en cualquier tiempo la devolución de los recursos que hubiesen transferido a las Empresas Promotoras de Salud, por concepto de aportes de personas fallecidas o que se determine </w:t>
      </w:r>
      <w:proofErr w:type="gramStart"/>
      <w:r w:rsidRPr="009A0E79">
        <w:rPr>
          <w:rFonts w:ascii="Arial" w:hAnsi="Arial" w:cs="Arial"/>
          <w:color w:val="000000"/>
          <w:sz w:val="22"/>
          <w:szCs w:val="22"/>
        </w:rPr>
        <w:t>administrativamente o judicialmente</w:t>
      </w:r>
      <w:proofErr w:type="gramEnd"/>
      <w:r w:rsidRPr="009A0E79">
        <w:rPr>
          <w:rFonts w:ascii="Arial" w:hAnsi="Arial" w:cs="Arial"/>
          <w:color w:val="000000"/>
          <w:sz w:val="22"/>
          <w:szCs w:val="22"/>
        </w:rPr>
        <w:t xml:space="preserve"> que no era procedente el giro de estos aportes. </w:t>
      </w:r>
    </w:p>
    <w:p w14:paraId="0AA4D78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En el caso que los recursos ya hayan sido compensados ante Fondo de Solidaridad y Garantía (</w:t>
      </w:r>
      <w:proofErr w:type="spellStart"/>
      <w:r w:rsidRPr="009A0E79">
        <w:rPr>
          <w:rFonts w:ascii="Arial" w:hAnsi="Arial" w:cs="Arial"/>
          <w:color w:val="000000"/>
          <w:sz w:val="22"/>
          <w:szCs w:val="22"/>
        </w:rPr>
        <w:t>Fosyga</w:t>
      </w:r>
      <w:proofErr w:type="spellEnd"/>
      <w:r w:rsidRPr="009A0E79">
        <w:rPr>
          <w:rFonts w:ascii="Arial" w:hAnsi="Arial" w:cs="Arial"/>
          <w:color w:val="000000"/>
          <w:sz w:val="22"/>
          <w:szCs w:val="22"/>
        </w:rPr>
        <w:t>) o a quien haga sus veces, para el pago de estas acreencias se efectuarán cruces de cuentas sin operación presupuestal, con base en las transferencias del Presupuesto General de la Nación que se hayan entregado a los fondos de Invalidez, Vejez y Muerte (IVM), para lo cual se harán las operaciones contables que se requieran. </w:t>
      </w:r>
    </w:p>
    <w:p w14:paraId="70EBFD7F" w14:textId="77777777" w:rsidR="00D808F4" w:rsidRPr="009A0E79" w:rsidRDefault="00D808F4" w:rsidP="00D808F4">
      <w:pPr>
        <w:spacing w:after="0" w:line="240" w:lineRule="auto"/>
        <w:jc w:val="both"/>
        <w:rPr>
          <w:rFonts w:ascii="Arial" w:hAnsi="Arial" w:cs="Arial"/>
          <w:color w:val="000000"/>
        </w:rPr>
      </w:pPr>
      <w:bookmarkStart w:id="104" w:name="ver_30180263"/>
      <w:bookmarkEnd w:id="104"/>
    </w:p>
    <w:p w14:paraId="2868F397"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99</w:t>
      </w:r>
      <w:r w:rsidRPr="009A0E79">
        <w:rPr>
          <w:rFonts w:ascii="Arial" w:hAnsi="Arial" w:cs="Arial"/>
          <w:color w:val="000000"/>
          <w:sz w:val="22"/>
          <w:szCs w:val="22"/>
        </w:rPr>
        <w:t>. A efectos de velar por una eficiente administración de los recursos del Fondo Nacional de Prestaciones Sociales del Magisterio, de forma que se asuman oportunamente los pagos de las prestaciones sociales de los afiliados, el Fideicomitente podrá acceder a la información respecto de los bienes dados en administración, sin perjuicio de que exista reserva legal. </w:t>
      </w:r>
    </w:p>
    <w:p w14:paraId="39938DC6" w14:textId="49F0B5A4" w:rsidR="00D808F4" w:rsidRPr="009A0E79" w:rsidRDefault="00D808F4" w:rsidP="00142D6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105" w:name="ver_30180264"/>
      <w:bookmarkEnd w:id="105"/>
    </w:p>
    <w:p w14:paraId="6CB2BA45"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100</w:t>
      </w:r>
      <w:r w:rsidRPr="009A0E79">
        <w:rPr>
          <w:rFonts w:ascii="Arial" w:hAnsi="Arial" w:cs="Arial"/>
          <w:color w:val="000000"/>
          <w:sz w:val="22"/>
          <w:szCs w:val="22"/>
        </w:rPr>
        <w:t>. Los gastos en que incurra el Ministerio de Educación Nacional para la realización de las actividades de control, seguimiento y cobro de valores adeudados, para adelantar el proceso de verificación y recaudo de la contribución parafiscal prevista en la Ley 1697 de 2013, se realizarán con cargo a los recursos depositados en el Fondo Nacional de Universidades Estatales de Colombia, para lo cual se harán los correspondientes registros presupuestales. </w:t>
      </w:r>
    </w:p>
    <w:p w14:paraId="1FA0E500" w14:textId="77777777" w:rsidR="00D808F4" w:rsidRPr="009A0E79" w:rsidRDefault="00D808F4" w:rsidP="00D808F4">
      <w:pPr>
        <w:spacing w:after="0" w:line="240" w:lineRule="auto"/>
        <w:jc w:val="both"/>
        <w:rPr>
          <w:rFonts w:ascii="Arial" w:hAnsi="Arial" w:cs="Arial"/>
          <w:color w:val="000000"/>
        </w:rPr>
      </w:pPr>
      <w:bookmarkStart w:id="106" w:name="ver_30180265"/>
      <w:bookmarkEnd w:id="106"/>
    </w:p>
    <w:p w14:paraId="7A7DF542"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101.</w:t>
      </w:r>
      <w:r w:rsidRPr="009A0E79">
        <w:rPr>
          <w:rFonts w:ascii="Arial" w:hAnsi="Arial" w:cs="Arial"/>
          <w:color w:val="000000"/>
          <w:sz w:val="22"/>
          <w:szCs w:val="22"/>
        </w:rPr>
        <w:t xml:space="preserve"> Los órganos que hacen parte de Presupuesto General de la Nación y las demás entidades estatales deberán cubrir con cargo a sus respectivos presupuestos, los gastos de los traslados terrestres, aéreos, marítimos y fluviales que requieran para su funcionamiento, atención de emergencias no misionales, gestiones de coordinación y todas aquellas actividades que </w:t>
      </w:r>
      <w:r w:rsidRPr="009A0E79">
        <w:rPr>
          <w:rFonts w:ascii="Arial" w:hAnsi="Arial" w:cs="Arial"/>
          <w:color w:val="000000"/>
          <w:sz w:val="22"/>
          <w:szCs w:val="22"/>
        </w:rPr>
        <w:lastRenderedPageBreak/>
        <w:t>requieran para el desarrollo de sus funciones. En caso de requerir apoyo de la Fuerza Pública y/o entidades de Sector Defensa deberán suscribir convenios o contratos interadministrativos con sujeción a las normas vigentes. </w:t>
      </w:r>
    </w:p>
    <w:p w14:paraId="56D875A4"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4D36D106" w14:textId="32753E01"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Lo anterior sin prejuicio de las funciones que le corresponde ejercer a las Fuerzas Militares y Policía Nacional en materia de transporte de defensa y seguridad. </w:t>
      </w:r>
    </w:p>
    <w:p w14:paraId="4AFDAA52" w14:textId="77777777" w:rsidR="00D808F4" w:rsidRPr="009A0E79" w:rsidRDefault="00D808F4" w:rsidP="00D808F4">
      <w:pPr>
        <w:spacing w:after="0" w:line="240" w:lineRule="auto"/>
        <w:jc w:val="both"/>
        <w:rPr>
          <w:rFonts w:ascii="Arial" w:hAnsi="Arial" w:cs="Arial"/>
          <w:color w:val="000000"/>
        </w:rPr>
      </w:pPr>
      <w:bookmarkStart w:id="107" w:name="ver_30180266"/>
      <w:bookmarkEnd w:id="107"/>
    </w:p>
    <w:p w14:paraId="007BEF2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102.</w:t>
      </w:r>
      <w:r w:rsidRPr="009A0E79">
        <w:rPr>
          <w:rFonts w:ascii="Arial" w:hAnsi="Arial" w:cs="Arial"/>
          <w:color w:val="000000"/>
          <w:sz w:val="22"/>
          <w:szCs w:val="22"/>
        </w:rPr>
        <w:t> La Nación podrá emitir bonos en condiciones de mercado u otros títulos de deuda pública para pagar las obligaciones financieras a su cargo causadas o acumuladas, para sanear los pasivos correspondientes a las cesantías de las universidades estatales, a que se refiere el artículo 88 de la Ley 30 de 1992, del personal administrativo y docente no acogidos al nuevo régimen salarial. Igualmente, podrá emitir bonos pensionales de que trata la Ley 100 de 1993, en particular para las universidades estatales. </w:t>
      </w:r>
    </w:p>
    <w:p w14:paraId="52ECE5DD"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2D9232BD" w14:textId="49260725"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Así mismo, durante la presente vigencia fiscal, la Nación podrá atender con títulos de deuda pública TES clase B, el pago de los bonos pensionales a su cargo de que trata la Ley 100 de 1993 y su Decreto 1833 de 2016 compilatorio de las normas del Sistema General de Pensiones. Los títulos TES clase B expedidos para atender el pago de los bonos pensionales a cargo de la Nación que se hayan negociado de acuerdo con el artículo 12 del Decreto 1299 de 1994 en el mercado secundario, podrán ser administrados por el Tesoro Nacional en una cuenta independiente, con el objetivo de suministrar la respectiva liquidez. El Ministerio de Hacienda y Crédito Público, mediante acto administrativo establecerá los parámetros aplicables a las operaciones de las que trata este inciso. </w:t>
      </w:r>
    </w:p>
    <w:p w14:paraId="2CBEDE9B"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5CB13D66" w14:textId="653B3DCD"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 Nación podrá reconocer como deuda pública las obligaciones a cargo de la Agencia Nacional de Infraestructura y del Instituto Nacional de Vías, surgidas de los contratos de concesión por concepto de garantías de ingresos mínimos garantizados, sentencias, conciliaciones, hasta por trescientos mil millones de pesos ($300.000.000.000); en estos casos serán reconocidas mediante la emisión de bonos u otros títulos de deuda pública en condiciones de mercado, para lo cual deberá surtirse el procedimiento previsto en el artículo 29 de la Ley 344 de 1996 y sus normas reglamentarias, en lo pertinente. </w:t>
      </w:r>
    </w:p>
    <w:p w14:paraId="7C1C812F"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168D5500" w14:textId="316EA0D3"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 responsabilidad por el pago de las obligaciones a que hace referencia el inciso anterior es de la Agencia Nacional de Infraestructura y del Instituto Nacional de Vías, según corresponda. </w:t>
      </w:r>
    </w:p>
    <w:p w14:paraId="2954A9E2"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4702A230" w14:textId="6C94F3AA"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La emisión de los bonos o títulos de que trata el presente artículo no implica operación presupuestal y solo debe presupuestarse para efectos de su redención. El mismo procedimiento se aplicará a los bonos que se expidan en cumplimiento del artículo 29 de la Ley 344 de 1996. Las entidades del Presupuesto General de la Nación que utilicen este mecanismo solo procederán con los registros contables que sean del caso para extinguir dichas obligaciones en virtud de los acuerdos de pago que suscriban con el Ministerio de Hacienda y Crédito Público. </w:t>
      </w:r>
    </w:p>
    <w:p w14:paraId="7BD4E4A7" w14:textId="64CD1BD7" w:rsidR="00D808F4" w:rsidRPr="009A0E79" w:rsidRDefault="00D808F4" w:rsidP="00142D6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108" w:name="ver_30180267"/>
      <w:bookmarkEnd w:id="108"/>
    </w:p>
    <w:p w14:paraId="3154C717"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103.</w:t>
      </w:r>
      <w:r w:rsidRPr="009A0E79">
        <w:rPr>
          <w:rFonts w:ascii="Arial" w:hAnsi="Arial" w:cs="Arial"/>
          <w:color w:val="000000"/>
          <w:sz w:val="22"/>
          <w:szCs w:val="22"/>
        </w:rPr>
        <w:t> El Gobierno nacional en atención a la emergencia social que se viene presentando en la frontera con Venezuela, asignará los recursos en la vigencia fiscal a través de la Unidad Nacional para la Gestión del Riesgo de Desastres. </w:t>
      </w:r>
    </w:p>
    <w:p w14:paraId="1C6690E7" w14:textId="77777777" w:rsidR="00D808F4" w:rsidRPr="009A0E79" w:rsidRDefault="00D808F4" w:rsidP="00D808F4">
      <w:pPr>
        <w:spacing w:after="0" w:line="240" w:lineRule="auto"/>
        <w:jc w:val="both"/>
        <w:rPr>
          <w:rFonts w:ascii="Arial" w:hAnsi="Arial" w:cs="Arial"/>
          <w:color w:val="000000"/>
        </w:rPr>
      </w:pPr>
      <w:bookmarkStart w:id="109" w:name="ver_30180268"/>
      <w:bookmarkEnd w:id="109"/>
    </w:p>
    <w:p w14:paraId="25D1B5B4"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104.</w:t>
      </w:r>
      <w:r w:rsidRPr="009A0E79">
        <w:rPr>
          <w:rFonts w:ascii="Arial" w:hAnsi="Arial" w:cs="Arial"/>
          <w:color w:val="000000"/>
          <w:sz w:val="22"/>
          <w:szCs w:val="22"/>
        </w:rPr>
        <w:t xml:space="preserve"> La Dirección General de Crédito Público y del Tesoro Nacional del Ministerio de Hacienda y Crédito Público, aprobará las valoraciones de las obligaciones contingentes que realicen las Entidades Estatales sujetas al régimen de contingencias establecido en la Ley 448 de </w:t>
      </w:r>
      <w:r w:rsidRPr="009A0E79">
        <w:rPr>
          <w:rFonts w:ascii="Arial" w:hAnsi="Arial" w:cs="Arial"/>
          <w:color w:val="000000"/>
          <w:sz w:val="22"/>
          <w:szCs w:val="22"/>
        </w:rPr>
        <w:lastRenderedPageBreak/>
        <w:t>1998, sólo cuando el Fondo de Contingencias sea uno de los mecanismos utilizados para atender el pago de sus obligaciones contingentes. </w:t>
      </w:r>
    </w:p>
    <w:p w14:paraId="79346E50" w14:textId="77777777" w:rsidR="00D808F4" w:rsidRPr="009A0E79" w:rsidRDefault="00D808F4" w:rsidP="00D808F4">
      <w:pPr>
        <w:spacing w:after="0" w:line="240" w:lineRule="auto"/>
        <w:jc w:val="both"/>
        <w:rPr>
          <w:rFonts w:ascii="Arial" w:hAnsi="Arial" w:cs="Arial"/>
          <w:color w:val="000000"/>
        </w:rPr>
      </w:pPr>
      <w:bookmarkStart w:id="110" w:name="ver_30180269"/>
      <w:bookmarkEnd w:id="110"/>
    </w:p>
    <w:p w14:paraId="6B78EE8B"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105</w:t>
      </w:r>
      <w:r w:rsidRPr="009A0E79">
        <w:rPr>
          <w:rFonts w:ascii="Arial" w:hAnsi="Arial" w:cs="Arial"/>
          <w:color w:val="000000"/>
          <w:sz w:val="22"/>
          <w:szCs w:val="22"/>
        </w:rPr>
        <w:t>. Con el fin de financiar gastos del Sector Defensa y Policía en la vigencia 2019, ordénese que los recursos del portafolio de la Dirección General Marítima (Dimar) por $80 mil millones sean transferidos al Tesoro Nacional durante la vigencia 2019, para lo cual hará los ajustes contables a que haya lugar. </w:t>
      </w:r>
    </w:p>
    <w:p w14:paraId="1964318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33CCB23B" w14:textId="77777777" w:rsidR="00D808F4" w:rsidRPr="009A0E79" w:rsidRDefault="00D808F4" w:rsidP="00D808F4">
      <w:pPr>
        <w:spacing w:after="0" w:line="240" w:lineRule="auto"/>
        <w:jc w:val="both"/>
        <w:rPr>
          <w:rFonts w:ascii="Arial" w:hAnsi="Arial" w:cs="Arial"/>
          <w:color w:val="000000"/>
        </w:rPr>
      </w:pPr>
      <w:bookmarkStart w:id="111" w:name="ver_30180270"/>
      <w:bookmarkEnd w:id="111"/>
    </w:p>
    <w:p w14:paraId="4EDE3F0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106</w:t>
      </w:r>
      <w:r w:rsidRPr="009A0E79">
        <w:rPr>
          <w:rFonts w:ascii="Arial" w:hAnsi="Arial" w:cs="Arial"/>
          <w:color w:val="000000"/>
          <w:sz w:val="22"/>
          <w:szCs w:val="22"/>
        </w:rPr>
        <w:t xml:space="preserve">. Las partidas del Presupuesto General de la Nación con destino al Fondo de Protección de Justicia de que trata el Decreto 200 de 2003 y las normas que lo modifiquen o adicionen, quedan incorporadas en la Rama Judicial-Consejo Superior de la Judicatura, </w:t>
      </w:r>
      <w:proofErr w:type="gramStart"/>
      <w:r w:rsidRPr="009A0E79">
        <w:rPr>
          <w:rFonts w:ascii="Arial" w:hAnsi="Arial" w:cs="Arial"/>
          <w:color w:val="000000"/>
          <w:sz w:val="22"/>
          <w:szCs w:val="22"/>
        </w:rPr>
        <w:t>Fiscalía General</w:t>
      </w:r>
      <w:proofErr w:type="gramEnd"/>
      <w:r w:rsidRPr="009A0E79">
        <w:rPr>
          <w:rFonts w:ascii="Arial" w:hAnsi="Arial" w:cs="Arial"/>
          <w:color w:val="000000"/>
          <w:sz w:val="22"/>
          <w:szCs w:val="22"/>
        </w:rPr>
        <w:t xml:space="preserve"> de la Nación, Procuraduría General de la Nación y Ministerio del Interior. </w:t>
      </w:r>
    </w:p>
    <w:p w14:paraId="3F24AEDC" w14:textId="77777777" w:rsidR="00D808F4" w:rsidRPr="009A0E79" w:rsidRDefault="00D808F4" w:rsidP="00D808F4">
      <w:pPr>
        <w:spacing w:after="0" w:line="240" w:lineRule="auto"/>
        <w:jc w:val="both"/>
        <w:rPr>
          <w:rFonts w:ascii="Arial" w:hAnsi="Arial" w:cs="Arial"/>
          <w:color w:val="000000"/>
        </w:rPr>
      </w:pPr>
      <w:bookmarkStart w:id="112" w:name="ver_30180271"/>
      <w:bookmarkEnd w:id="112"/>
    </w:p>
    <w:p w14:paraId="7D54F40D" w14:textId="77777777" w:rsidR="00D808F4"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107.</w:t>
      </w:r>
      <w:r w:rsidRPr="009A0E79">
        <w:rPr>
          <w:rStyle w:val="nfasis"/>
          <w:rFonts w:ascii="Arial" w:hAnsi="Arial" w:cs="Arial"/>
          <w:i w:val="0"/>
          <w:iCs w:val="0"/>
          <w:color w:val="000000"/>
          <w:sz w:val="22"/>
          <w:szCs w:val="22"/>
        </w:rPr>
        <w:t>Verificación del registro de proyectos cofinanciados. </w:t>
      </w:r>
      <w:r w:rsidRPr="009A0E79">
        <w:rPr>
          <w:rFonts w:ascii="Arial" w:hAnsi="Arial" w:cs="Arial"/>
          <w:color w:val="000000"/>
          <w:sz w:val="22"/>
          <w:szCs w:val="22"/>
        </w:rPr>
        <w:t>Para la correspondiente asignación de recursos de la nación que cofinancian proyectos en cualquier nivel de gobierno, los órganos que son una sección dentro del Presupuesto General de la Nación tendrán a cargo verificar que los proyectos cofinanciados estén registrados por las entidades territoriales en sus respectivos Bancos de Proyectos de Inversión o en el Banco de Proyectos de Inversión del Departamento Nacional de Planeación. </w:t>
      </w:r>
    </w:p>
    <w:p w14:paraId="224874D0" w14:textId="77777777" w:rsidR="00FC2CCF" w:rsidRPr="009A0E79" w:rsidRDefault="00FC2CCF" w:rsidP="00D808F4">
      <w:pPr>
        <w:pStyle w:val="NormalWeb"/>
        <w:spacing w:before="0" w:beforeAutospacing="0" w:after="0" w:afterAutospacing="0"/>
        <w:jc w:val="both"/>
        <w:rPr>
          <w:rFonts w:ascii="Arial" w:hAnsi="Arial" w:cs="Arial"/>
          <w:color w:val="000000"/>
          <w:sz w:val="22"/>
          <w:szCs w:val="22"/>
        </w:rPr>
      </w:pPr>
    </w:p>
    <w:p w14:paraId="3F23978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El Departamento Nacional de Planeación (DNP), efectuará los ajustes metodológicos y de registro de información en el Banco Único de Proyectos de Inversión Nacional, para identificar los proyectos que promueven la equidad de género. </w:t>
      </w:r>
    </w:p>
    <w:p w14:paraId="5378D2CF" w14:textId="77777777" w:rsidR="00D808F4" w:rsidRPr="009A0E79" w:rsidRDefault="00D808F4" w:rsidP="00D808F4">
      <w:pPr>
        <w:spacing w:after="0" w:line="240" w:lineRule="auto"/>
        <w:jc w:val="both"/>
        <w:rPr>
          <w:rFonts w:ascii="Arial" w:hAnsi="Arial" w:cs="Arial"/>
          <w:color w:val="000000"/>
        </w:rPr>
      </w:pPr>
      <w:bookmarkStart w:id="113" w:name="ver_30180272"/>
      <w:bookmarkEnd w:id="113"/>
    </w:p>
    <w:p w14:paraId="5D3C34F3"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108.</w:t>
      </w:r>
      <w:r w:rsidRPr="009A0E79">
        <w:rPr>
          <w:rFonts w:ascii="Arial" w:hAnsi="Arial" w:cs="Arial"/>
          <w:color w:val="000000"/>
          <w:sz w:val="22"/>
          <w:szCs w:val="22"/>
        </w:rPr>
        <w:t> Extiéndase el término de la vigencia del Programa de Normalización de Redes (Prone) y del Fondo de Apoyo Financiero para la Energización de las zonas Rurales interconectadas - FAER, administrados por el Ministerio de Minas y Energía, o por quien este delegue, hasta el 31 de diciembre de 2019. </w:t>
      </w:r>
    </w:p>
    <w:p w14:paraId="69C841BD" w14:textId="77777777" w:rsidR="00D808F4" w:rsidRPr="009A0E79" w:rsidRDefault="00D808F4" w:rsidP="00D808F4">
      <w:pPr>
        <w:spacing w:after="0" w:line="240" w:lineRule="auto"/>
        <w:jc w:val="both"/>
        <w:rPr>
          <w:rFonts w:ascii="Arial" w:hAnsi="Arial" w:cs="Arial"/>
          <w:color w:val="000000"/>
        </w:rPr>
      </w:pPr>
      <w:bookmarkStart w:id="114" w:name="ver_30180273"/>
      <w:bookmarkEnd w:id="114"/>
    </w:p>
    <w:p w14:paraId="428EEC57" w14:textId="77777777" w:rsidR="00D808F4"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109.</w:t>
      </w:r>
      <w:r w:rsidRPr="009A0E79">
        <w:rPr>
          <w:rFonts w:ascii="Arial" w:hAnsi="Arial" w:cs="Arial"/>
          <w:color w:val="000000"/>
          <w:sz w:val="22"/>
          <w:szCs w:val="22"/>
        </w:rPr>
        <w:t> Los excedentes de peajes y derechos de pista generados en los proyectos de concesión, desde el alcance del ingreso esperado hasta la reversión del proyecto al Instituto Nacional de Vías o a la Aeronáutica Civil, incluidos los rendimientos financieros, serán consignados por la Agencia Nacional de Infraestructura en la Dirección General de Crédito Público y Tesoro Nacional del Ministerio de Hacienda y Crédito Público. </w:t>
      </w:r>
    </w:p>
    <w:p w14:paraId="74FDC181" w14:textId="77777777" w:rsidR="00FC2CCF" w:rsidRPr="009A0E79" w:rsidRDefault="00FC2CCF" w:rsidP="00D808F4">
      <w:pPr>
        <w:pStyle w:val="NormalWeb"/>
        <w:spacing w:before="0" w:beforeAutospacing="0" w:after="0" w:afterAutospacing="0"/>
        <w:jc w:val="both"/>
        <w:rPr>
          <w:rFonts w:ascii="Arial" w:hAnsi="Arial" w:cs="Arial"/>
          <w:color w:val="000000"/>
          <w:sz w:val="22"/>
          <w:szCs w:val="22"/>
        </w:rPr>
      </w:pPr>
    </w:p>
    <w:p w14:paraId="000DA90A"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También deberán ser consignados en la Dirección General de Crédito Público y Tesoro Nacional del Ministerio de Hacienda y Crédito Público, los rendimientos financieros disponibles en lo patrimonios autónomos que respaldan económica y financieramente los proyectos de concesión y cuya destinación no </w:t>
      </w:r>
      <w:proofErr w:type="gramStart"/>
      <w:r w:rsidRPr="009A0E79">
        <w:rPr>
          <w:rFonts w:ascii="Arial" w:hAnsi="Arial" w:cs="Arial"/>
          <w:color w:val="000000"/>
          <w:sz w:val="22"/>
          <w:szCs w:val="22"/>
        </w:rPr>
        <w:t>haya</w:t>
      </w:r>
      <w:proofErr w:type="gramEnd"/>
      <w:r w:rsidRPr="009A0E79">
        <w:rPr>
          <w:rFonts w:ascii="Arial" w:hAnsi="Arial" w:cs="Arial"/>
          <w:color w:val="000000"/>
          <w:sz w:val="22"/>
          <w:szCs w:val="22"/>
        </w:rPr>
        <w:t xml:space="preserve"> sido definida en el contrato respectivo. </w:t>
      </w:r>
    </w:p>
    <w:p w14:paraId="271A9989" w14:textId="77777777" w:rsidR="00D808F4" w:rsidRPr="009A0E79" w:rsidRDefault="00D808F4" w:rsidP="00D808F4">
      <w:pPr>
        <w:spacing w:after="0" w:line="240" w:lineRule="auto"/>
        <w:jc w:val="both"/>
        <w:rPr>
          <w:rFonts w:ascii="Arial" w:hAnsi="Arial" w:cs="Arial"/>
          <w:color w:val="000000"/>
        </w:rPr>
      </w:pPr>
      <w:bookmarkStart w:id="115" w:name="ver_30180274"/>
      <w:bookmarkEnd w:id="115"/>
    </w:p>
    <w:p w14:paraId="4280D963"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110.</w:t>
      </w:r>
      <w:r w:rsidRPr="009A0E79">
        <w:rPr>
          <w:rFonts w:ascii="Arial" w:hAnsi="Arial" w:cs="Arial"/>
          <w:color w:val="000000"/>
          <w:sz w:val="22"/>
          <w:szCs w:val="22"/>
        </w:rPr>
        <w:t> Con el fin de propiciar la preservación y conservación del orden público, así como la convivencia y la participación de las diferentes comunidades étnicas en los procesos de desarrollo regional y local, se destinarán al Ministerio del Interior hasta $27.250 millones, con cargo al portafolio del Fondo de Seguridad y Convivencia Ciudadana (</w:t>
      </w:r>
      <w:proofErr w:type="spellStart"/>
      <w:r w:rsidRPr="009A0E79">
        <w:rPr>
          <w:rFonts w:ascii="Arial" w:hAnsi="Arial" w:cs="Arial"/>
          <w:color w:val="000000"/>
          <w:sz w:val="22"/>
          <w:szCs w:val="22"/>
        </w:rPr>
        <w:t>Fonsecon</w:t>
      </w:r>
      <w:proofErr w:type="spellEnd"/>
      <w:r w:rsidRPr="009A0E79">
        <w:rPr>
          <w:rFonts w:ascii="Arial" w:hAnsi="Arial" w:cs="Arial"/>
          <w:color w:val="000000"/>
          <w:sz w:val="22"/>
          <w:szCs w:val="22"/>
        </w:rPr>
        <w:t xml:space="preserve">) a 31 de diciembre de 2018 y durante la vigencia del presente decreto, con el fin de atender oportunamente las obligaciones relacionadas con los procesos de Consulta Previa, el acompañamiento, orientación, capacitación y seguimiento en las entidades territoriales, en los procesos organizativos y de concertación de las Comunidades Negras, Afrocolombianas, raizales y palenqueras; de Indígenas, Minorías y Rom; </w:t>
      </w:r>
      <w:r w:rsidRPr="009A0E79">
        <w:rPr>
          <w:rFonts w:ascii="Arial" w:hAnsi="Arial" w:cs="Arial"/>
          <w:color w:val="000000"/>
          <w:sz w:val="22"/>
          <w:szCs w:val="22"/>
        </w:rPr>
        <w:lastRenderedPageBreak/>
        <w:t>Comisión Intersectorial de Alertas Tempranas CIAT (Sentencia T-025 de 2004); Gestión Territorial y Buen Gobierno Local; y la implementación de la Ley 985 de 2005 sobre trata de personas </w:t>
      </w:r>
    </w:p>
    <w:p w14:paraId="6420906A" w14:textId="77777777" w:rsidR="00D808F4" w:rsidRPr="009A0E79" w:rsidRDefault="00D808F4" w:rsidP="00D808F4">
      <w:pPr>
        <w:spacing w:after="0" w:line="240" w:lineRule="auto"/>
        <w:jc w:val="both"/>
        <w:rPr>
          <w:rFonts w:ascii="Arial" w:hAnsi="Arial" w:cs="Arial"/>
          <w:color w:val="000000"/>
        </w:rPr>
      </w:pPr>
      <w:bookmarkStart w:id="116" w:name="ver_30180275"/>
      <w:bookmarkEnd w:id="116"/>
    </w:p>
    <w:p w14:paraId="5051307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111.</w:t>
      </w:r>
      <w:r w:rsidRPr="009A0E79">
        <w:rPr>
          <w:rFonts w:ascii="Arial" w:hAnsi="Arial" w:cs="Arial"/>
          <w:color w:val="000000"/>
          <w:sz w:val="22"/>
          <w:szCs w:val="22"/>
        </w:rPr>
        <w:t> Para el otorgamiento de la garantía de la Nación a las operaciones de crédito de corto y de largo plazo que pretenda celebrar el Fondo Empresarial de la Superintendencia de Servicios Públicos Domiciliarios, del que trata el artículo 247 de la Ley 1450 de 2011, modificado por el artículo 227 de la Ley 1753 de 2015, no será necesario ningún otro trámite o requisito diferente a lo siguiente: </w:t>
      </w:r>
    </w:p>
    <w:p w14:paraId="55BD05AB" w14:textId="2BB2042A" w:rsidR="00D808F4" w:rsidRPr="009A0E79" w:rsidRDefault="00D808F4" w:rsidP="00FC2CCF">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a) Concepto favorable del Consejo Nacional de Política Económica y Social (</w:t>
      </w:r>
      <w:proofErr w:type="spellStart"/>
      <w:r w:rsidRPr="009A0E79">
        <w:rPr>
          <w:rFonts w:ascii="Arial" w:hAnsi="Arial" w:cs="Arial"/>
          <w:color w:val="000000"/>
          <w:sz w:val="22"/>
          <w:szCs w:val="22"/>
        </w:rPr>
        <w:t>Con</w:t>
      </w:r>
      <w:r w:rsidRPr="009A0E79">
        <w:rPr>
          <w:rFonts w:ascii="Arial" w:hAnsi="Arial" w:cs="Arial"/>
          <w:color w:val="000000"/>
          <w:sz w:val="22"/>
          <w:szCs w:val="22"/>
        </w:rPr>
        <w:softHyphen/>
        <w:t>pes</w:t>
      </w:r>
      <w:proofErr w:type="spellEnd"/>
      <w:r w:rsidRPr="009A0E79">
        <w:rPr>
          <w:rFonts w:ascii="Arial" w:hAnsi="Arial" w:cs="Arial"/>
          <w:color w:val="000000"/>
          <w:sz w:val="22"/>
          <w:szCs w:val="22"/>
        </w:rPr>
        <w:t>), respecto del otorgamiento de la garantía por parte de la Nación. </w:t>
      </w:r>
    </w:p>
    <w:p w14:paraId="2100EF16" w14:textId="77777777" w:rsidR="00FC2CCF" w:rsidRDefault="00FC2CCF" w:rsidP="00FC2CCF">
      <w:pPr>
        <w:pStyle w:val="NormalWeb"/>
        <w:spacing w:before="0" w:beforeAutospacing="0" w:after="0" w:afterAutospacing="0"/>
        <w:jc w:val="both"/>
        <w:rPr>
          <w:rFonts w:ascii="Arial" w:hAnsi="Arial" w:cs="Arial"/>
          <w:color w:val="000000"/>
          <w:sz w:val="22"/>
          <w:szCs w:val="22"/>
        </w:rPr>
      </w:pPr>
    </w:p>
    <w:p w14:paraId="4F8F530D" w14:textId="5AE5126E" w:rsidR="00D808F4" w:rsidRPr="009A0E79" w:rsidRDefault="00D808F4" w:rsidP="00FC2CCF">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b) Concepto único de la Comisión Interparlamentaria de Crédito Público, respecto del otorgamiento de la garantía por parte de la Nación, si estas se otorgan por plazo superior a un año; y </w:t>
      </w:r>
    </w:p>
    <w:p w14:paraId="4C621F56" w14:textId="77777777" w:rsidR="00FC2CCF" w:rsidRDefault="00FC2CCF" w:rsidP="00FC2CCF">
      <w:pPr>
        <w:pStyle w:val="NormalWeb"/>
        <w:spacing w:before="0" w:beforeAutospacing="0" w:after="0" w:afterAutospacing="0"/>
        <w:jc w:val="both"/>
        <w:rPr>
          <w:rFonts w:ascii="Arial" w:hAnsi="Arial" w:cs="Arial"/>
          <w:color w:val="000000"/>
          <w:sz w:val="22"/>
          <w:szCs w:val="22"/>
        </w:rPr>
      </w:pPr>
    </w:p>
    <w:p w14:paraId="48720312" w14:textId="5CD0ABF8" w:rsidR="00D808F4" w:rsidRPr="009A0E79" w:rsidRDefault="00D808F4" w:rsidP="00FC2CCF">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c) Autorización para celebrar el contrato de garantía impartida por el Ministerio de Hacienda y Crédito Público. </w:t>
      </w:r>
    </w:p>
    <w:p w14:paraId="347B82E3" w14:textId="77777777" w:rsidR="00142D6B" w:rsidRPr="009A0E79" w:rsidRDefault="00142D6B" w:rsidP="00D808F4">
      <w:pPr>
        <w:pStyle w:val="NormalWeb"/>
        <w:spacing w:before="0" w:beforeAutospacing="0" w:after="0" w:afterAutospacing="0"/>
        <w:jc w:val="both"/>
        <w:rPr>
          <w:rFonts w:ascii="Arial" w:hAnsi="Arial" w:cs="Arial"/>
          <w:color w:val="000000"/>
          <w:sz w:val="22"/>
          <w:szCs w:val="22"/>
        </w:rPr>
      </w:pPr>
    </w:p>
    <w:p w14:paraId="58ECB236" w14:textId="5099B9D8"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Lo dispuesto en este artículo aplicará únicamente cuando las operaciones garantizadas por la </w:t>
      </w:r>
      <w:proofErr w:type="gramStart"/>
      <w:r w:rsidRPr="009A0E79">
        <w:rPr>
          <w:rFonts w:ascii="Arial" w:hAnsi="Arial" w:cs="Arial"/>
          <w:color w:val="000000"/>
          <w:sz w:val="22"/>
          <w:szCs w:val="22"/>
        </w:rPr>
        <w:t>Nación,</w:t>
      </w:r>
      <w:proofErr w:type="gramEnd"/>
      <w:r w:rsidRPr="009A0E79">
        <w:rPr>
          <w:rFonts w:ascii="Arial" w:hAnsi="Arial" w:cs="Arial"/>
          <w:color w:val="000000"/>
          <w:sz w:val="22"/>
          <w:szCs w:val="22"/>
        </w:rPr>
        <w:t xml:space="preserve"> estén dirigidas al desarrollo del giro ordinario de las actividades propias del objeto del Fondo Empresarial de la Superintendencia de Servicios Públicos Domiciliarios. Para los demás casos, se deberán cumplir los requisitos ordinarios establecidos para el otorgamiento de la garantía de la Nación. </w:t>
      </w:r>
    </w:p>
    <w:p w14:paraId="71145762" w14:textId="4BF3508A" w:rsidR="00D808F4" w:rsidRPr="009A0E79" w:rsidRDefault="00D808F4" w:rsidP="00142D6B">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117" w:name="ver_30180276"/>
      <w:bookmarkEnd w:id="117"/>
    </w:p>
    <w:p w14:paraId="34693CA5"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112.</w:t>
      </w:r>
      <w:r w:rsidRPr="009A0E79">
        <w:rPr>
          <w:rFonts w:ascii="Arial" w:hAnsi="Arial" w:cs="Arial"/>
          <w:color w:val="000000"/>
          <w:sz w:val="22"/>
          <w:szCs w:val="22"/>
        </w:rPr>
        <w:t xml:space="preserve"> Para garantizar el pago del personal docente y administrativo de las instituciones educativas públicas, las contribuciones inherentes a la nómina y sus prestaciones sociales, durante la presente vigencia fiscal el Gobierno nacional podrá utilizar de manera temporal los recursos del Sistema General de Participaciones con destino al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xml:space="preserve"> hasta por la suma de $492 mil millones para ser destinados al Sistema General de Participaciones del sector Educación. El saldo de $700 mil millones se destinará al financiamiento del aseguramiento del régimen subsidiado en salud. </w:t>
      </w:r>
    </w:p>
    <w:p w14:paraId="44484B1A" w14:textId="77777777" w:rsidR="00D808F4" w:rsidRPr="009A0E79" w:rsidRDefault="00D808F4" w:rsidP="00D808F4">
      <w:pPr>
        <w:spacing w:after="0" w:line="240" w:lineRule="auto"/>
        <w:jc w:val="both"/>
        <w:rPr>
          <w:rFonts w:ascii="Arial" w:hAnsi="Arial" w:cs="Arial"/>
          <w:color w:val="000000"/>
        </w:rPr>
      </w:pPr>
      <w:bookmarkStart w:id="118" w:name="ver_30180277"/>
      <w:bookmarkEnd w:id="118"/>
    </w:p>
    <w:p w14:paraId="2475F10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113</w:t>
      </w:r>
      <w:r w:rsidRPr="009A0E79">
        <w:rPr>
          <w:rFonts w:ascii="Arial" w:hAnsi="Arial" w:cs="Arial"/>
          <w:color w:val="000000"/>
          <w:sz w:val="22"/>
          <w:szCs w:val="22"/>
        </w:rPr>
        <w:t>. El Ministerio de Minas y Energía podrá financiar proyectos consistentes en líneas de crédito con tasa compensada, o el otorgamiento de garantías que faciliten el acceso al crédito a la pequeña minería, dentro del programa de formalización minera. </w:t>
      </w:r>
    </w:p>
    <w:p w14:paraId="5BAC3F15" w14:textId="77777777" w:rsidR="00D808F4" w:rsidRPr="009A0E79" w:rsidRDefault="00D808F4" w:rsidP="00D808F4">
      <w:pPr>
        <w:spacing w:after="0" w:line="240" w:lineRule="auto"/>
        <w:jc w:val="both"/>
        <w:rPr>
          <w:rFonts w:ascii="Arial" w:hAnsi="Arial" w:cs="Arial"/>
          <w:color w:val="000000"/>
        </w:rPr>
      </w:pPr>
      <w:bookmarkStart w:id="119" w:name="ver_30180278"/>
      <w:bookmarkEnd w:id="119"/>
    </w:p>
    <w:p w14:paraId="79FCE28A"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114.</w:t>
      </w:r>
      <w:r w:rsidRPr="009A0E79">
        <w:rPr>
          <w:rStyle w:val="nfasis"/>
          <w:rFonts w:ascii="Arial" w:hAnsi="Arial" w:cs="Arial"/>
          <w:i w:val="0"/>
          <w:iCs w:val="0"/>
          <w:color w:val="000000"/>
          <w:sz w:val="22"/>
          <w:szCs w:val="22"/>
        </w:rPr>
        <w:t>Del funcionamiento y desarrollo del Fondo para la Defensa de los Derechos e Intereses Colectivos. </w:t>
      </w:r>
      <w:r w:rsidRPr="009A0E79">
        <w:rPr>
          <w:rFonts w:ascii="Arial" w:hAnsi="Arial" w:cs="Arial"/>
          <w:color w:val="000000"/>
          <w:sz w:val="22"/>
          <w:szCs w:val="22"/>
        </w:rPr>
        <w:t>Con base en lo dispuesto en la Ley 472 de 1998, la Defensoría del Pueblo financiará el funcionamiento del Fondo con el producto de los rendimientos financieros del capital de dicho Fondo. </w:t>
      </w:r>
    </w:p>
    <w:p w14:paraId="758BC722" w14:textId="77777777" w:rsidR="00D808F4" w:rsidRPr="009A0E79" w:rsidRDefault="00D808F4" w:rsidP="00D808F4">
      <w:pPr>
        <w:spacing w:after="0" w:line="240" w:lineRule="auto"/>
        <w:jc w:val="both"/>
        <w:rPr>
          <w:rFonts w:ascii="Arial" w:hAnsi="Arial" w:cs="Arial"/>
          <w:color w:val="000000"/>
        </w:rPr>
      </w:pPr>
      <w:bookmarkStart w:id="120" w:name="ver_30180279"/>
      <w:bookmarkEnd w:id="120"/>
    </w:p>
    <w:p w14:paraId="0E635F1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115.</w:t>
      </w:r>
      <w:r w:rsidRPr="009A0E79">
        <w:rPr>
          <w:rStyle w:val="nfasis"/>
          <w:rFonts w:ascii="Arial" w:hAnsi="Arial" w:cs="Arial"/>
          <w:i w:val="0"/>
          <w:iCs w:val="0"/>
          <w:color w:val="000000"/>
          <w:sz w:val="22"/>
          <w:szCs w:val="22"/>
        </w:rPr>
        <w:t>De la administración y funcionamiento del Sistema Nacional de Defensoría Pública. </w:t>
      </w:r>
      <w:r w:rsidRPr="009A0E79">
        <w:rPr>
          <w:rFonts w:ascii="Arial" w:hAnsi="Arial" w:cs="Arial"/>
          <w:color w:val="000000"/>
          <w:sz w:val="22"/>
          <w:szCs w:val="22"/>
        </w:rPr>
        <w:t>Con base en la transferencia realizada para el desarrollo del Sistema Nacional de Defensoría Pública, serán imputables a la misma los gastos de funcionamiento que garanticen el debido desarrollo de los postulados previstos en el Ley 941 de 2005, ello con base en el principio de programación integral previsto en el artículo 17 del Estatuto Orgánico del Presupuesto. </w:t>
      </w:r>
    </w:p>
    <w:p w14:paraId="15429818" w14:textId="77777777" w:rsidR="00D808F4" w:rsidRPr="009A0E79" w:rsidRDefault="00D808F4" w:rsidP="00D808F4">
      <w:pPr>
        <w:spacing w:after="0" w:line="240" w:lineRule="auto"/>
        <w:jc w:val="both"/>
        <w:rPr>
          <w:rFonts w:ascii="Arial" w:hAnsi="Arial" w:cs="Arial"/>
          <w:color w:val="000000"/>
        </w:rPr>
      </w:pPr>
      <w:bookmarkStart w:id="121" w:name="ver_30180280"/>
      <w:bookmarkEnd w:id="121"/>
    </w:p>
    <w:p w14:paraId="36D19BCC"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116.</w:t>
      </w:r>
      <w:r w:rsidRPr="009A0E79">
        <w:rPr>
          <w:rFonts w:ascii="Arial" w:hAnsi="Arial" w:cs="Arial"/>
          <w:color w:val="000000"/>
          <w:sz w:val="22"/>
          <w:szCs w:val="22"/>
        </w:rPr>
        <w:t xml:space="preserve"> En las empresas de servicio públicos mixtas y sus subordinadas, en las cuales la participación de la Nación directamente o a través de sus entidades descentralizadas sea igual o superior al noventa por ciento y que desarrollen sus actividades bajo condiciones de competencia, la aprobación y modificación de su presupuesto, de las viabilidades presupuestales y de las </w:t>
      </w:r>
      <w:r w:rsidRPr="009A0E79">
        <w:rPr>
          <w:rFonts w:ascii="Arial" w:hAnsi="Arial" w:cs="Arial"/>
          <w:color w:val="000000"/>
          <w:sz w:val="22"/>
          <w:szCs w:val="22"/>
        </w:rPr>
        <w:lastRenderedPageBreak/>
        <w:t>vigencias futuras corresponderá a las juntas directivas de las respectivas empresas, sin requerirse concepto previo de ningún otro órgano o entidad gubernamental. </w:t>
      </w:r>
    </w:p>
    <w:p w14:paraId="2252BB1A" w14:textId="77777777" w:rsidR="00D808F4" w:rsidRPr="009A0E79" w:rsidRDefault="00D808F4" w:rsidP="00D808F4">
      <w:pPr>
        <w:spacing w:after="0" w:line="240" w:lineRule="auto"/>
        <w:jc w:val="both"/>
        <w:rPr>
          <w:rFonts w:ascii="Arial" w:hAnsi="Arial" w:cs="Arial"/>
          <w:color w:val="000000"/>
        </w:rPr>
      </w:pPr>
      <w:bookmarkStart w:id="122" w:name="ver_30180282"/>
      <w:bookmarkEnd w:id="122"/>
    </w:p>
    <w:p w14:paraId="5AE08DB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117.</w:t>
      </w:r>
      <w:r w:rsidRPr="009A0E79">
        <w:rPr>
          <w:rFonts w:ascii="Arial" w:hAnsi="Arial" w:cs="Arial"/>
          <w:color w:val="000000"/>
          <w:sz w:val="22"/>
          <w:szCs w:val="22"/>
        </w:rPr>
        <w:t> En aquellos casos de Zonas No Interconectadas (ZNI) que hayan sido interconectadas al Sistema Interconectado Nacional (SIN) en los años 2018 y 2019, el Ministerio de Minas y Energía dispondrá de los recursos de subsidios necesarios para remunerar los costos de mantener disponible la infraestructura de respaldo en lo referente a Inversión, Administración, Operación y Mantenimiento (AOM) de las centrales de generación correspondientes, de tal manera que se garantice la confiabilidad y continuidad del servicio de energía eléctrica hasta tanto se logre la estabilización de la nueva infraestructura de interconexión. Será responsabilidad del Ministerio de Minas y Energía diseñar e implementar el mecanismo contractual correspondiente para tal fin. </w:t>
      </w:r>
    </w:p>
    <w:p w14:paraId="73A89072" w14:textId="77777777" w:rsidR="00D808F4" w:rsidRPr="009A0E79" w:rsidRDefault="00D808F4" w:rsidP="00D808F4">
      <w:pPr>
        <w:spacing w:after="0" w:line="240" w:lineRule="auto"/>
        <w:jc w:val="both"/>
        <w:rPr>
          <w:rFonts w:ascii="Arial" w:hAnsi="Arial" w:cs="Arial"/>
          <w:color w:val="000000"/>
        </w:rPr>
      </w:pPr>
      <w:bookmarkStart w:id="123" w:name="ver_30180283"/>
      <w:bookmarkEnd w:id="123"/>
    </w:p>
    <w:p w14:paraId="24BA5AC1"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118.</w:t>
      </w:r>
      <w:r w:rsidRPr="009A0E79">
        <w:rPr>
          <w:rFonts w:ascii="Arial" w:hAnsi="Arial" w:cs="Arial"/>
          <w:color w:val="000000"/>
          <w:sz w:val="22"/>
          <w:szCs w:val="22"/>
        </w:rPr>
        <w:t> En concordancia con el artículo 75 del Estatuto Orgánico de Presupuesto y del artículo 6° del presente decreto, los recursos recaudados por la Agencia Nacional de Minería por concepto del artículo 132 de la Ley 1530 de 2012, que no esté definida su destinación, deberán consignarse en la Dirección General de Crédito Público y Tesoro Nacional del Ministerio de Hacienda y Crédito Público. </w:t>
      </w:r>
    </w:p>
    <w:p w14:paraId="1C3862FA" w14:textId="77777777" w:rsidR="00D808F4" w:rsidRPr="009A0E79" w:rsidRDefault="00D808F4" w:rsidP="00D808F4">
      <w:pPr>
        <w:spacing w:after="0" w:line="240" w:lineRule="auto"/>
        <w:jc w:val="both"/>
        <w:rPr>
          <w:rFonts w:ascii="Arial" w:hAnsi="Arial" w:cs="Arial"/>
          <w:color w:val="000000"/>
        </w:rPr>
      </w:pPr>
      <w:bookmarkStart w:id="124" w:name="ver_30180284"/>
      <w:bookmarkEnd w:id="124"/>
    </w:p>
    <w:p w14:paraId="3A39C18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119</w:t>
      </w:r>
      <w:r w:rsidRPr="009A0E79">
        <w:rPr>
          <w:rFonts w:ascii="Arial" w:hAnsi="Arial" w:cs="Arial"/>
          <w:color w:val="000000"/>
          <w:sz w:val="22"/>
          <w:szCs w:val="22"/>
        </w:rPr>
        <w:t>. </w:t>
      </w:r>
      <w:r w:rsidRPr="009A0E79">
        <w:rPr>
          <w:rStyle w:val="nfasis"/>
          <w:rFonts w:ascii="Arial" w:hAnsi="Arial" w:cs="Arial"/>
          <w:i w:val="0"/>
          <w:iCs w:val="0"/>
          <w:color w:val="000000"/>
          <w:sz w:val="22"/>
          <w:szCs w:val="22"/>
        </w:rPr>
        <w:t xml:space="preserve">Recursos de la Nación transferidos a </w:t>
      </w:r>
      <w:proofErr w:type="spellStart"/>
      <w:r w:rsidRPr="009A0E79">
        <w:rPr>
          <w:rStyle w:val="nfasis"/>
          <w:rFonts w:ascii="Arial" w:hAnsi="Arial" w:cs="Arial"/>
          <w:i w:val="0"/>
          <w:iCs w:val="0"/>
          <w:color w:val="000000"/>
          <w:sz w:val="22"/>
          <w:szCs w:val="22"/>
        </w:rPr>
        <w:t>Icetex</w:t>
      </w:r>
      <w:proofErr w:type="spellEnd"/>
      <w:r w:rsidRPr="009A0E79">
        <w:rPr>
          <w:rStyle w:val="nfasis"/>
          <w:rFonts w:ascii="Arial" w:hAnsi="Arial" w:cs="Arial"/>
          <w:i w:val="0"/>
          <w:iCs w:val="0"/>
          <w:color w:val="000000"/>
          <w:sz w:val="22"/>
          <w:szCs w:val="22"/>
        </w:rPr>
        <w:t>. </w:t>
      </w:r>
      <w:r w:rsidRPr="009A0E79">
        <w:rPr>
          <w:rFonts w:ascii="Arial" w:hAnsi="Arial" w:cs="Arial"/>
          <w:color w:val="000000"/>
          <w:sz w:val="22"/>
          <w:szCs w:val="22"/>
        </w:rPr>
        <w:t xml:space="preserve">Cuando el </w:t>
      </w:r>
      <w:proofErr w:type="spellStart"/>
      <w:r w:rsidRPr="009A0E79">
        <w:rPr>
          <w:rFonts w:ascii="Arial" w:hAnsi="Arial" w:cs="Arial"/>
          <w:color w:val="000000"/>
          <w:sz w:val="22"/>
          <w:szCs w:val="22"/>
        </w:rPr>
        <w:t>Icetex</w:t>
      </w:r>
      <w:proofErr w:type="spellEnd"/>
      <w:r w:rsidRPr="009A0E79">
        <w:rPr>
          <w:rFonts w:ascii="Arial" w:hAnsi="Arial" w:cs="Arial"/>
          <w:color w:val="000000"/>
          <w:sz w:val="22"/>
          <w:szCs w:val="22"/>
        </w:rPr>
        <w:t xml:space="preserve"> tenga excedentes en las cuentas provenientes de recursos girados por la Nación para atender el subsidio de tasa de interés, u otros saldos disponibles en los fondos administrados aportados por el Ministerio de Educación Nacional, podrán ser aplicados a partir de la sanción del presente decreto, en las obligaciones que el </w:t>
      </w:r>
      <w:proofErr w:type="spellStart"/>
      <w:r w:rsidRPr="009A0E79">
        <w:rPr>
          <w:rFonts w:ascii="Arial" w:hAnsi="Arial" w:cs="Arial"/>
          <w:color w:val="000000"/>
          <w:sz w:val="22"/>
          <w:szCs w:val="22"/>
        </w:rPr>
        <w:t>Icetex</w:t>
      </w:r>
      <w:proofErr w:type="spellEnd"/>
      <w:r w:rsidRPr="009A0E79">
        <w:rPr>
          <w:rFonts w:ascii="Arial" w:hAnsi="Arial" w:cs="Arial"/>
          <w:color w:val="000000"/>
          <w:sz w:val="22"/>
          <w:szCs w:val="22"/>
        </w:rPr>
        <w:t xml:space="preserve"> haya adquirido con el mismo fin, para financiar las renovaciones o las adjudicaciones de nuevos de créditos educativos. </w:t>
      </w:r>
    </w:p>
    <w:p w14:paraId="54C20E11" w14:textId="77777777" w:rsidR="00D808F4" w:rsidRPr="009A0E79" w:rsidRDefault="00D808F4" w:rsidP="00D808F4">
      <w:pPr>
        <w:spacing w:after="0" w:line="240" w:lineRule="auto"/>
        <w:jc w:val="both"/>
        <w:rPr>
          <w:rFonts w:ascii="Arial" w:hAnsi="Arial" w:cs="Arial"/>
          <w:color w:val="000000"/>
        </w:rPr>
      </w:pPr>
      <w:bookmarkStart w:id="125" w:name="ver_30180285"/>
      <w:bookmarkEnd w:id="125"/>
    </w:p>
    <w:p w14:paraId="33A27A98"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120.</w:t>
      </w:r>
      <w:r w:rsidRPr="009A0E79">
        <w:rPr>
          <w:rFonts w:ascii="Arial" w:hAnsi="Arial" w:cs="Arial"/>
          <w:color w:val="000000"/>
          <w:sz w:val="22"/>
          <w:szCs w:val="22"/>
        </w:rPr>
        <w:t xml:space="preserve"> Cuando existan rendimientos financieros generados por el Fondo de Devolución de Armas, dichos recursos serán incorporados en la Sección Presupuestal 1501 Ministerio de Defensa Nacional, como fuente de ingreso Fondos Especiales (Fondos Internos), los cuales serán utilizados </w:t>
      </w:r>
      <w:proofErr w:type="gramStart"/>
      <w:r w:rsidRPr="009A0E79">
        <w:rPr>
          <w:rFonts w:ascii="Arial" w:hAnsi="Arial" w:cs="Arial"/>
          <w:color w:val="000000"/>
          <w:sz w:val="22"/>
          <w:szCs w:val="22"/>
        </w:rPr>
        <w:t>de acuerdo a</w:t>
      </w:r>
      <w:proofErr w:type="gramEnd"/>
      <w:r w:rsidRPr="009A0E79">
        <w:rPr>
          <w:rFonts w:ascii="Arial" w:hAnsi="Arial" w:cs="Arial"/>
          <w:color w:val="000000"/>
          <w:sz w:val="22"/>
          <w:szCs w:val="22"/>
        </w:rPr>
        <w:t xml:space="preserve"> lo establecido en el Estatuto Orgánico del Presupuesto. </w:t>
      </w:r>
    </w:p>
    <w:p w14:paraId="7B45D994" w14:textId="77777777" w:rsidR="00D808F4" w:rsidRPr="009A0E79" w:rsidRDefault="00D808F4" w:rsidP="00D808F4">
      <w:pPr>
        <w:spacing w:after="0" w:line="240" w:lineRule="auto"/>
        <w:jc w:val="both"/>
        <w:rPr>
          <w:rFonts w:ascii="Arial" w:hAnsi="Arial" w:cs="Arial"/>
          <w:color w:val="000000"/>
        </w:rPr>
      </w:pPr>
      <w:bookmarkStart w:id="126" w:name="ver_30180286"/>
      <w:bookmarkEnd w:id="126"/>
    </w:p>
    <w:p w14:paraId="41B90418"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121.</w:t>
      </w:r>
      <w:r w:rsidRPr="009A0E79">
        <w:rPr>
          <w:rFonts w:ascii="Arial" w:hAnsi="Arial" w:cs="Arial"/>
          <w:color w:val="000000"/>
          <w:sz w:val="22"/>
          <w:szCs w:val="22"/>
        </w:rPr>
        <w:t> Con la totalidad de los recursos que a cualquier título administre la Dirección General de Crédito Público y Tesoro Nacional, se hará unidad de caja para utilizarse de manera temporal, a título de préstamo, sin que por ello se causen costos financieros, para atender las obligaciones del Presupuesto General de la Nación durante la presente vigencia. En todo caso, los recursos así utilizados estarán disponibles para el momento en que la entidad beneficiaria los requiera </w:t>
      </w:r>
    </w:p>
    <w:p w14:paraId="71DED3F9" w14:textId="77777777" w:rsidR="00D808F4" w:rsidRPr="009A0E79" w:rsidRDefault="00D808F4" w:rsidP="00D808F4">
      <w:pPr>
        <w:spacing w:after="0" w:line="240" w:lineRule="auto"/>
        <w:jc w:val="both"/>
        <w:rPr>
          <w:rFonts w:ascii="Arial" w:hAnsi="Arial" w:cs="Arial"/>
          <w:color w:val="000000"/>
        </w:rPr>
      </w:pPr>
      <w:bookmarkStart w:id="127" w:name="ver_30180287"/>
      <w:bookmarkEnd w:id="127"/>
    </w:p>
    <w:p w14:paraId="0C76EDB3"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122.</w:t>
      </w:r>
      <w:r w:rsidRPr="009A0E79">
        <w:rPr>
          <w:rFonts w:ascii="Arial" w:hAnsi="Arial" w:cs="Arial"/>
          <w:color w:val="000000"/>
          <w:sz w:val="22"/>
          <w:szCs w:val="22"/>
        </w:rPr>
        <w:t> El Gobierno nacional adelantará de manera progresiva un programa de renovación de la administración pública, con el propósito esencial de reducir los gastos de administración del Estado, mediante la redefinición de funciones, especialmente cuando existan uno o más órganos de la administración que realicen funciones y actividades similares. Las propuestas de reestructuración que se deriven de dicho programa serán adelantadas en concordancia con lo dispuesto por la Constitución y la Ley. </w:t>
      </w:r>
    </w:p>
    <w:p w14:paraId="4989916B" w14:textId="77777777" w:rsidR="00D808F4" w:rsidRPr="009A0E79" w:rsidRDefault="00D808F4" w:rsidP="00D808F4">
      <w:pPr>
        <w:spacing w:after="0" w:line="240" w:lineRule="auto"/>
        <w:jc w:val="both"/>
        <w:rPr>
          <w:rFonts w:ascii="Arial" w:hAnsi="Arial" w:cs="Arial"/>
          <w:color w:val="000000"/>
        </w:rPr>
      </w:pPr>
      <w:bookmarkStart w:id="128" w:name="ver_30180288"/>
      <w:bookmarkEnd w:id="128"/>
    </w:p>
    <w:p w14:paraId="3D9C81D9"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123.</w:t>
      </w:r>
      <w:r w:rsidRPr="009A0E79">
        <w:rPr>
          <w:rStyle w:val="nfasis"/>
          <w:rFonts w:ascii="Arial" w:hAnsi="Arial" w:cs="Arial"/>
          <w:i w:val="0"/>
          <w:iCs w:val="0"/>
          <w:color w:val="000000"/>
          <w:sz w:val="22"/>
          <w:szCs w:val="22"/>
        </w:rPr>
        <w:t>Transferencia de inmuebles entre entidades públicas. </w:t>
      </w:r>
      <w:r w:rsidRPr="009A0E79">
        <w:rPr>
          <w:rFonts w:ascii="Arial" w:hAnsi="Arial" w:cs="Arial"/>
          <w:color w:val="000000"/>
          <w:sz w:val="22"/>
          <w:szCs w:val="22"/>
        </w:rPr>
        <w:t>Las entidades públicas del orden nacional podrán transferir a título gratuito a otras entidades públicas, incluido las que hacen parte de la Rama Judicial, los bienes inmuebles que no requieran para su operación y sean útiles para el ejercicio de las funciones o proyectos de infraestructura de la entidad pública que los recibe. Dicha transferencia no requerirá operación presupuestal y la transferencia deberá ser registrada en un plazo no superior a ocho días hábiles, con fundamento en el respectivo convenio interadministrativo. La entidad receptora será responsable del saneamiento. </w:t>
      </w:r>
    </w:p>
    <w:p w14:paraId="382E42B7" w14:textId="77777777" w:rsidR="00D808F4" w:rsidRPr="009A0E79" w:rsidRDefault="00D808F4" w:rsidP="00D808F4">
      <w:pPr>
        <w:spacing w:after="0" w:line="240" w:lineRule="auto"/>
        <w:jc w:val="both"/>
        <w:rPr>
          <w:rFonts w:ascii="Arial" w:hAnsi="Arial" w:cs="Arial"/>
          <w:color w:val="000000"/>
        </w:rPr>
      </w:pPr>
      <w:bookmarkStart w:id="129" w:name="ver_30180289"/>
      <w:bookmarkEnd w:id="129"/>
    </w:p>
    <w:p w14:paraId="61C23AFF"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124.</w:t>
      </w:r>
      <w:r w:rsidRPr="009A0E79">
        <w:rPr>
          <w:rFonts w:ascii="Arial" w:hAnsi="Arial" w:cs="Arial"/>
          <w:color w:val="000000"/>
          <w:sz w:val="22"/>
          <w:szCs w:val="22"/>
        </w:rPr>
        <w:t> La subvención de que trata el artículo 240 de la Ley 1753 de 2015, tendrá una vigencia del 1° de enero al 31 de diciembre de 2019. </w:t>
      </w:r>
    </w:p>
    <w:p w14:paraId="735E44A4" w14:textId="77777777" w:rsidR="00D808F4" w:rsidRPr="009A0E79" w:rsidRDefault="00D808F4" w:rsidP="00D808F4">
      <w:pPr>
        <w:spacing w:after="0" w:line="240" w:lineRule="auto"/>
        <w:jc w:val="both"/>
        <w:rPr>
          <w:rFonts w:ascii="Arial" w:hAnsi="Arial" w:cs="Arial"/>
          <w:color w:val="000000"/>
        </w:rPr>
      </w:pPr>
      <w:bookmarkStart w:id="130" w:name="ver_30180290"/>
      <w:bookmarkEnd w:id="130"/>
    </w:p>
    <w:p w14:paraId="027C390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125</w:t>
      </w:r>
      <w:r w:rsidRPr="009A0E79">
        <w:rPr>
          <w:rFonts w:ascii="Arial" w:hAnsi="Arial" w:cs="Arial"/>
          <w:color w:val="000000"/>
          <w:sz w:val="22"/>
          <w:szCs w:val="22"/>
        </w:rPr>
        <w:t xml:space="preserve">. Los recursos de regalías y compensaciones causados a 31 de diciembre de 2011, cuyo giro y distribución no se realizó antes de la </w:t>
      </w:r>
      <w:proofErr w:type="gramStart"/>
      <w:r w:rsidRPr="009A0E79">
        <w:rPr>
          <w:rFonts w:ascii="Arial" w:hAnsi="Arial" w:cs="Arial"/>
          <w:color w:val="000000"/>
          <w:sz w:val="22"/>
          <w:szCs w:val="22"/>
        </w:rPr>
        <w:t>entrada en vigencia</w:t>
      </w:r>
      <w:proofErr w:type="gramEnd"/>
      <w:r w:rsidRPr="009A0E79">
        <w:rPr>
          <w:rFonts w:ascii="Arial" w:hAnsi="Arial" w:cs="Arial"/>
          <w:color w:val="000000"/>
          <w:sz w:val="22"/>
          <w:szCs w:val="22"/>
        </w:rPr>
        <w:t xml:space="preserve"> del Acto Legislativo número 05 de 2011, deberán consignarse en la Dirección General de Crédito Público y Tesoro Nacional del Ministerio de Hacienda y Crédito Público. </w:t>
      </w:r>
    </w:p>
    <w:p w14:paraId="72A44EF4" w14:textId="77777777" w:rsidR="00D808F4" w:rsidRPr="009A0E79" w:rsidRDefault="00D808F4" w:rsidP="00D808F4">
      <w:pPr>
        <w:spacing w:after="0" w:line="240" w:lineRule="auto"/>
        <w:jc w:val="both"/>
        <w:rPr>
          <w:rFonts w:ascii="Arial" w:hAnsi="Arial" w:cs="Arial"/>
          <w:color w:val="000000"/>
        </w:rPr>
      </w:pPr>
      <w:bookmarkStart w:id="131" w:name="ver_30180291"/>
      <w:bookmarkEnd w:id="131"/>
    </w:p>
    <w:p w14:paraId="2475D431"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126</w:t>
      </w:r>
      <w:r w:rsidRPr="009A0E79">
        <w:rPr>
          <w:rFonts w:ascii="Arial" w:hAnsi="Arial" w:cs="Arial"/>
          <w:color w:val="000000"/>
          <w:sz w:val="22"/>
          <w:szCs w:val="22"/>
        </w:rPr>
        <w:t>. El Gobierno nacional y el Congreso de la República de Colombia, en la ley de Plan Nacional de Desarrollo 2018-2022, regularán la realización de las consultas populares y la forma como concurrirán a su financiación la Nación y las entidades territoriales. </w:t>
      </w:r>
    </w:p>
    <w:p w14:paraId="575A156B" w14:textId="77777777" w:rsidR="00D808F4" w:rsidRPr="009A0E79" w:rsidRDefault="00D808F4" w:rsidP="00D808F4">
      <w:pPr>
        <w:spacing w:after="0" w:line="240" w:lineRule="auto"/>
        <w:jc w:val="both"/>
        <w:rPr>
          <w:rFonts w:ascii="Arial" w:hAnsi="Arial" w:cs="Arial"/>
          <w:color w:val="000000"/>
        </w:rPr>
      </w:pPr>
      <w:bookmarkStart w:id="132" w:name="ver_30180292"/>
      <w:bookmarkEnd w:id="132"/>
    </w:p>
    <w:p w14:paraId="35F49DDC"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127.</w:t>
      </w:r>
      <w:r w:rsidRPr="009A0E79">
        <w:rPr>
          <w:rFonts w:ascii="Arial" w:hAnsi="Arial" w:cs="Arial"/>
          <w:color w:val="000000"/>
          <w:sz w:val="22"/>
          <w:szCs w:val="22"/>
        </w:rPr>
        <w:t xml:space="preserve"> A partir de la </w:t>
      </w:r>
      <w:proofErr w:type="gramStart"/>
      <w:r w:rsidRPr="009A0E79">
        <w:rPr>
          <w:rFonts w:ascii="Arial" w:hAnsi="Arial" w:cs="Arial"/>
          <w:color w:val="000000"/>
          <w:sz w:val="22"/>
          <w:szCs w:val="22"/>
        </w:rPr>
        <w:t>entrada en vigencia</w:t>
      </w:r>
      <w:proofErr w:type="gramEnd"/>
      <w:r w:rsidRPr="009A0E79">
        <w:rPr>
          <w:rFonts w:ascii="Arial" w:hAnsi="Arial" w:cs="Arial"/>
          <w:color w:val="000000"/>
          <w:sz w:val="22"/>
          <w:szCs w:val="22"/>
        </w:rPr>
        <w:t xml:space="preserve"> del presente decreto, y con el fin de garantizar el goce efectivo al derecho a la salud, los recursos propiedad de las entidades territoriales que tenga en caja la Administradora de los Recursos del Sistema General de Seguridad Social en Salud (Adres), podrán ser utilizados por dicha entidad para el cumplimiento de las destinaciones definidas por el artículo 67 de la Ley 1753 de 2015. </w:t>
      </w:r>
    </w:p>
    <w:p w14:paraId="7852A1DA" w14:textId="77777777" w:rsidR="00287789" w:rsidRPr="009A0E79" w:rsidRDefault="00287789" w:rsidP="00D808F4">
      <w:pPr>
        <w:pStyle w:val="NormalWeb"/>
        <w:spacing w:before="0" w:beforeAutospacing="0" w:after="0" w:afterAutospacing="0"/>
        <w:jc w:val="both"/>
        <w:rPr>
          <w:rFonts w:ascii="Arial" w:hAnsi="Arial" w:cs="Arial"/>
          <w:color w:val="000000"/>
          <w:sz w:val="22"/>
          <w:szCs w:val="22"/>
        </w:rPr>
      </w:pPr>
    </w:p>
    <w:p w14:paraId="0458E1A9" w14:textId="03FF6858"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La Adres adelantará los procesos de sustitución de fuente con cargo a los recursos Nación que le sean transferidos durante la vigencia fiscal 2019, garantizando la propiedad y usos de las rentas territoriales afectadas según lo dispuesto por el presente artículo. </w:t>
      </w:r>
    </w:p>
    <w:p w14:paraId="60D5B09D" w14:textId="77777777" w:rsidR="00D808F4" w:rsidRPr="009A0E79" w:rsidRDefault="00D808F4" w:rsidP="00D808F4">
      <w:pPr>
        <w:spacing w:after="0" w:line="240" w:lineRule="auto"/>
        <w:jc w:val="both"/>
        <w:rPr>
          <w:rFonts w:ascii="Arial" w:hAnsi="Arial" w:cs="Arial"/>
          <w:color w:val="000000"/>
        </w:rPr>
      </w:pPr>
      <w:bookmarkStart w:id="133" w:name="ver_30180293"/>
      <w:bookmarkEnd w:id="133"/>
    </w:p>
    <w:p w14:paraId="00E554ED"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128</w:t>
      </w:r>
      <w:r w:rsidRPr="009A0E79">
        <w:rPr>
          <w:rFonts w:ascii="Arial" w:hAnsi="Arial" w:cs="Arial"/>
          <w:color w:val="000000"/>
          <w:sz w:val="22"/>
          <w:szCs w:val="22"/>
        </w:rPr>
        <w:t>. </w:t>
      </w:r>
      <w:r w:rsidRPr="009A0E79">
        <w:rPr>
          <w:rStyle w:val="nfasis"/>
          <w:rFonts w:ascii="Arial" w:hAnsi="Arial" w:cs="Arial"/>
          <w:i w:val="0"/>
          <w:iCs w:val="0"/>
          <w:color w:val="000000"/>
          <w:sz w:val="22"/>
          <w:szCs w:val="22"/>
        </w:rPr>
        <w:t>Subsidios de energía eléctrica y gas. </w:t>
      </w:r>
      <w:r w:rsidRPr="009A0E79">
        <w:rPr>
          <w:rFonts w:ascii="Arial" w:hAnsi="Arial" w:cs="Arial"/>
          <w:color w:val="000000"/>
          <w:sz w:val="22"/>
          <w:szCs w:val="22"/>
        </w:rPr>
        <w:t>Los subsidios establecidos en el artículo 3° de la Ley 1117 de 2006, prorrogados por el artículo 1° de la Ley 1428 de 2010, asimismo por el artículo 76 de la Ley 1739 de 2014, y por el artículo 17 de la Ley 1753 de 2015, se prorrogan hasta el 31 de diciembre de 2019. </w:t>
      </w:r>
    </w:p>
    <w:p w14:paraId="78F7AC0F" w14:textId="77777777" w:rsidR="00D808F4" w:rsidRPr="009A0E79" w:rsidRDefault="00D808F4" w:rsidP="00D808F4">
      <w:pPr>
        <w:spacing w:after="0" w:line="240" w:lineRule="auto"/>
        <w:jc w:val="both"/>
        <w:rPr>
          <w:rFonts w:ascii="Arial" w:hAnsi="Arial" w:cs="Arial"/>
          <w:color w:val="000000"/>
        </w:rPr>
      </w:pPr>
      <w:bookmarkStart w:id="134" w:name="ver_30180294"/>
      <w:bookmarkEnd w:id="134"/>
    </w:p>
    <w:p w14:paraId="5090C2D8"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129.</w:t>
      </w:r>
      <w:r w:rsidRPr="009A0E79">
        <w:rPr>
          <w:rStyle w:val="nfasis"/>
          <w:rFonts w:ascii="Arial" w:hAnsi="Arial" w:cs="Arial"/>
          <w:i w:val="0"/>
          <w:iCs w:val="0"/>
          <w:color w:val="000000"/>
          <w:sz w:val="22"/>
          <w:szCs w:val="22"/>
        </w:rPr>
        <w:t>Promoción del servicio de gas combustible. </w:t>
      </w:r>
      <w:r w:rsidRPr="009A0E79">
        <w:rPr>
          <w:rFonts w:ascii="Arial" w:hAnsi="Arial" w:cs="Arial"/>
          <w:color w:val="000000"/>
          <w:sz w:val="22"/>
          <w:szCs w:val="22"/>
        </w:rPr>
        <w:t>El Ministerio de Minas y Energía asignará $40 mil millones de pesos para promover y cofinanciar proyectos dirigidos a la prestación del servicio público de gas combustible a través del desarrollo de infraestructura de Gas Licuado de Petróleo (GLP) por red a nivel nacional y masificar su uso en el sector rural y en los estratos bajos urbanos, con cargo a los recursos dispuestos en la presente vigencia para el proyecto 2101-1900-10 “Distribución de Recursos para Pagos por Menores Tarifas sector GLP Distribuidos en Cilindros y Tanques estacionarios a Nivel Nacional”. </w:t>
      </w:r>
    </w:p>
    <w:p w14:paraId="58296187" w14:textId="77777777" w:rsidR="00287789" w:rsidRPr="009A0E79" w:rsidRDefault="00287789" w:rsidP="00D808F4">
      <w:pPr>
        <w:pStyle w:val="NormalWeb"/>
        <w:spacing w:before="0" w:beforeAutospacing="0" w:after="0" w:afterAutospacing="0"/>
        <w:jc w:val="both"/>
        <w:rPr>
          <w:rFonts w:ascii="Arial" w:hAnsi="Arial" w:cs="Arial"/>
          <w:color w:val="000000"/>
          <w:sz w:val="22"/>
          <w:szCs w:val="22"/>
        </w:rPr>
      </w:pPr>
    </w:p>
    <w:p w14:paraId="5C8FC689" w14:textId="151816A4"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El Ministerio de Minas y Energía reglamentará las condiciones para la destinación de estos recursos. </w:t>
      </w:r>
    </w:p>
    <w:p w14:paraId="12C06F75" w14:textId="77777777" w:rsidR="00D808F4" w:rsidRPr="009A0E79" w:rsidRDefault="00D808F4" w:rsidP="00D808F4">
      <w:pPr>
        <w:spacing w:after="0" w:line="240" w:lineRule="auto"/>
        <w:jc w:val="both"/>
        <w:rPr>
          <w:rFonts w:ascii="Arial" w:hAnsi="Arial" w:cs="Arial"/>
          <w:color w:val="000000"/>
        </w:rPr>
      </w:pPr>
      <w:bookmarkStart w:id="135" w:name="ver_30180295"/>
      <w:bookmarkEnd w:id="135"/>
    </w:p>
    <w:p w14:paraId="7B808E6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130</w:t>
      </w:r>
      <w:r w:rsidRPr="009A0E79">
        <w:rPr>
          <w:rFonts w:ascii="Arial" w:hAnsi="Arial" w:cs="Arial"/>
          <w:color w:val="000000"/>
          <w:sz w:val="22"/>
          <w:szCs w:val="22"/>
        </w:rPr>
        <w:t>. La Nación asignará un monto de recursos destinados a cubrir el valor correspondiente a un porcentaje del cincuenta por cuenta (50%) del costo de la energía eléctrica y de gas que consuman los pequeños empresarios del campo, que utilicen equipos electromecánicos o de refrigeración, para su operación debidamente comprobado por las empresas prestadoras del servicio respectivo, las asociaciones de pequeños productores deberán realizar la inscripción ante las secretarias departamentales de agricultura o quien haga sus veces y esta información será verificada por el Ministerio de Agricultura y Desarrollo Rural. </w:t>
      </w:r>
    </w:p>
    <w:p w14:paraId="022E4952" w14:textId="77777777" w:rsidR="00287789" w:rsidRPr="009A0E79" w:rsidRDefault="00287789" w:rsidP="00D808F4">
      <w:pPr>
        <w:pStyle w:val="NormalWeb"/>
        <w:spacing w:before="0" w:beforeAutospacing="0" w:after="0" w:afterAutospacing="0"/>
        <w:jc w:val="both"/>
        <w:rPr>
          <w:rFonts w:ascii="Arial" w:hAnsi="Arial" w:cs="Arial"/>
          <w:color w:val="000000"/>
          <w:sz w:val="22"/>
          <w:szCs w:val="22"/>
        </w:rPr>
      </w:pPr>
    </w:p>
    <w:p w14:paraId="0DE305E5" w14:textId="468F4A9D"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Parágrafo 1°. Para el caso de los usuarios cuya facturación sea individual, este beneficio se otorgará solo para aquellos que no posean más de cincuenta (50) hectáreas. </w:t>
      </w:r>
    </w:p>
    <w:p w14:paraId="044E015A" w14:textId="77777777" w:rsidR="00287789" w:rsidRPr="009A0E79" w:rsidRDefault="00287789" w:rsidP="00D808F4">
      <w:pPr>
        <w:pStyle w:val="NormalWeb"/>
        <w:spacing w:before="0" w:beforeAutospacing="0" w:after="0" w:afterAutospacing="0"/>
        <w:jc w:val="both"/>
        <w:rPr>
          <w:rFonts w:ascii="Arial" w:hAnsi="Arial" w:cs="Arial"/>
          <w:color w:val="000000"/>
          <w:sz w:val="22"/>
          <w:szCs w:val="22"/>
        </w:rPr>
      </w:pPr>
    </w:p>
    <w:p w14:paraId="5965CFF9" w14:textId="44BF91ED"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lastRenderedPageBreak/>
        <w:t xml:space="preserve">Parágrafo 2°. Para efectos de la clasificación de los usuarios del servicio de energía eléctrica y de gas, según la Ley 142 de 1994, la utilización de estos servicios para la producción agropecuaria o pequeños empresarios del </w:t>
      </w:r>
      <w:proofErr w:type="gramStart"/>
      <w:r w:rsidRPr="009A0E79">
        <w:rPr>
          <w:rFonts w:ascii="Arial" w:hAnsi="Arial" w:cs="Arial"/>
          <w:color w:val="000000"/>
          <w:sz w:val="22"/>
          <w:szCs w:val="22"/>
        </w:rPr>
        <w:t>campo,</w:t>
      </w:r>
      <w:proofErr w:type="gramEnd"/>
      <w:r w:rsidRPr="009A0E79">
        <w:rPr>
          <w:rFonts w:ascii="Arial" w:hAnsi="Arial" w:cs="Arial"/>
          <w:color w:val="000000"/>
          <w:sz w:val="22"/>
          <w:szCs w:val="22"/>
        </w:rPr>
        <w:t xml:space="preserve"> se clasificará dentro de la clase especial, la cual no pagará contribución. Además, con el objeto de comercializar la energía eléctrica y el gas, para todos los efectos tarifarios los usuarios anteriormente referidos, se asimilarán como usuarios no regulados. </w:t>
      </w:r>
    </w:p>
    <w:p w14:paraId="31E85C9F" w14:textId="77777777" w:rsidR="00D808F4" w:rsidRPr="009A0E79" w:rsidRDefault="00D808F4" w:rsidP="00D808F4">
      <w:pPr>
        <w:spacing w:after="0" w:line="240" w:lineRule="auto"/>
        <w:jc w:val="both"/>
        <w:rPr>
          <w:rFonts w:ascii="Arial" w:hAnsi="Arial" w:cs="Arial"/>
          <w:color w:val="000000"/>
        </w:rPr>
      </w:pPr>
      <w:bookmarkStart w:id="136" w:name="ver_30180296"/>
      <w:bookmarkEnd w:id="136"/>
    </w:p>
    <w:p w14:paraId="3A361F72"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131.</w:t>
      </w:r>
      <w:r w:rsidRPr="009A0E79">
        <w:rPr>
          <w:rFonts w:ascii="Arial" w:hAnsi="Arial" w:cs="Arial"/>
          <w:color w:val="000000"/>
          <w:sz w:val="22"/>
          <w:szCs w:val="22"/>
        </w:rPr>
        <w:t> Modifíquese el artículo 17 de la Ley 1797 de 2016 el cual quedará así: Las Empresas Sociales del Estado elaborarán sus presupuestos anuales con base en el reconocimiento realizado en el año inmediatamente anterior al que se elabora el presupuesto actualizado de acuerdo con la inflación de ese año. Lo anterior, sin perjuicio, de los ajustes que procedan al presupuesto de acuerdo con el recaudo real evidenciado en la vigencia que se ejecuta el presupuesto y reconocimiento del deudor de la cartera, siempre que haya fecha cierta de pago y/o el título que acredite algún derecho sobre recursos del Sistema General de Seguridad Social en Salud. Las instrucciones para lo anterior serán definidas por el Ministerio de Hacienda y Crédito Público, en coordinación con el Ministerio de Salud y Protección Social. </w:t>
      </w:r>
    </w:p>
    <w:p w14:paraId="49613088" w14:textId="77777777" w:rsidR="00D808F4" w:rsidRPr="009A0E79" w:rsidRDefault="00D808F4" w:rsidP="00D808F4">
      <w:pPr>
        <w:spacing w:after="0" w:line="240" w:lineRule="auto"/>
        <w:jc w:val="both"/>
        <w:rPr>
          <w:rFonts w:ascii="Arial" w:hAnsi="Arial" w:cs="Arial"/>
          <w:color w:val="000000"/>
        </w:rPr>
      </w:pPr>
      <w:bookmarkStart w:id="137" w:name="ver_30180297"/>
      <w:bookmarkEnd w:id="137"/>
    </w:p>
    <w:p w14:paraId="308F9C43"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132.</w:t>
      </w:r>
      <w:r w:rsidRPr="009A0E79">
        <w:rPr>
          <w:rStyle w:val="nfasis"/>
          <w:rFonts w:ascii="Arial" w:hAnsi="Arial" w:cs="Arial"/>
          <w:i w:val="0"/>
          <w:iCs w:val="0"/>
          <w:color w:val="000000"/>
          <w:sz w:val="22"/>
          <w:szCs w:val="22"/>
        </w:rPr>
        <w:t>Informe Congreso</w:t>
      </w:r>
      <w:r w:rsidRPr="009A0E79">
        <w:rPr>
          <w:rFonts w:ascii="Arial" w:hAnsi="Arial" w:cs="Arial"/>
          <w:color w:val="000000"/>
          <w:sz w:val="22"/>
          <w:szCs w:val="22"/>
        </w:rPr>
        <w:t>. Para garantizar un mayor control de la ejecución presupuestal y el cumplimiento eficiente y transparente de los programas de inversión en cada vigencia fiscal, la Dirección General del Presupuesto del Ministerio de Hacienda y Crédito Público radicará trimestralmente un informe detallado sobre la ejecución presupuestal de las entidades que componen el Presupuesto General de la Nación, el cual será presentado a las Comisiones Económicas del Congreso de la República. </w:t>
      </w:r>
    </w:p>
    <w:p w14:paraId="106A7B6D" w14:textId="77777777" w:rsidR="00D808F4" w:rsidRPr="009A0E79" w:rsidRDefault="00D808F4" w:rsidP="00D808F4">
      <w:pPr>
        <w:spacing w:after="0" w:line="240" w:lineRule="auto"/>
        <w:jc w:val="both"/>
        <w:rPr>
          <w:rFonts w:ascii="Arial" w:hAnsi="Arial" w:cs="Arial"/>
          <w:color w:val="000000"/>
        </w:rPr>
      </w:pPr>
      <w:bookmarkStart w:id="138" w:name="ver_30180298"/>
      <w:bookmarkEnd w:id="138"/>
    </w:p>
    <w:p w14:paraId="600DCA34"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133.</w:t>
      </w:r>
      <w:r w:rsidRPr="009A0E79">
        <w:rPr>
          <w:rFonts w:ascii="Arial" w:hAnsi="Arial" w:cs="Arial"/>
          <w:color w:val="000000"/>
          <w:sz w:val="22"/>
          <w:szCs w:val="22"/>
        </w:rPr>
        <w:t> Con el fin de mantener la consistencia fiscal del Presupuesto General de la Nación para la vigencia fiscal 2019 y atender gastos prioritarios como los de los programas de chatarrización, de la Red vial Nacional y los destinados a la atención de Emergencias Viales Vías Terciarias, el Sector Transporte podrá reprogramar las vigencias futuras correspondientes a la Ruta del Sol 2 y Ruta del Sol 3. </w:t>
      </w:r>
    </w:p>
    <w:p w14:paraId="0C132348" w14:textId="77777777" w:rsidR="00D808F4" w:rsidRPr="009A0E79" w:rsidRDefault="00D808F4" w:rsidP="00D808F4">
      <w:pPr>
        <w:spacing w:after="0" w:line="240" w:lineRule="auto"/>
        <w:jc w:val="both"/>
        <w:rPr>
          <w:rFonts w:ascii="Arial" w:hAnsi="Arial" w:cs="Arial"/>
          <w:color w:val="000000"/>
        </w:rPr>
      </w:pPr>
      <w:bookmarkStart w:id="139" w:name="ver_30180299"/>
      <w:bookmarkEnd w:id="139"/>
    </w:p>
    <w:p w14:paraId="553D3455"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134.</w:t>
      </w:r>
      <w:r w:rsidRPr="009A0E79">
        <w:rPr>
          <w:rFonts w:ascii="Arial" w:hAnsi="Arial" w:cs="Arial"/>
          <w:color w:val="000000"/>
          <w:sz w:val="22"/>
          <w:szCs w:val="22"/>
        </w:rPr>
        <w:t> El Gobierno nacional al efectuar la asignación de los recursos para la educación superior, lo hará con criterios de equidad entre las Universidades Públicas y las Instituciones de Educación Superior de carácter público. </w:t>
      </w:r>
    </w:p>
    <w:p w14:paraId="280D7D0B" w14:textId="77777777" w:rsidR="00D808F4" w:rsidRPr="009A0E79" w:rsidRDefault="00D808F4" w:rsidP="00D808F4">
      <w:pPr>
        <w:spacing w:after="0" w:line="240" w:lineRule="auto"/>
        <w:jc w:val="both"/>
        <w:rPr>
          <w:rFonts w:ascii="Arial" w:hAnsi="Arial" w:cs="Arial"/>
          <w:color w:val="000000"/>
        </w:rPr>
      </w:pPr>
      <w:bookmarkStart w:id="140" w:name="ver_30180300"/>
      <w:bookmarkEnd w:id="140"/>
    </w:p>
    <w:p w14:paraId="2882D282"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135.</w:t>
      </w:r>
      <w:r w:rsidRPr="009A0E79">
        <w:rPr>
          <w:rFonts w:ascii="Arial" w:hAnsi="Arial" w:cs="Arial"/>
          <w:color w:val="000000"/>
          <w:sz w:val="22"/>
          <w:szCs w:val="22"/>
        </w:rPr>
        <w:t xml:space="preserve"> En el anexo del decreto de liquidación del Presupuesto General de la Nación para la vigencia 2019, dentro de la sección presupuestal “JURISDICCIÓN ESPECIAL PARA LA PAZ – JEP”, el Tribunal de Paz y las Salas de Justicia, la Unidad de Investigación y Acusación y la </w:t>
      </w:r>
      <w:proofErr w:type="gramStart"/>
      <w:r w:rsidRPr="009A0E79">
        <w:rPr>
          <w:rFonts w:ascii="Arial" w:hAnsi="Arial" w:cs="Arial"/>
          <w:color w:val="000000"/>
          <w:sz w:val="22"/>
          <w:szCs w:val="22"/>
        </w:rPr>
        <w:t>Secretaria Ejecutiva</w:t>
      </w:r>
      <w:proofErr w:type="gramEnd"/>
      <w:r w:rsidRPr="009A0E79">
        <w:rPr>
          <w:rFonts w:ascii="Arial" w:hAnsi="Arial" w:cs="Arial"/>
          <w:color w:val="000000"/>
          <w:sz w:val="22"/>
          <w:szCs w:val="22"/>
        </w:rPr>
        <w:t>, se identificarán como unidades ejecutoras. </w:t>
      </w:r>
    </w:p>
    <w:p w14:paraId="3DD291F4" w14:textId="77777777" w:rsidR="00D808F4" w:rsidRPr="009A0E79" w:rsidRDefault="00D808F4" w:rsidP="00D808F4">
      <w:pPr>
        <w:spacing w:after="0" w:line="240" w:lineRule="auto"/>
        <w:jc w:val="both"/>
        <w:rPr>
          <w:rFonts w:ascii="Arial" w:hAnsi="Arial" w:cs="Arial"/>
          <w:color w:val="000000"/>
        </w:rPr>
      </w:pPr>
      <w:bookmarkStart w:id="141" w:name="ver_30180301"/>
      <w:bookmarkEnd w:id="141"/>
    </w:p>
    <w:p w14:paraId="5236177B" w14:textId="77777777" w:rsidR="00D808F4"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136</w:t>
      </w:r>
      <w:r w:rsidRPr="009A0E79">
        <w:rPr>
          <w:rFonts w:ascii="Arial" w:hAnsi="Arial" w:cs="Arial"/>
          <w:color w:val="000000"/>
          <w:sz w:val="22"/>
          <w:szCs w:val="22"/>
        </w:rPr>
        <w:t>. Las entidades territoriales que no hayan ejecutado a 31 de diciembre de 2018 los recursos provenientes de la contribución parafiscal de los espectáculos públicos de las artes escénicas de que trata el artículo 7° de la Ley 1493 de 2011, girados por el Ministerio de Cultura a los municipios y distritos en las vigencias fiscales 2012, 2013 y 2014, deberán reintegrarlos a la Dirección General de Crédito Público y Tesoro Nacional del Ministerio de Hacienda y Crédito Público junto con los rendimientos financieros generados por los recursos no ejecutados, a más tardar el día 30 de junio de 2019. </w:t>
      </w:r>
    </w:p>
    <w:p w14:paraId="675DEA72" w14:textId="77777777" w:rsidR="000F77BA" w:rsidRPr="009A0E79" w:rsidRDefault="000F77BA" w:rsidP="00D808F4">
      <w:pPr>
        <w:pStyle w:val="NormalWeb"/>
        <w:spacing w:before="0" w:beforeAutospacing="0" w:after="0" w:afterAutospacing="0"/>
        <w:jc w:val="both"/>
        <w:rPr>
          <w:rFonts w:ascii="Arial" w:hAnsi="Arial" w:cs="Arial"/>
          <w:color w:val="000000"/>
          <w:sz w:val="22"/>
          <w:szCs w:val="22"/>
        </w:rPr>
      </w:pPr>
    </w:p>
    <w:p w14:paraId="002F9B5C"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El Ministerio de Hacienda los retornará, a través del Ministerio de Cultura, para que este los distribuya entre las entidades territoriales para el mismo fin, dentro de los 3 meses siguientes. </w:t>
      </w:r>
    </w:p>
    <w:p w14:paraId="3D67CB73" w14:textId="77777777" w:rsidR="00D808F4" w:rsidRPr="009A0E79" w:rsidRDefault="00D808F4" w:rsidP="00D808F4">
      <w:pPr>
        <w:spacing w:after="0" w:line="240" w:lineRule="auto"/>
        <w:jc w:val="both"/>
        <w:rPr>
          <w:rFonts w:ascii="Arial" w:hAnsi="Arial" w:cs="Arial"/>
          <w:color w:val="000000"/>
        </w:rPr>
      </w:pPr>
      <w:bookmarkStart w:id="142" w:name="ver_30180302"/>
      <w:bookmarkEnd w:id="142"/>
    </w:p>
    <w:p w14:paraId="51F4C901"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lastRenderedPageBreak/>
        <w:t>Artículo 137.</w:t>
      </w:r>
      <w:r w:rsidRPr="009A0E79">
        <w:rPr>
          <w:rFonts w:ascii="Arial" w:hAnsi="Arial" w:cs="Arial"/>
          <w:color w:val="000000"/>
          <w:sz w:val="22"/>
          <w:szCs w:val="22"/>
        </w:rPr>
        <w:t> Los departamentos y municipios que no requieran destinar recursos del 10% de la estampilla Procultura, a que hace referencia en numeral 4 del artículo 38-1 de la Ley 397 de 1997, modificado por el artículo 2° de la Ley 666 de 2001, para seguridad social del creador y del gestor cultural, podrán destinar los saldos disponibles a 31 de diciembre de 2018 por este concepto, a financiar los demás conceptos a que hacen referencia las disposiciones citadas, siempre y cuando no se afecten a los beneficiarios de tal disposición. </w:t>
      </w:r>
    </w:p>
    <w:p w14:paraId="36D00581" w14:textId="77777777" w:rsidR="00D808F4" w:rsidRPr="009A0E79" w:rsidRDefault="00D808F4" w:rsidP="00D808F4">
      <w:pPr>
        <w:spacing w:after="0" w:line="240" w:lineRule="auto"/>
        <w:jc w:val="both"/>
        <w:rPr>
          <w:rFonts w:ascii="Arial" w:hAnsi="Arial" w:cs="Arial"/>
          <w:color w:val="000000"/>
        </w:rPr>
      </w:pPr>
      <w:bookmarkStart w:id="143" w:name="ver_30180303"/>
      <w:bookmarkEnd w:id="143"/>
    </w:p>
    <w:p w14:paraId="656FED0B"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138.</w:t>
      </w:r>
      <w:r w:rsidRPr="009A0E79">
        <w:rPr>
          <w:rFonts w:ascii="Arial" w:hAnsi="Arial" w:cs="Arial"/>
          <w:color w:val="000000"/>
          <w:sz w:val="22"/>
          <w:szCs w:val="22"/>
        </w:rPr>
        <w:t xml:space="preserve"> Las entidades del Orden Nacional darán prioridad en el presupuesto de inversión a los compromisos para la ejecución de las obras definidas en el </w:t>
      </w:r>
      <w:proofErr w:type="spellStart"/>
      <w:r w:rsidRPr="009A0E79">
        <w:rPr>
          <w:rFonts w:ascii="Arial" w:hAnsi="Arial" w:cs="Arial"/>
          <w:color w:val="000000"/>
          <w:sz w:val="22"/>
          <w:szCs w:val="22"/>
        </w:rPr>
        <w:t>Conpes</w:t>
      </w:r>
      <w:proofErr w:type="spellEnd"/>
      <w:r w:rsidRPr="009A0E79">
        <w:rPr>
          <w:rFonts w:ascii="Arial" w:hAnsi="Arial" w:cs="Arial"/>
          <w:color w:val="000000"/>
          <w:sz w:val="22"/>
          <w:szCs w:val="22"/>
        </w:rPr>
        <w:t xml:space="preserve"> 3904 del 31 de octubre de 2017 “Plan para la Reconstrucción del Municipio de Mocoa, 2017-2022”. </w:t>
      </w:r>
    </w:p>
    <w:p w14:paraId="11E5AE45"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335B366E" w14:textId="77777777" w:rsidR="00D808F4" w:rsidRPr="009A0E79" w:rsidRDefault="00D808F4" w:rsidP="00D808F4">
      <w:pPr>
        <w:spacing w:after="0" w:line="240" w:lineRule="auto"/>
        <w:jc w:val="both"/>
        <w:rPr>
          <w:rFonts w:ascii="Arial" w:hAnsi="Arial" w:cs="Arial"/>
          <w:color w:val="000000"/>
        </w:rPr>
      </w:pPr>
      <w:bookmarkStart w:id="144" w:name="ver_30180304"/>
      <w:bookmarkEnd w:id="144"/>
    </w:p>
    <w:p w14:paraId="4D43D7A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139</w:t>
      </w:r>
      <w:r w:rsidRPr="009A0E79">
        <w:rPr>
          <w:rFonts w:ascii="Arial" w:hAnsi="Arial" w:cs="Arial"/>
          <w:color w:val="000000"/>
          <w:sz w:val="22"/>
          <w:szCs w:val="22"/>
        </w:rPr>
        <w:t>. El Gobierno nacional, a través del Ministerio de Hacienda y Crédito Público, asignará recursos al Fondo para el Desarrollo Integral del Distrito Especial de Buenaventura, cuando se hayan estructurado y viabilizados los proyectos de inversión correspondientes definidos en el Plan Especial. </w:t>
      </w:r>
    </w:p>
    <w:p w14:paraId="3EB401C5" w14:textId="77777777" w:rsidR="00D808F4" w:rsidRPr="009A0E79" w:rsidRDefault="00D808F4" w:rsidP="00D808F4">
      <w:pPr>
        <w:spacing w:after="0" w:line="240" w:lineRule="auto"/>
        <w:jc w:val="both"/>
        <w:rPr>
          <w:rFonts w:ascii="Arial" w:hAnsi="Arial" w:cs="Arial"/>
          <w:color w:val="000000"/>
        </w:rPr>
      </w:pPr>
      <w:bookmarkStart w:id="145" w:name="ver_30180305"/>
      <w:bookmarkEnd w:id="145"/>
    </w:p>
    <w:p w14:paraId="1AB4CAF2" w14:textId="77777777" w:rsidR="00D808F4"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140.</w:t>
      </w:r>
      <w:r w:rsidRPr="009A0E79">
        <w:rPr>
          <w:rFonts w:ascii="Arial" w:hAnsi="Arial" w:cs="Arial"/>
          <w:color w:val="000000"/>
          <w:sz w:val="22"/>
          <w:szCs w:val="22"/>
        </w:rPr>
        <w:t> El Ministerio de Minas y Energía, en desarrollo de la Política Minera Nacional, podrá apoyar a los pequeños mineros y comunidades mineras, mediante la adquisición y montaje de equipos especializados en minería que sean requeridos para el mejoramiento de la operación minera y producción más limpia, así mismo, podrá estructurar e implementar proyectos productivos para la reconversión laboral de los pequeños mineros y/o mineros de subsistencia, o para el fortalecimiento de la cadena productiva. </w:t>
      </w:r>
    </w:p>
    <w:p w14:paraId="0097DB1C" w14:textId="77777777" w:rsidR="000F77BA" w:rsidRPr="009A0E79" w:rsidRDefault="000F77BA" w:rsidP="00D808F4">
      <w:pPr>
        <w:pStyle w:val="NormalWeb"/>
        <w:spacing w:before="0" w:beforeAutospacing="0" w:after="0" w:afterAutospacing="0"/>
        <w:jc w:val="both"/>
        <w:rPr>
          <w:rFonts w:ascii="Arial" w:hAnsi="Arial" w:cs="Arial"/>
          <w:color w:val="000000"/>
          <w:sz w:val="22"/>
          <w:szCs w:val="22"/>
        </w:rPr>
      </w:pPr>
    </w:p>
    <w:p w14:paraId="24DA5A5E"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El Ministerio de Minas y Energía determinará los requisitos y demás acciones necesarias para el desarrollo del presente artículo, y lo financiará con cargo a las apropiaciones disponibles. </w:t>
      </w:r>
    </w:p>
    <w:p w14:paraId="67C98151" w14:textId="77777777" w:rsidR="00D808F4" w:rsidRPr="009A0E79" w:rsidRDefault="00D808F4" w:rsidP="00D808F4">
      <w:pPr>
        <w:spacing w:after="0" w:line="240" w:lineRule="auto"/>
        <w:jc w:val="both"/>
        <w:rPr>
          <w:rFonts w:ascii="Arial" w:hAnsi="Arial" w:cs="Arial"/>
          <w:color w:val="000000"/>
        </w:rPr>
      </w:pPr>
      <w:bookmarkStart w:id="146" w:name="ver_30180306"/>
      <w:bookmarkEnd w:id="146"/>
    </w:p>
    <w:p w14:paraId="3872F0F8"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141.</w:t>
      </w:r>
      <w:r w:rsidRPr="009A0E79">
        <w:rPr>
          <w:rFonts w:ascii="Arial" w:hAnsi="Arial" w:cs="Arial"/>
          <w:color w:val="000000"/>
          <w:sz w:val="22"/>
          <w:szCs w:val="22"/>
        </w:rPr>
        <w:t> El Ministerio de Agricultura, en cabeza de la Autoridad Nacional de Pesca y Acuicultura, en desarrollo de la política pesquera, deberá apoyar a los pequeños pescadores artesanales y de subsistencia mediante la adquisición y montaje de equipos especializados en labores de pesca que sean requeridos para el mejoramiento de las faenas de pesca. Así mismo, deberá estructurar e implementar proyectos productivos para la reconversión laboral de los pescadores artesanales y de subsistencia o para el fortalecimiento de la cadena productiva. El Ministerio de Agricultura determinará los requisitos y demás acciones necesarias para el desarrollo del presente artículo, y lo financiará con cargo a las apropiaciones disponibles. </w:t>
      </w:r>
    </w:p>
    <w:p w14:paraId="2C932D31" w14:textId="77777777" w:rsidR="00D808F4" w:rsidRPr="009A0E79" w:rsidRDefault="00D808F4" w:rsidP="00D808F4">
      <w:pPr>
        <w:spacing w:after="0" w:line="240" w:lineRule="auto"/>
        <w:jc w:val="both"/>
        <w:rPr>
          <w:rFonts w:ascii="Arial" w:hAnsi="Arial" w:cs="Arial"/>
          <w:color w:val="000000"/>
        </w:rPr>
      </w:pPr>
      <w:bookmarkStart w:id="147" w:name="ver_30180307"/>
      <w:bookmarkEnd w:id="147"/>
    </w:p>
    <w:p w14:paraId="25397523"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142.</w:t>
      </w:r>
      <w:r w:rsidRPr="009A0E79">
        <w:rPr>
          <w:rFonts w:ascii="Arial" w:hAnsi="Arial" w:cs="Arial"/>
          <w:color w:val="000000"/>
          <w:sz w:val="22"/>
          <w:szCs w:val="22"/>
        </w:rPr>
        <w:t> El Ministerio de Hacienda y Crédito Público, con cargo a los rendimientos financieros generados por el Fondo de Pensiones de las Entidades Territoriales (</w:t>
      </w:r>
      <w:proofErr w:type="spellStart"/>
      <w:r w:rsidRPr="009A0E79">
        <w:rPr>
          <w:rFonts w:ascii="Arial" w:hAnsi="Arial" w:cs="Arial"/>
          <w:color w:val="000000"/>
          <w:sz w:val="22"/>
          <w:szCs w:val="22"/>
        </w:rPr>
        <w:t>Fonpet</w:t>
      </w:r>
      <w:proofErr w:type="spellEnd"/>
      <w:r w:rsidRPr="009A0E79">
        <w:rPr>
          <w:rFonts w:ascii="Arial" w:hAnsi="Arial" w:cs="Arial"/>
          <w:color w:val="000000"/>
          <w:sz w:val="22"/>
          <w:szCs w:val="22"/>
        </w:rPr>
        <w:t>), deberá desarrollar un depósito de información de las cotizaciones a pensión de los funcionarios activos, inactivos y pensionados de las entidades territoriales, tanto de régimen general como de regímenes especiales. </w:t>
      </w:r>
    </w:p>
    <w:p w14:paraId="284F8C5E" w14:textId="77777777" w:rsidR="00D808F4" w:rsidRPr="009A0E79" w:rsidRDefault="00D808F4" w:rsidP="00D808F4">
      <w:pPr>
        <w:spacing w:after="0" w:line="240" w:lineRule="auto"/>
        <w:jc w:val="both"/>
        <w:rPr>
          <w:rFonts w:ascii="Arial" w:hAnsi="Arial" w:cs="Arial"/>
          <w:color w:val="000000"/>
        </w:rPr>
      </w:pPr>
      <w:bookmarkStart w:id="148" w:name="ver_30180308"/>
      <w:bookmarkEnd w:id="148"/>
    </w:p>
    <w:p w14:paraId="0EC8C506"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143.</w:t>
      </w:r>
      <w:r w:rsidRPr="009A0E79">
        <w:rPr>
          <w:rFonts w:ascii="Arial" w:hAnsi="Arial" w:cs="Arial"/>
          <w:color w:val="000000"/>
          <w:sz w:val="22"/>
          <w:szCs w:val="22"/>
        </w:rPr>
        <w:t xml:space="preserve"> El Consejo Superior de la Judicatura, la </w:t>
      </w:r>
      <w:proofErr w:type="gramStart"/>
      <w:r w:rsidRPr="009A0E79">
        <w:rPr>
          <w:rFonts w:ascii="Arial" w:hAnsi="Arial" w:cs="Arial"/>
          <w:color w:val="000000"/>
          <w:sz w:val="22"/>
          <w:szCs w:val="22"/>
        </w:rPr>
        <w:t>Fiscalía General</w:t>
      </w:r>
      <w:proofErr w:type="gramEnd"/>
      <w:r w:rsidRPr="009A0E79">
        <w:rPr>
          <w:rFonts w:ascii="Arial" w:hAnsi="Arial" w:cs="Arial"/>
          <w:color w:val="000000"/>
          <w:sz w:val="22"/>
          <w:szCs w:val="22"/>
        </w:rPr>
        <w:t xml:space="preserve"> de la Nación y la Procuraduría General de la Nación podrán sustituir inmuebles de su propiedad, por obras necesarias para la adquisición, terminación, adecuación y dotación de su infraestructura, sin operación presupuestal alguna. </w:t>
      </w:r>
    </w:p>
    <w:p w14:paraId="473B269C" w14:textId="77777777" w:rsidR="00D808F4" w:rsidRPr="009A0E79" w:rsidRDefault="00D808F4" w:rsidP="00D808F4">
      <w:pPr>
        <w:spacing w:after="0" w:line="240" w:lineRule="auto"/>
        <w:jc w:val="both"/>
        <w:rPr>
          <w:rFonts w:ascii="Arial" w:hAnsi="Arial" w:cs="Arial"/>
          <w:color w:val="000000"/>
        </w:rPr>
      </w:pPr>
      <w:bookmarkStart w:id="149" w:name="ver_30180309"/>
      <w:bookmarkEnd w:id="149"/>
    </w:p>
    <w:p w14:paraId="434507B0"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144</w:t>
      </w:r>
      <w:r w:rsidRPr="009A0E79">
        <w:rPr>
          <w:rFonts w:ascii="Arial" w:hAnsi="Arial" w:cs="Arial"/>
          <w:color w:val="000000"/>
          <w:sz w:val="22"/>
          <w:szCs w:val="22"/>
        </w:rPr>
        <w:t xml:space="preserve">. Con el objeto de continuar garantizando la ejecución de las obligaciones derivadas de la sentencia del Consejo de Estado del 28 de marzo de 2014 – Acción Popular para el saneamiento del Río Bogotá Expediente AP-25000- 23-27-000-2001-90479-01, para la vigencia </w:t>
      </w:r>
      <w:r w:rsidRPr="009A0E79">
        <w:rPr>
          <w:rFonts w:ascii="Arial" w:hAnsi="Arial" w:cs="Arial"/>
          <w:color w:val="000000"/>
          <w:sz w:val="22"/>
          <w:szCs w:val="22"/>
        </w:rPr>
        <w:lastRenderedPageBreak/>
        <w:t>del presente decreto, se encuentran apropiados en el presupuesto de Inversión del DNP los recursos que amparan el proyecto “Servicio de pago de las obligaciones pendientes de los proyectos aprobados por el Consejo Asesor de Regalías”. </w:t>
      </w:r>
    </w:p>
    <w:p w14:paraId="4A44BCAF" w14:textId="77777777" w:rsidR="00D808F4" w:rsidRPr="009A0E79" w:rsidRDefault="00D808F4" w:rsidP="00D808F4">
      <w:pPr>
        <w:spacing w:after="0" w:line="240" w:lineRule="auto"/>
        <w:jc w:val="both"/>
        <w:rPr>
          <w:rFonts w:ascii="Arial" w:hAnsi="Arial" w:cs="Arial"/>
          <w:color w:val="000000"/>
        </w:rPr>
      </w:pPr>
      <w:bookmarkStart w:id="150" w:name="ver_30180310"/>
      <w:bookmarkEnd w:id="150"/>
    </w:p>
    <w:p w14:paraId="18DE4BEE" w14:textId="048982F3" w:rsidR="00D808F4"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145</w:t>
      </w:r>
      <w:r w:rsidRPr="009A0E79">
        <w:rPr>
          <w:rFonts w:ascii="Arial" w:hAnsi="Arial" w:cs="Arial"/>
          <w:color w:val="000000"/>
          <w:sz w:val="22"/>
          <w:szCs w:val="22"/>
        </w:rPr>
        <w:t>. Redúzcase el presupuesto de inversión de la Sección 130101 Ministerio de Hacienda y Crédito Público – Gestión General proyecto 1302-1000-14 “Apoyo a proyectos de inversión a nivel nacional”, por un valor de $100.000.000.000. Con los recursos que se reducen, adiciónese el presupuesto de inversión de la Sección 241200 Unidad Administrativa Especial de Aeronáutica Civil, proyecto 2403-0600-49 “Mejoramiento de los servicios Aeroportuarios y a la navegación aérea de la región Antioquia” (Continuación obras de construcción del proyecto Aeropuerto del Café). </w:t>
      </w:r>
    </w:p>
    <w:p w14:paraId="6A50A010" w14:textId="77777777" w:rsidR="000F77BA" w:rsidRPr="009A0E79" w:rsidRDefault="000F77BA" w:rsidP="00D808F4">
      <w:pPr>
        <w:pStyle w:val="NormalWeb"/>
        <w:spacing w:before="0" w:beforeAutospacing="0" w:after="0" w:afterAutospacing="0"/>
        <w:jc w:val="both"/>
        <w:rPr>
          <w:rFonts w:ascii="Arial" w:hAnsi="Arial" w:cs="Arial"/>
          <w:color w:val="000000"/>
          <w:sz w:val="22"/>
          <w:szCs w:val="22"/>
        </w:rPr>
      </w:pPr>
    </w:p>
    <w:p w14:paraId="2313B597"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Para la ejecución dichos recursos, la entidad responsable deberá verificar que el proyecto cumpla con los requisitos y procedimientos establecidos en las normas que regulan los proyectos de inversión en infraestructura. </w:t>
      </w:r>
    </w:p>
    <w:p w14:paraId="462A2A50" w14:textId="77777777" w:rsidR="00D808F4" w:rsidRPr="009A0E79" w:rsidRDefault="00D808F4" w:rsidP="00D808F4">
      <w:pPr>
        <w:spacing w:after="0" w:line="240" w:lineRule="auto"/>
        <w:jc w:val="both"/>
        <w:rPr>
          <w:rFonts w:ascii="Arial" w:hAnsi="Arial" w:cs="Arial"/>
          <w:color w:val="000000"/>
        </w:rPr>
      </w:pPr>
      <w:bookmarkStart w:id="151" w:name="ver_30180311"/>
      <w:bookmarkEnd w:id="151"/>
    </w:p>
    <w:p w14:paraId="5AA60B57"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147.</w:t>
      </w:r>
      <w:r w:rsidRPr="009A0E79">
        <w:rPr>
          <w:rFonts w:ascii="Arial" w:hAnsi="Arial" w:cs="Arial"/>
          <w:color w:val="000000"/>
          <w:sz w:val="22"/>
          <w:szCs w:val="22"/>
        </w:rPr>
        <w:t xml:space="preserve"> El Gobierno nacional podrá a través de los Institutos de Fomento y Desarrollo Regional, </w:t>
      </w:r>
      <w:proofErr w:type="spellStart"/>
      <w:r w:rsidRPr="009A0E79">
        <w:rPr>
          <w:rFonts w:ascii="Arial" w:hAnsi="Arial" w:cs="Arial"/>
          <w:color w:val="000000"/>
          <w:sz w:val="22"/>
          <w:szCs w:val="22"/>
        </w:rPr>
        <w:t>Infis</w:t>
      </w:r>
      <w:proofErr w:type="spellEnd"/>
      <w:r w:rsidRPr="009A0E79">
        <w:rPr>
          <w:rFonts w:ascii="Arial" w:hAnsi="Arial" w:cs="Arial"/>
          <w:color w:val="000000"/>
          <w:sz w:val="22"/>
          <w:szCs w:val="22"/>
        </w:rPr>
        <w:t>, hacer inversiones que comprometan el Presupuesto General de la Nación para el desarrollo de proyectos que impacten y fomenten el crecimiento y desarrollo económico, social y cultural de las regiones. </w:t>
      </w:r>
    </w:p>
    <w:p w14:paraId="2F0DDF00" w14:textId="77777777" w:rsidR="00D808F4" w:rsidRPr="009A0E79" w:rsidRDefault="00D808F4" w:rsidP="00D808F4">
      <w:pPr>
        <w:spacing w:after="0" w:line="240" w:lineRule="auto"/>
        <w:jc w:val="both"/>
        <w:rPr>
          <w:rFonts w:ascii="Arial" w:hAnsi="Arial" w:cs="Arial"/>
          <w:color w:val="000000"/>
        </w:rPr>
      </w:pPr>
      <w:bookmarkStart w:id="152" w:name="ver_30180312"/>
      <w:bookmarkEnd w:id="152"/>
    </w:p>
    <w:p w14:paraId="4230C709"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148.</w:t>
      </w:r>
      <w:r w:rsidRPr="009A0E79">
        <w:rPr>
          <w:rFonts w:ascii="Arial" w:hAnsi="Arial" w:cs="Arial"/>
          <w:color w:val="000000"/>
          <w:sz w:val="22"/>
          <w:szCs w:val="22"/>
        </w:rPr>
        <w:t> Durante la vigencia del presente decreto, se podrá ampliar la cobertura del Plan Piloto de Subsidios al GLP en cilindros, al Departamento del Amazonas para el beneficio de las comunidades indígenas y los usuarios de los estratos 1 y 2. El Ministerio de Minas y Energía definirá los términos, condiciones y cobertura para la asignación de recursos de conformidad con las disponibilidades presupuestales. </w:t>
      </w:r>
    </w:p>
    <w:p w14:paraId="64507B69" w14:textId="77777777" w:rsidR="00D808F4" w:rsidRPr="009A0E79" w:rsidRDefault="00D808F4" w:rsidP="00D808F4">
      <w:pPr>
        <w:spacing w:after="0" w:line="240" w:lineRule="auto"/>
        <w:jc w:val="both"/>
        <w:rPr>
          <w:rFonts w:ascii="Arial" w:hAnsi="Arial" w:cs="Arial"/>
          <w:color w:val="000000"/>
        </w:rPr>
      </w:pPr>
      <w:bookmarkStart w:id="153" w:name="ver_30180313"/>
      <w:bookmarkEnd w:id="153"/>
    </w:p>
    <w:p w14:paraId="7E9B4E7F"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149.</w:t>
      </w:r>
      <w:r w:rsidRPr="009A0E79">
        <w:rPr>
          <w:rStyle w:val="nfasis"/>
          <w:rFonts w:ascii="Arial" w:hAnsi="Arial" w:cs="Arial"/>
          <w:i w:val="0"/>
          <w:iCs w:val="0"/>
          <w:color w:val="000000"/>
          <w:sz w:val="22"/>
          <w:szCs w:val="22"/>
        </w:rPr>
        <w:t>Valores máximos de recobros. </w:t>
      </w:r>
      <w:r w:rsidRPr="009A0E79">
        <w:rPr>
          <w:rFonts w:ascii="Arial" w:hAnsi="Arial" w:cs="Arial"/>
          <w:color w:val="000000"/>
          <w:sz w:val="22"/>
          <w:szCs w:val="22"/>
        </w:rPr>
        <w:t>Con cargo a los recursos apropiados por la Administradora de los Recursos del Sistema General de Seguridad Social en Salud (Adres), no se podrán hacer reconocimientos y pagos para los servicios y tecnologías no cubiertos en el Plan de Beneficios superiores a los valores o techos máximos que establezca el Ministerio de Salud y Protección Social a partir de una metodología que tenga en cuenta los valores recobrados o cobrados al menos en los 3 últimos años de los que se disponga información. La Administradora de los Recursos del Sistema General de Seguridad Social en Salud (Adres) reportará y enviará al Ministerio de Salud y Protección Social las bases de datos estandarizadas de conformidad con el mecanismo, periodicidad, variables, oportunidad, detalle y calidad que dicho ministerio defina. </w:t>
      </w:r>
    </w:p>
    <w:p w14:paraId="271F58CC" w14:textId="77777777" w:rsidR="00D808F4" w:rsidRPr="009A0E79" w:rsidRDefault="00D808F4" w:rsidP="00D808F4">
      <w:pPr>
        <w:spacing w:after="0" w:line="240" w:lineRule="auto"/>
        <w:jc w:val="both"/>
        <w:rPr>
          <w:rFonts w:ascii="Arial" w:hAnsi="Arial" w:cs="Arial"/>
          <w:color w:val="000000"/>
        </w:rPr>
      </w:pPr>
      <w:bookmarkStart w:id="154" w:name="ver_30180314"/>
      <w:bookmarkEnd w:id="154"/>
    </w:p>
    <w:p w14:paraId="789E4AEB"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150.</w:t>
      </w:r>
      <w:r w:rsidRPr="009A0E79">
        <w:rPr>
          <w:rFonts w:ascii="Arial" w:hAnsi="Arial" w:cs="Arial"/>
          <w:color w:val="000000"/>
          <w:sz w:val="22"/>
          <w:szCs w:val="22"/>
        </w:rPr>
        <w:t> Durante la vigencia del presente decreto, la Nación, a través del Ministerio de Minas y Energía, sin perjuicio de lo establecido en el artículo 55 de la Ley 191 de 1995, podrá reconocer el costo del transporte terrestre de los combustibles líquidos derivados del petróleo que se suministre desde las plantas de abastecimiento ubicadas en el departamento de Nariño hasta la capital de dicho departamento. </w:t>
      </w:r>
    </w:p>
    <w:p w14:paraId="6B6A462F" w14:textId="09127AEC" w:rsidR="00D808F4" w:rsidRPr="009A0E79" w:rsidRDefault="00D808F4" w:rsidP="00287789">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bookmarkStart w:id="155" w:name="ver_30180315"/>
      <w:bookmarkEnd w:id="155"/>
    </w:p>
    <w:p w14:paraId="671363B2"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151.</w:t>
      </w:r>
      <w:r w:rsidRPr="009A0E79">
        <w:rPr>
          <w:rFonts w:ascii="Arial" w:hAnsi="Arial" w:cs="Arial"/>
          <w:color w:val="000000"/>
          <w:sz w:val="22"/>
          <w:szCs w:val="22"/>
        </w:rPr>
        <w:t> Adiciónese un parágrafo al artículo 37 de la Ley 1575 de 2012, el cual quedará así: </w:t>
      </w:r>
    </w:p>
    <w:p w14:paraId="6DE48FC8"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Parágrafo 2°. </w:t>
      </w:r>
      <w:r w:rsidRPr="009A0E79">
        <w:rPr>
          <w:rFonts w:ascii="Arial" w:hAnsi="Arial" w:cs="Arial"/>
          <w:color w:val="000000"/>
          <w:sz w:val="22"/>
          <w:szCs w:val="22"/>
        </w:rPr>
        <w:t>Para calcular la sobretasa o recargo al impuesto predial destinado a financiar la actividad bomberil, los municipios podrán utilizar el avalúo catastral vigente en sus respetivas jurisdicciones. </w:t>
      </w:r>
    </w:p>
    <w:p w14:paraId="7CDAA5B3" w14:textId="77777777" w:rsidR="00D808F4" w:rsidRPr="009A0E79" w:rsidRDefault="00D808F4" w:rsidP="00D808F4">
      <w:pPr>
        <w:spacing w:after="0" w:line="240" w:lineRule="auto"/>
        <w:jc w:val="both"/>
        <w:rPr>
          <w:rFonts w:ascii="Arial" w:hAnsi="Arial" w:cs="Arial"/>
          <w:color w:val="000000"/>
        </w:rPr>
      </w:pPr>
      <w:bookmarkStart w:id="156" w:name="ver_30180316"/>
      <w:bookmarkEnd w:id="156"/>
    </w:p>
    <w:p w14:paraId="6B13B0E5"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lastRenderedPageBreak/>
        <w:t>Artículo 152.</w:t>
      </w:r>
      <w:r w:rsidRPr="009A0E79">
        <w:rPr>
          <w:rFonts w:ascii="Arial" w:hAnsi="Arial" w:cs="Arial"/>
          <w:color w:val="000000"/>
          <w:sz w:val="22"/>
          <w:szCs w:val="22"/>
        </w:rPr>
        <w:t xml:space="preserve"> Cuando uno o varios congresistas soliciten una partida presupuestal para un programa o proyecto de inversión pública nacional y/o regional, debe hacer público su nombre, el monto y justificación de </w:t>
      </w:r>
      <w:proofErr w:type="gramStart"/>
      <w:r w:rsidRPr="009A0E79">
        <w:rPr>
          <w:rFonts w:ascii="Arial" w:hAnsi="Arial" w:cs="Arial"/>
          <w:color w:val="000000"/>
          <w:sz w:val="22"/>
          <w:szCs w:val="22"/>
        </w:rPr>
        <w:t>la misma</w:t>
      </w:r>
      <w:proofErr w:type="gramEnd"/>
      <w:r w:rsidRPr="009A0E79">
        <w:rPr>
          <w:rFonts w:ascii="Arial" w:hAnsi="Arial" w:cs="Arial"/>
          <w:color w:val="000000"/>
          <w:sz w:val="22"/>
          <w:szCs w:val="22"/>
        </w:rPr>
        <w:t>. </w:t>
      </w:r>
    </w:p>
    <w:p w14:paraId="6D763E8B" w14:textId="77777777" w:rsidR="00D808F4" w:rsidRPr="009A0E79" w:rsidRDefault="00D808F4" w:rsidP="00D808F4">
      <w:pPr>
        <w:spacing w:after="0" w:line="240" w:lineRule="auto"/>
        <w:jc w:val="both"/>
        <w:rPr>
          <w:rFonts w:ascii="Arial" w:hAnsi="Arial" w:cs="Arial"/>
          <w:color w:val="000000"/>
        </w:rPr>
      </w:pPr>
      <w:bookmarkStart w:id="157" w:name="ver_30180317"/>
      <w:bookmarkEnd w:id="157"/>
    </w:p>
    <w:p w14:paraId="6C4A565A"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153.</w:t>
      </w:r>
      <w:r w:rsidRPr="009A0E79">
        <w:rPr>
          <w:rFonts w:ascii="Arial" w:hAnsi="Arial" w:cs="Arial"/>
          <w:color w:val="000000"/>
          <w:sz w:val="22"/>
          <w:szCs w:val="22"/>
        </w:rPr>
        <w:t> El presente presupuesto se entenderá enmarcado dentro del Plan Plurianual de inversiones para la Paz, de conformidad con lo establecido en el Acto Legislativo 01 de 2016 y por lo tanto priorizando los ciudadanos y las entidades territoriales más afectadas por la pobreza rural, las economías ilegales, la debilidad institucional y el conflicto armado. </w:t>
      </w:r>
    </w:p>
    <w:p w14:paraId="7ADF9E46" w14:textId="77777777" w:rsidR="00D808F4" w:rsidRPr="009A0E79" w:rsidRDefault="00D808F4" w:rsidP="00D808F4">
      <w:pPr>
        <w:spacing w:after="0" w:line="240" w:lineRule="auto"/>
        <w:jc w:val="both"/>
        <w:rPr>
          <w:rFonts w:ascii="Arial" w:hAnsi="Arial" w:cs="Arial"/>
          <w:color w:val="000000"/>
        </w:rPr>
      </w:pPr>
      <w:bookmarkStart w:id="158" w:name="ver_30180318"/>
      <w:bookmarkEnd w:id="158"/>
    </w:p>
    <w:p w14:paraId="6FC7CCB4" w14:textId="1BF62A21"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154</w:t>
      </w:r>
      <w:r w:rsidRPr="009A0E79">
        <w:rPr>
          <w:rFonts w:ascii="Arial" w:hAnsi="Arial" w:cs="Arial"/>
          <w:color w:val="000000"/>
          <w:sz w:val="22"/>
          <w:szCs w:val="22"/>
        </w:rPr>
        <w:t>. Modifíquese el artículo 15 de la Ley 1005 de 2006, el cual quedará así: </w:t>
      </w:r>
    </w:p>
    <w:p w14:paraId="4DBAFC12" w14:textId="77777777" w:rsidR="00287789" w:rsidRPr="009A0E79" w:rsidRDefault="00287789" w:rsidP="00D808F4">
      <w:pPr>
        <w:pStyle w:val="NormalWeb"/>
        <w:spacing w:before="0" w:beforeAutospacing="0" w:after="0" w:afterAutospacing="0"/>
        <w:jc w:val="both"/>
        <w:rPr>
          <w:rFonts w:ascii="Arial" w:hAnsi="Arial" w:cs="Arial"/>
          <w:color w:val="000000"/>
          <w:sz w:val="22"/>
          <w:szCs w:val="22"/>
        </w:rPr>
      </w:pPr>
    </w:p>
    <w:p w14:paraId="5F04F72C"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15. </w:t>
      </w:r>
      <w:r w:rsidRPr="009A0E79">
        <w:rPr>
          <w:rStyle w:val="nfasis"/>
          <w:rFonts w:ascii="Arial" w:hAnsi="Arial" w:cs="Arial"/>
          <w:i w:val="0"/>
          <w:iCs w:val="0"/>
          <w:color w:val="000000"/>
          <w:sz w:val="22"/>
          <w:szCs w:val="22"/>
        </w:rPr>
        <w:t>Derechos de Tránsito. </w:t>
      </w:r>
      <w:r w:rsidRPr="009A0E79">
        <w:rPr>
          <w:rFonts w:ascii="Arial" w:hAnsi="Arial" w:cs="Arial"/>
          <w:color w:val="000000"/>
          <w:sz w:val="22"/>
          <w:szCs w:val="22"/>
        </w:rPr>
        <w:t>Corresponde a las Asambleas Departamentales, Concejos Municipales o Distritales de conformidad con el artículo 338 de la Carta Política, y el artículo 168 de la Ley 769 de 2002, fijar el sistema y el método para determinar las tarifas por los derechos de tránsito de los trámites de licencia de tránsito, placa única nacional, tarjeta de registro y licencia de conducción que se realizan en los Organismos de Tránsito. </w:t>
      </w:r>
    </w:p>
    <w:p w14:paraId="54E3E43D" w14:textId="77777777" w:rsidR="00287789" w:rsidRPr="009A0E79" w:rsidRDefault="00287789" w:rsidP="00D808F4">
      <w:pPr>
        <w:pStyle w:val="NormalWeb"/>
        <w:spacing w:before="0" w:beforeAutospacing="0" w:after="0" w:afterAutospacing="0"/>
        <w:jc w:val="both"/>
        <w:rPr>
          <w:rFonts w:ascii="Arial" w:hAnsi="Arial" w:cs="Arial"/>
          <w:color w:val="000000"/>
          <w:sz w:val="22"/>
          <w:szCs w:val="22"/>
        </w:rPr>
      </w:pPr>
    </w:p>
    <w:p w14:paraId="5C8B2E78" w14:textId="19650E5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xml:space="preserve">Las tarifas por los derechos de tránsito estarán basadas en un estudio económico sobre los costos del servicio con indicadores de eficiencia, eficacia y economía, en el cual se deberá incluir el valor equivalente a 0,85 salarios mínimos diarios legales vigentes (0,85 </w:t>
      </w:r>
      <w:proofErr w:type="spellStart"/>
      <w:r w:rsidRPr="009A0E79">
        <w:rPr>
          <w:rFonts w:ascii="Arial" w:hAnsi="Arial" w:cs="Arial"/>
          <w:color w:val="000000"/>
          <w:sz w:val="22"/>
          <w:szCs w:val="22"/>
        </w:rPr>
        <w:t>smdlv</w:t>
      </w:r>
      <w:proofErr w:type="spellEnd"/>
      <w:r w:rsidRPr="009A0E79">
        <w:rPr>
          <w:rFonts w:ascii="Arial" w:hAnsi="Arial" w:cs="Arial"/>
          <w:color w:val="000000"/>
          <w:sz w:val="22"/>
          <w:szCs w:val="22"/>
        </w:rPr>
        <w:t>) por cada especie venal de tránsito que sea expedida al usuario. Dicho valor deberá ser liquidado y transferido por el organismo de tránsito al Ministerio de Transporte una vez realizado el trámite. </w:t>
      </w:r>
    </w:p>
    <w:p w14:paraId="0AAF4E15" w14:textId="77777777" w:rsidR="00D808F4" w:rsidRPr="009A0E79" w:rsidRDefault="00D808F4" w:rsidP="00D808F4">
      <w:pPr>
        <w:spacing w:after="0" w:line="240" w:lineRule="auto"/>
        <w:jc w:val="both"/>
        <w:rPr>
          <w:rFonts w:ascii="Arial" w:hAnsi="Arial" w:cs="Arial"/>
          <w:color w:val="000000"/>
        </w:rPr>
      </w:pPr>
      <w:bookmarkStart w:id="159" w:name="ver_30180319"/>
      <w:bookmarkEnd w:id="159"/>
    </w:p>
    <w:p w14:paraId="0253285D"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155.</w:t>
      </w:r>
      <w:r w:rsidRPr="009A0E79">
        <w:rPr>
          <w:rFonts w:ascii="Arial" w:hAnsi="Arial" w:cs="Arial"/>
          <w:color w:val="000000"/>
          <w:sz w:val="22"/>
          <w:szCs w:val="22"/>
        </w:rPr>
        <w:t> El presente decreto se acompaña de un anexo que contiene el detalle del gasto para la vigencia fiscal de 2019. </w:t>
      </w:r>
    </w:p>
    <w:p w14:paraId="4B403C1F" w14:textId="77777777" w:rsidR="00D808F4" w:rsidRPr="009A0E79" w:rsidRDefault="00D808F4" w:rsidP="00D808F4">
      <w:pPr>
        <w:spacing w:after="0" w:line="240" w:lineRule="auto"/>
        <w:jc w:val="both"/>
        <w:rPr>
          <w:rFonts w:ascii="Arial" w:hAnsi="Arial" w:cs="Arial"/>
          <w:color w:val="000000"/>
        </w:rPr>
      </w:pPr>
      <w:bookmarkStart w:id="160" w:name="ver_30180320"/>
      <w:bookmarkEnd w:id="160"/>
    </w:p>
    <w:p w14:paraId="7A4F3DEA"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Style w:val="Textoennegrita"/>
          <w:rFonts w:ascii="Arial" w:hAnsi="Arial" w:cs="Arial"/>
          <w:b w:val="0"/>
          <w:bCs w:val="0"/>
          <w:color w:val="000000"/>
          <w:sz w:val="22"/>
          <w:szCs w:val="22"/>
        </w:rPr>
        <w:t>Artículo 156</w:t>
      </w:r>
      <w:r w:rsidRPr="009A0E79">
        <w:rPr>
          <w:rFonts w:ascii="Arial" w:hAnsi="Arial" w:cs="Arial"/>
          <w:color w:val="000000"/>
          <w:sz w:val="22"/>
          <w:szCs w:val="22"/>
        </w:rPr>
        <w:t>. </w:t>
      </w:r>
      <w:r w:rsidRPr="009A0E79">
        <w:rPr>
          <w:rStyle w:val="nfasis"/>
          <w:rFonts w:ascii="Arial" w:hAnsi="Arial" w:cs="Arial"/>
          <w:i w:val="0"/>
          <w:iCs w:val="0"/>
          <w:color w:val="000000"/>
          <w:sz w:val="22"/>
          <w:szCs w:val="22"/>
        </w:rPr>
        <w:t>Vigencia y derogatoria</w:t>
      </w:r>
      <w:r w:rsidRPr="009A0E79">
        <w:rPr>
          <w:rFonts w:ascii="Arial" w:hAnsi="Arial" w:cs="Arial"/>
          <w:color w:val="000000"/>
          <w:sz w:val="22"/>
          <w:szCs w:val="22"/>
        </w:rPr>
        <w:t>. El presente decreto rige a partir de la fecha de su publicación, surte efectos fiscales a partir del 1° de enero de 2019. </w:t>
      </w:r>
    </w:p>
    <w:p w14:paraId="4D0723E2" w14:textId="77777777" w:rsidR="00D808F4" w:rsidRPr="009A0E79" w:rsidRDefault="00D808F4" w:rsidP="00D808F4">
      <w:pPr>
        <w:pStyle w:val="NormalWeb"/>
        <w:spacing w:before="0" w:beforeAutospacing="0" w:after="0" w:afterAutospacing="0"/>
        <w:jc w:val="both"/>
        <w:rPr>
          <w:rFonts w:ascii="Arial" w:hAnsi="Arial" w:cs="Arial"/>
          <w:color w:val="000000"/>
          <w:sz w:val="22"/>
          <w:szCs w:val="22"/>
        </w:rPr>
      </w:pPr>
      <w:r w:rsidRPr="009A0E79">
        <w:rPr>
          <w:rFonts w:ascii="Arial" w:hAnsi="Arial" w:cs="Arial"/>
          <w:color w:val="000000"/>
          <w:sz w:val="22"/>
          <w:szCs w:val="22"/>
        </w:rPr>
        <w:t>  </w:t>
      </w:r>
    </w:p>
    <w:p w14:paraId="25F861E8" w14:textId="2B4C8864" w:rsidR="00D808F4" w:rsidRPr="000F77BA" w:rsidRDefault="00D808F4" w:rsidP="005316EA">
      <w:pPr>
        <w:pStyle w:val="NormalWeb"/>
        <w:spacing w:before="0" w:beforeAutospacing="0" w:after="0" w:afterAutospacing="0" w:line="276" w:lineRule="auto"/>
        <w:jc w:val="center"/>
        <w:rPr>
          <w:rFonts w:ascii="Arial" w:hAnsi="Arial" w:cs="Arial"/>
          <w:color w:val="000000"/>
          <w:sz w:val="22"/>
          <w:szCs w:val="22"/>
        </w:rPr>
      </w:pPr>
      <w:bookmarkStart w:id="161" w:name="ver_30180321"/>
      <w:bookmarkEnd w:id="161"/>
      <w:r w:rsidRPr="000F77BA">
        <w:rPr>
          <w:rFonts w:ascii="Arial" w:hAnsi="Arial" w:cs="Arial"/>
          <w:color w:val="000000"/>
          <w:sz w:val="22"/>
          <w:szCs w:val="22"/>
        </w:rPr>
        <w:t>Publíquese y cúmplase.</w:t>
      </w:r>
    </w:p>
    <w:p w14:paraId="44D0BBBA" w14:textId="3219363A" w:rsidR="00D808F4" w:rsidRPr="000F77BA" w:rsidRDefault="00D808F4" w:rsidP="005316EA">
      <w:pPr>
        <w:pStyle w:val="NormalWeb"/>
        <w:spacing w:before="0" w:beforeAutospacing="0" w:after="0" w:afterAutospacing="0" w:line="276" w:lineRule="auto"/>
        <w:jc w:val="center"/>
        <w:rPr>
          <w:rFonts w:ascii="Arial" w:hAnsi="Arial" w:cs="Arial"/>
          <w:color w:val="000000"/>
          <w:sz w:val="22"/>
          <w:szCs w:val="22"/>
        </w:rPr>
      </w:pPr>
      <w:r w:rsidRPr="000F77BA">
        <w:rPr>
          <w:rFonts w:ascii="Arial" w:hAnsi="Arial" w:cs="Arial"/>
          <w:color w:val="000000"/>
          <w:sz w:val="22"/>
          <w:szCs w:val="22"/>
        </w:rPr>
        <w:t>Dado en Bogotá, D. C., a 28 de diciembre de 2018.</w:t>
      </w:r>
    </w:p>
    <w:p w14:paraId="16BE9C20" w14:textId="0C421701" w:rsidR="00D808F4" w:rsidRPr="000F77BA" w:rsidRDefault="00D808F4" w:rsidP="005316EA">
      <w:pPr>
        <w:pStyle w:val="NormalWeb"/>
        <w:spacing w:before="0" w:beforeAutospacing="0" w:after="0" w:afterAutospacing="0" w:line="276" w:lineRule="auto"/>
        <w:ind w:left="708" w:hanging="708"/>
        <w:jc w:val="center"/>
        <w:rPr>
          <w:rFonts w:ascii="Arial" w:hAnsi="Arial" w:cs="Arial"/>
          <w:color w:val="000000"/>
          <w:sz w:val="22"/>
          <w:szCs w:val="22"/>
        </w:rPr>
      </w:pPr>
      <w:r w:rsidRPr="000F77BA">
        <w:rPr>
          <w:rFonts w:ascii="Arial" w:hAnsi="Arial" w:cs="Arial"/>
          <w:color w:val="000000"/>
          <w:sz w:val="22"/>
          <w:szCs w:val="22"/>
        </w:rPr>
        <w:t>IVÁN DUQUE MÁRQUEZ</w:t>
      </w:r>
    </w:p>
    <w:p w14:paraId="29782B07" w14:textId="5E794339" w:rsidR="00D808F4" w:rsidRPr="000F77BA" w:rsidRDefault="00D808F4" w:rsidP="005316EA">
      <w:pPr>
        <w:pStyle w:val="NormalWeb"/>
        <w:spacing w:before="0" w:beforeAutospacing="0" w:after="0" w:afterAutospacing="0" w:line="276" w:lineRule="auto"/>
        <w:jc w:val="center"/>
        <w:rPr>
          <w:rFonts w:ascii="Arial" w:hAnsi="Arial" w:cs="Arial"/>
          <w:color w:val="000000"/>
          <w:sz w:val="22"/>
          <w:szCs w:val="22"/>
        </w:rPr>
      </w:pPr>
      <w:r w:rsidRPr="000F77BA">
        <w:rPr>
          <w:rFonts w:ascii="Arial" w:hAnsi="Arial" w:cs="Arial"/>
          <w:color w:val="000000"/>
          <w:sz w:val="22"/>
          <w:szCs w:val="22"/>
        </w:rPr>
        <w:t xml:space="preserve">El </w:t>
      </w:r>
      <w:proofErr w:type="gramStart"/>
      <w:r w:rsidRPr="000F77BA">
        <w:rPr>
          <w:rFonts w:ascii="Arial" w:hAnsi="Arial" w:cs="Arial"/>
          <w:color w:val="000000"/>
          <w:sz w:val="22"/>
          <w:szCs w:val="22"/>
        </w:rPr>
        <w:t>Ministro</w:t>
      </w:r>
      <w:proofErr w:type="gramEnd"/>
      <w:r w:rsidRPr="000F77BA">
        <w:rPr>
          <w:rFonts w:ascii="Arial" w:hAnsi="Arial" w:cs="Arial"/>
          <w:color w:val="000000"/>
          <w:sz w:val="22"/>
          <w:szCs w:val="22"/>
        </w:rPr>
        <w:t xml:space="preserve"> de Hacienda y Crédito Público,</w:t>
      </w:r>
    </w:p>
    <w:p w14:paraId="02177640" w14:textId="6D14D4F2" w:rsidR="00D808F4" w:rsidRPr="000F77BA" w:rsidRDefault="00D808F4" w:rsidP="005316EA">
      <w:pPr>
        <w:pStyle w:val="NormalWeb"/>
        <w:spacing w:before="0" w:beforeAutospacing="0" w:after="0" w:afterAutospacing="0" w:line="276" w:lineRule="auto"/>
        <w:jc w:val="center"/>
        <w:rPr>
          <w:rFonts w:ascii="Arial" w:hAnsi="Arial" w:cs="Arial"/>
          <w:color w:val="000000"/>
          <w:sz w:val="22"/>
          <w:szCs w:val="22"/>
        </w:rPr>
      </w:pPr>
      <w:r w:rsidRPr="000F77BA">
        <w:rPr>
          <w:rStyle w:val="nfasis"/>
          <w:rFonts w:ascii="Arial" w:hAnsi="Arial" w:cs="Arial"/>
          <w:i w:val="0"/>
          <w:iCs w:val="0"/>
          <w:color w:val="000000"/>
          <w:sz w:val="22"/>
          <w:szCs w:val="22"/>
        </w:rPr>
        <w:t>Alberto Carrasquilla Barrera.</w:t>
      </w:r>
    </w:p>
    <w:p w14:paraId="69F9493D" w14:textId="77777777" w:rsidR="00D808F4" w:rsidRPr="000F77BA" w:rsidRDefault="00D808F4" w:rsidP="005316EA">
      <w:pPr>
        <w:spacing w:after="0" w:line="276" w:lineRule="auto"/>
        <w:jc w:val="center"/>
        <w:rPr>
          <w:rFonts w:ascii="Arial" w:eastAsia="Times New Roman" w:hAnsi="Arial" w:cs="Arial"/>
          <w:color w:val="000000"/>
          <w:lang w:eastAsia="es-CO"/>
        </w:rPr>
      </w:pPr>
    </w:p>
    <w:p w14:paraId="4685159E" w14:textId="77777777" w:rsidR="00A76441" w:rsidRPr="009A0E79" w:rsidRDefault="00A76441" w:rsidP="00D808F4">
      <w:pPr>
        <w:spacing w:after="0" w:line="240" w:lineRule="auto"/>
        <w:jc w:val="both"/>
        <w:rPr>
          <w:rFonts w:ascii="Arial" w:hAnsi="Arial" w:cs="Arial"/>
        </w:rPr>
      </w:pPr>
    </w:p>
    <w:sectPr w:rsidR="00A76441" w:rsidRPr="009A0E79"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D07F6"/>
    <w:multiLevelType w:val="hybridMultilevel"/>
    <w:tmpl w:val="5468AD1A"/>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A5037E8"/>
    <w:multiLevelType w:val="hybridMultilevel"/>
    <w:tmpl w:val="C794F1FA"/>
    <w:lvl w:ilvl="0" w:tplc="DBB8C5E8">
      <w:start w:val="1"/>
      <w:numFmt w:val="upperLetter"/>
      <w:lvlText w:val="%1."/>
      <w:lvlJc w:val="left"/>
      <w:pPr>
        <w:ind w:left="1120" w:hanging="360"/>
      </w:pPr>
      <w:rPr>
        <w:rFonts w:hint="default"/>
      </w:rPr>
    </w:lvl>
    <w:lvl w:ilvl="1" w:tplc="240A0019" w:tentative="1">
      <w:start w:val="1"/>
      <w:numFmt w:val="lowerLetter"/>
      <w:lvlText w:val="%2."/>
      <w:lvlJc w:val="left"/>
      <w:pPr>
        <w:ind w:left="1840" w:hanging="360"/>
      </w:pPr>
    </w:lvl>
    <w:lvl w:ilvl="2" w:tplc="240A001B" w:tentative="1">
      <w:start w:val="1"/>
      <w:numFmt w:val="lowerRoman"/>
      <w:lvlText w:val="%3."/>
      <w:lvlJc w:val="right"/>
      <w:pPr>
        <w:ind w:left="2560" w:hanging="180"/>
      </w:pPr>
    </w:lvl>
    <w:lvl w:ilvl="3" w:tplc="240A000F" w:tentative="1">
      <w:start w:val="1"/>
      <w:numFmt w:val="decimal"/>
      <w:lvlText w:val="%4."/>
      <w:lvlJc w:val="left"/>
      <w:pPr>
        <w:ind w:left="3280" w:hanging="360"/>
      </w:pPr>
    </w:lvl>
    <w:lvl w:ilvl="4" w:tplc="240A0019" w:tentative="1">
      <w:start w:val="1"/>
      <w:numFmt w:val="lowerLetter"/>
      <w:lvlText w:val="%5."/>
      <w:lvlJc w:val="left"/>
      <w:pPr>
        <w:ind w:left="4000" w:hanging="360"/>
      </w:pPr>
    </w:lvl>
    <w:lvl w:ilvl="5" w:tplc="240A001B" w:tentative="1">
      <w:start w:val="1"/>
      <w:numFmt w:val="lowerRoman"/>
      <w:lvlText w:val="%6."/>
      <w:lvlJc w:val="right"/>
      <w:pPr>
        <w:ind w:left="4720" w:hanging="180"/>
      </w:pPr>
    </w:lvl>
    <w:lvl w:ilvl="6" w:tplc="240A000F" w:tentative="1">
      <w:start w:val="1"/>
      <w:numFmt w:val="decimal"/>
      <w:lvlText w:val="%7."/>
      <w:lvlJc w:val="left"/>
      <w:pPr>
        <w:ind w:left="5440" w:hanging="360"/>
      </w:pPr>
    </w:lvl>
    <w:lvl w:ilvl="7" w:tplc="240A0019" w:tentative="1">
      <w:start w:val="1"/>
      <w:numFmt w:val="lowerLetter"/>
      <w:lvlText w:val="%8."/>
      <w:lvlJc w:val="left"/>
      <w:pPr>
        <w:ind w:left="6160" w:hanging="360"/>
      </w:pPr>
    </w:lvl>
    <w:lvl w:ilvl="8" w:tplc="240A001B" w:tentative="1">
      <w:start w:val="1"/>
      <w:numFmt w:val="lowerRoman"/>
      <w:lvlText w:val="%9."/>
      <w:lvlJc w:val="right"/>
      <w:pPr>
        <w:ind w:left="6880" w:hanging="180"/>
      </w:pPr>
    </w:lvl>
  </w:abstractNum>
  <w:num w:numId="1" w16cid:durableId="1985045886">
    <w:abstractNumId w:val="1"/>
  </w:num>
  <w:num w:numId="2" w16cid:durableId="10445245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1124"/>
    <w:rsid w:val="000F77BA"/>
    <w:rsid w:val="00142D6B"/>
    <w:rsid w:val="0014378D"/>
    <w:rsid w:val="002118E6"/>
    <w:rsid w:val="00263E5B"/>
    <w:rsid w:val="00272ADC"/>
    <w:rsid w:val="00272DCD"/>
    <w:rsid w:val="00287789"/>
    <w:rsid w:val="002E61C6"/>
    <w:rsid w:val="003541E9"/>
    <w:rsid w:val="00364A78"/>
    <w:rsid w:val="003F5DD8"/>
    <w:rsid w:val="004E5876"/>
    <w:rsid w:val="0051571A"/>
    <w:rsid w:val="005316EA"/>
    <w:rsid w:val="00711124"/>
    <w:rsid w:val="007C27DF"/>
    <w:rsid w:val="007F1A19"/>
    <w:rsid w:val="008077BA"/>
    <w:rsid w:val="0085553F"/>
    <w:rsid w:val="008F127A"/>
    <w:rsid w:val="00907247"/>
    <w:rsid w:val="0099669D"/>
    <w:rsid w:val="009A0E79"/>
    <w:rsid w:val="009A633E"/>
    <w:rsid w:val="009B5265"/>
    <w:rsid w:val="00A76441"/>
    <w:rsid w:val="00A82EEF"/>
    <w:rsid w:val="00C232B2"/>
    <w:rsid w:val="00D450D9"/>
    <w:rsid w:val="00D57931"/>
    <w:rsid w:val="00D808F4"/>
    <w:rsid w:val="00DF1A90"/>
    <w:rsid w:val="00E7431B"/>
    <w:rsid w:val="00EB7B7B"/>
    <w:rsid w:val="00FC2CCF"/>
    <w:rsid w:val="00FE798F"/>
    <w:rsid w:val="12B98272"/>
    <w:rsid w:val="755FE94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A3382"/>
  <w15:chartTrackingRefBased/>
  <w15:docId w15:val="{386B1839-B724-4ED8-ABAA-C10B6582F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11124"/>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711124"/>
  </w:style>
  <w:style w:type="character" w:styleId="Hipervnculo">
    <w:name w:val="Hyperlink"/>
    <w:basedOn w:val="Fuentedeprrafopredeter"/>
    <w:uiPriority w:val="99"/>
    <w:semiHidden/>
    <w:unhideWhenUsed/>
    <w:rsid w:val="00711124"/>
    <w:rPr>
      <w:color w:val="0000FF"/>
      <w:u w:val="single"/>
    </w:rPr>
  </w:style>
  <w:style w:type="character" w:styleId="Textoennegrita">
    <w:name w:val="Strong"/>
    <w:basedOn w:val="Fuentedeprrafopredeter"/>
    <w:uiPriority w:val="22"/>
    <w:qFormat/>
    <w:rsid w:val="00711124"/>
    <w:rPr>
      <w:b/>
      <w:bCs/>
    </w:rPr>
  </w:style>
  <w:style w:type="paragraph" w:customStyle="1" w:styleId="parrafo-division">
    <w:name w:val="parrafo-division"/>
    <w:basedOn w:val="Normal"/>
    <w:rsid w:val="00711124"/>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D808F4"/>
    <w:rPr>
      <w:i/>
      <w:iCs/>
    </w:rPr>
  </w:style>
  <w:style w:type="paragraph" w:customStyle="1" w:styleId="xmsonormal">
    <w:name w:val="x_msonormal"/>
    <w:basedOn w:val="Normal"/>
    <w:rsid w:val="00907247"/>
    <w:pPr>
      <w:spacing w:after="0" w:line="240" w:lineRule="auto"/>
    </w:pPr>
    <w:rPr>
      <w:rFonts w:ascii="Calibri" w:hAnsi="Calibri" w:cs="Times New Roman"/>
      <w:lang w:eastAsia="es-CO"/>
    </w:rPr>
  </w:style>
  <w:style w:type="character" w:customStyle="1" w:styleId="normaltextrun">
    <w:name w:val="normaltextrun"/>
    <w:basedOn w:val="Fuentedeprrafopredeter"/>
    <w:rsid w:val="00907247"/>
  </w:style>
  <w:style w:type="character" w:customStyle="1" w:styleId="eop">
    <w:name w:val="eop"/>
    <w:basedOn w:val="Fuentedeprrafopredeter"/>
    <w:rsid w:val="00907247"/>
  </w:style>
  <w:style w:type="paragraph" w:styleId="Prrafodelista">
    <w:name w:val="List Paragraph"/>
    <w:basedOn w:val="Normal"/>
    <w:uiPriority w:val="34"/>
    <w:qFormat/>
    <w:rsid w:val="005157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224218">
      <w:bodyDiv w:val="1"/>
      <w:marLeft w:val="0"/>
      <w:marRight w:val="0"/>
      <w:marTop w:val="0"/>
      <w:marBottom w:val="0"/>
      <w:divBdr>
        <w:top w:val="none" w:sz="0" w:space="0" w:color="auto"/>
        <w:left w:val="none" w:sz="0" w:space="0" w:color="auto"/>
        <w:bottom w:val="none" w:sz="0" w:space="0" w:color="auto"/>
        <w:right w:val="none" w:sz="0" w:space="0" w:color="auto"/>
      </w:divBdr>
    </w:div>
    <w:div w:id="384376742">
      <w:bodyDiv w:val="1"/>
      <w:marLeft w:val="0"/>
      <w:marRight w:val="0"/>
      <w:marTop w:val="0"/>
      <w:marBottom w:val="0"/>
      <w:divBdr>
        <w:top w:val="none" w:sz="0" w:space="0" w:color="auto"/>
        <w:left w:val="none" w:sz="0" w:space="0" w:color="auto"/>
        <w:bottom w:val="none" w:sz="0" w:space="0" w:color="auto"/>
        <w:right w:val="none" w:sz="0" w:space="0" w:color="auto"/>
      </w:divBdr>
      <w:divsChild>
        <w:div w:id="416487104">
          <w:marLeft w:val="0"/>
          <w:marRight w:val="0"/>
          <w:marTop w:val="0"/>
          <w:marBottom w:val="0"/>
          <w:divBdr>
            <w:top w:val="none" w:sz="0" w:space="0" w:color="auto"/>
            <w:left w:val="none" w:sz="0" w:space="0" w:color="auto"/>
            <w:bottom w:val="none" w:sz="0" w:space="0" w:color="auto"/>
            <w:right w:val="none" w:sz="0" w:space="0" w:color="auto"/>
          </w:divBdr>
        </w:div>
        <w:div w:id="1279411587">
          <w:marLeft w:val="0"/>
          <w:marRight w:val="0"/>
          <w:marTop w:val="0"/>
          <w:marBottom w:val="150"/>
          <w:divBdr>
            <w:top w:val="none" w:sz="0" w:space="0" w:color="auto"/>
            <w:left w:val="none" w:sz="0" w:space="0" w:color="auto"/>
            <w:bottom w:val="none" w:sz="0" w:space="0" w:color="auto"/>
            <w:right w:val="none" w:sz="0" w:space="0" w:color="auto"/>
          </w:divBdr>
        </w:div>
        <w:div w:id="1062023568">
          <w:marLeft w:val="0"/>
          <w:marRight w:val="0"/>
          <w:marTop w:val="0"/>
          <w:marBottom w:val="150"/>
          <w:divBdr>
            <w:top w:val="none" w:sz="0" w:space="0" w:color="auto"/>
            <w:left w:val="none" w:sz="0" w:space="0" w:color="auto"/>
            <w:bottom w:val="none" w:sz="0" w:space="0" w:color="auto"/>
            <w:right w:val="none" w:sz="0" w:space="0" w:color="auto"/>
          </w:divBdr>
        </w:div>
        <w:div w:id="323244462">
          <w:marLeft w:val="0"/>
          <w:marRight w:val="0"/>
          <w:marTop w:val="0"/>
          <w:marBottom w:val="0"/>
          <w:divBdr>
            <w:top w:val="none" w:sz="0" w:space="0" w:color="auto"/>
            <w:left w:val="none" w:sz="0" w:space="0" w:color="auto"/>
            <w:bottom w:val="none" w:sz="0" w:space="0" w:color="auto"/>
            <w:right w:val="none" w:sz="0" w:space="0" w:color="auto"/>
          </w:divBdr>
          <w:divsChild>
            <w:div w:id="110730766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490561324">
      <w:bodyDiv w:val="1"/>
      <w:marLeft w:val="0"/>
      <w:marRight w:val="0"/>
      <w:marTop w:val="0"/>
      <w:marBottom w:val="0"/>
      <w:divBdr>
        <w:top w:val="none" w:sz="0" w:space="0" w:color="auto"/>
        <w:left w:val="none" w:sz="0" w:space="0" w:color="auto"/>
        <w:bottom w:val="none" w:sz="0" w:space="0" w:color="auto"/>
        <w:right w:val="none" w:sz="0" w:space="0" w:color="auto"/>
      </w:divBdr>
      <w:divsChild>
        <w:div w:id="194126698">
          <w:marLeft w:val="0"/>
          <w:marRight w:val="0"/>
          <w:marTop w:val="300"/>
          <w:marBottom w:val="300"/>
          <w:divBdr>
            <w:top w:val="none" w:sz="0" w:space="0" w:color="auto"/>
            <w:left w:val="none" w:sz="0" w:space="0" w:color="auto"/>
            <w:bottom w:val="none" w:sz="0" w:space="0" w:color="auto"/>
            <w:right w:val="none" w:sz="0" w:space="0" w:color="auto"/>
          </w:divBdr>
        </w:div>
        <w:div w:id="379940075">
          <w:marLeft w:val="0"/>
          <w:marRight w:val="0"/>
          <w:marTop w:val="0"/>
          <w:marBottom w:val="0"/>
          <w:divBdr>
            <w:top w:val="none" w:sz="0" w:space="0" w:color="auto"/>
            <w:left w:val="none" w:sz="0" w:space="0" w:color="auto"/>
            <w:bottom w:val="none" w:sz="0" w:space="0" w:color="auto"/>
            <w:right w:val="none" w:sz="0" w:space="0" w:color="auto"/>
          </w:divBdr>
          <w:divsChild>
            <w:div w:id="1020593139">
              <w:marLeft w:val="0"/>
              <w:marRight w:val="0"/>
              <w:marTop w:val="0"/>
              <w:marBottom w:val="0"/>
              <w:divBdr>
                <w:top w:val="none" w:sz="0" w:space="0" w:color="auto"/>
                <w:left w:val="none" w:sz="0" w:space="0" w:color="auto"/>
                <w:bottom w:val="none" w:sz="0" w:space="0" w:color="auto"/>
                <w:right w:val="none" w:sz="0" w:space="0" w:color="auto"/>
              </w:divBdr>
            </w:div>
          </w:divsChild>
        </w:div>
        <w:div w:id="1898541936">
          <w:marLeft w:val="0"/>
          <w:marRight w:val="0"/>
          <w:marTop w:val="0"/>
          <w:marBottom w:val="0"/>
          <w:divBdr>
            <w:top w:val="none" w:sz="0" w:space="0" w:color="auto"/>
            <w:left w:val="none" w:sz="0" w:space="0" w:color="auto"/>
            <w:bottom w:val="none" w:sz="0" w:space="0" w:color="auto"/>
            <w:right w:val="none" w:sz="0" w:space="0" w:color="auto"/>
          </w:divBdr>
          <w:divsChild>
            <w:div w:id="656767621">
              <w:marLeft w:val="0"/>
              <w:marRight w:val="0"/>
              <w:marTop w:val="0"/>
              <w:marBottom w:val="0"/>
              <w:divBdr>
                <w:top w:val="none" w:sz="0" w:space="0" w:color="auto"/>
                <w:left w:val="none" w:sz="0" w:space="0" w:color="auto"/>
                <w:bottom w:val="none" w:sz="0" w:space="0" w:color="auto"/>
                <w:right w:val="none" w:sz="0" w:space="0" w:color="auto"/>
              </w:divBdr>
            </w:div>
          </w:divsChild>
        </w:div>
        <w:div w:id="1014379549">
          <w:marLeft w:val="0"/>
          <w:marRight w:val="0"/>
          <w:marTop w:val="0"/>
          <w:marBottom w:val="0"/>
          <w:divBdr>
            <w:top w:val="none" w:sz="0" w:space="0" w:color="auto"/>
            <w:left w:val="none" w:sz="0" w:space="0" w:color="auto"/>
            <w:bottom w:val="none" w:sz="0" w:space="0" w:color="auto"/>
            <w:right w:val="none" w:sz="0" w:space="0" w:color="auto"/>
          </w:divBdr>
          <w:divsChild>
            <w:div w:id="1153764748">
              <w:marLeft w:val="0"/>
              <w:marRight w:val="0"/>
              <w:marTop w:val="0"/>
              <w:marBottom w:val="0"/>
              <w:divBdr>
                <w:top w:val="none" w:sz="0" w:space="0" w:color="auto"/>
                <w:left w:val="none" w:sz="0" w:space="0" w:color="auto"/>
                <w:bottom w:val="none" w:sz="0" w:space="0" w:color="auto"/>
                <w:right w:val="none" w:sz="0" w:space="0" w:color="auto"/>
              </w:divBdr>
            </w:div>
          </w:divsChild>
        </w:div>
        <w:div w:id="261691829">
          <w:marLeft w:val="0"/>
          <w:marRight w:val="0"/>
          <w:marTop w:val="0"/>
          <w:marBottom w:val="0"/>
          <w:divBdr>
            <w:top w:val="none" w:sz="0" w:space="0" w:color="auto"/>
            <w:left w:val="none" w:sz="0" w:space="0" w:color="auto"/>
            <w:bottom w:val="none" w:sz="0" w:space="0" w:color="auto"/>
            <w:right w:val="none" w:sz="0" w:space="0" w:color="auto"/>
          </w:divBdr>
          <w:divsChild>
            <w:div w:id="1311903615">
              <w:marLeft w:val="0"/>
              <w:marRight w:val="0"/>
              <w:marTop w:val="0"/>
              <w:marBottom w:val="0"/>
              <w:divBdr>
                <w:top w:val="none" w:sz="0" w:space="0" w:color="auto"/>
                <w:left w:val="none" w:sz="0" w:space="0" w:color="auto"/>
                <w:bottom w:val="none" w:sz="0" w:space="0" w:color="auto"/>
                <w:right w:val="none" w:sz="0" w:space="0" w:color="auto"/>
              </w:divBdr>
            </w:div>
          </w:divsChild>
        </w:div>
        <w:div w:id="1641571290">
          <w:marLeft w:val="0"/>
          <w:marRight w:val="0"/>
          <w:marTop w:val="0"/>
          <w:marBottom w:val="0"/>
          <w:divBdr>
            <w:top w:val="none" w:sz="0" w:space="0" w:color="auto"/>
            <w:left w:val="none" w:sz="0" w:space="0" w:color="auto"/>
            <w:bottom w:val="none" w:sz="0" w:space="0" w:color="auto"/>
            <w:right w:val="none" w:sz="0" w:space="0" w:color="auto"/>
          </w:divBdr>
          <w:divsChild>
            <w:div w:id="1428233090">
              <w:marLeft w:val="0"/>
              <w:marRight w:val="0"/>
              <w:marTop w:val="0"/>
              <w:marBottom w:val="0"/>
              <w:divBdr>
                <w:top w:val="none" w:sz="0" w:space="0" w:color="auto"/>
                <w:left w:val="none" w:sz="0" w:space="0" w:color="auto"/>
                <w:bottom w:val="none" w:sz="0" w:space="0" w:color="auto"/>
                <w:right w:val="none" w:sz="0" w:space="0" w:color="auto"/>
              </w:divBdr>
            </w:div>
          </w:divsChild>
        </w:div>
        <w:div w:id="2041928984">
          <w:marLeft w:val="0"/>
          <w:marRight w:val="0"/>
          <w:marTop w:val="0"/>
          <w:marBottom w:val="0"/>
          <w:divBdr>
            <w:top w:val="none" w:sz="0" w:space="0" w:color="auto"/>
            <w:left w:val="none" w:sz="0" w:space="0" w:color="auto"/>
            <w:bottom w:val="none" w:sz="0" w:space="0" w:color="auto"/>
            <w:right w:val="none" w:sz="0" w:space="0" w:color="auto"/>
          </w:divBdr>
          <w:divsChild>
            <w:div w:id="1251616637">
              <w:marLeft w:val="0"/>
              <w:marRight w:val="0"/>
              <w:marTop w:val="0"/>
              <w:marBottom w:val="0"/>
              <w:divBdr>
                <w:top w:val="none" w:sz="0" w:space="0" w:color="auto"/>
                <w:left w:val="none" w:sz="0" w:space="0" w:color="auto"/>
                <w:bottom w:val="none" w:sz="0" w:space="0" w:color="auto"/>
                <w:right w:val="none" w:sz="0" w:space="0" w:color="auto"/>
              </w:divBdr>
            </w:div>
          </w:divsChild>
        </w:div>
        <w:div w:id="164710615">
          <w:marLeft w:val="0"/>
          <w:marRight w:val="0"/>
          <w:marTop w:val="0"/>
          <w:marBottom w:val="0"/>
          <w:divBdr>
            <w:top w:val="none" w:sz="0" w:space="0" w:color="auto"/>
            <w:left w:val="none" w:sz="0" w:space="0" w:color="auto"/>
            <w:bottom w:val="none" w:sz="0" w:space="0" w:color="auto"/>
            <w:right w:val="none" w:sz="0" w:space="0" w:color="auto"/>
          </w:divBdr>
          <w:divsChild>
            <w:div w:id="1965185898">
              <w:marLeft w:val="0"/>
              <w:marRight w:val="0"/>
              <w:marTop w:val="0"/>
              <w:marBottom w:val="0"/>
              <w:divBdr>
                <w:top w:val="none" w:sz="0" w:space="0" w:color="auto"/>
                <w:left w:val="none" w:sz="0" w:space="0" w:color="auto"/>
                <w:bottom w:val="none" w:sz="0" w:space="0" w:color="auto"/>
                <w:right w:val="none" w:sz="0" w:space="0" w:color="auto"/>
              </w:divBdr>
            </w:div>
          </w:divsChild>
        </w:div>
        <w:div w:id="1826579229">
          <w:marLeft w:val="0"/>
          <w:marRight w:val="0"/>
          <w:marTop w:val="0"/>
          <w:marBottom w:val="0"/>
          <w:divBdr>
            <w:top w:val="none" w:sz="0" w:space="0" w:color="auto"/>
            <w:left w:val="none" w:sz="0" w:space="0" w:color="auto"/>
            <w:bottom w:val="none" w:sz="0" w:space="0" w:color="auto"/>
            <w:right w:val="none" w:sz="0" w:space="0" w:color="auto"/>
          </w:divBdr>
          <w:divsChild>
            <w:div w:id="1894341137">
              <w:marLeft w:val="0"/>
              <w:marRight w:val="0"/>
              <w:marTop w:val="0"/>
              <w:marBottom w:val="0"/>
              <w:divBdr>
                <w:top w:val="none" w:sz="0" w:space="0" w:color="auto"/>
                <w:left w:val="none" w:sz="0" w:space="0" w:color="auto"/>
                <w:bottom w:val="none" w:sz="0" w:space="0" w:color="auto"/>
                <w:right w:val="none" w:sz="0" w:space="0" w:color="auto"/>
              </w:divBdr>
            </w:div>
          </w:divsChild>
        </w:div>
        <w:div w:id="1718627469">
          <w:marLeft w:val="0"/>
          <w:marRight w:val="0"/>
          <w:marTop w:val="0"/>
          <w:marBottom w:val="0"/>
          <w:divBdr>
            <w:top w:val="none" w:sz="0" w:space="0" w:color="auto"/>
            <w:left w:val="none" w:sz="0" w:space="0" w:color="auto"/>
            <w:bottom w:val="none" w:sz="0" w:space="0" w:color="auto"/>
            <w:right w:val="none" w:sz="0" w:space="0" w:color="auto"/>
          </w:divBdr>
          <w:divsChild>
            <w:div w:id="1849561685">
              <w:marLeft w:val="0"/>
              <w:marRight w:val="0"/>
              <w:marTop w:val="0"/>
              <w:marBottom w:val="0"/>
              <w:divBdr>
                <w:top w:val="none" w:sz="0" w:space="0" w:color="auto"/>
                <w:left w:val="none" w:sz="0" w:space="0" w:color="auto"/>
                <w:bottom w:val="none" w:sz="0" w:space="0" w:color="auto"/>
                <w:right w:val="none" w:sz="0" w:space="0" w:color="auto"/>
              </w:divBdr>
            </w:div>
          </w:divsChild>
        </w:div>
        <w:div w:id="996231373">
          <w:marLeft w:val="0"/>
          <w:marRight w:val="0"/>
          <w:marTop w:val="0"/>
          <w:marBottom w:val="0"/>
          <w:divBdr>
            <w:top w:val="none" w:sz="0" w:space="0" w:color="auto"/>
            <w:left w:val="none" w:sz="0" w:space="0" w:color="auto"/>
            <w:bottom w:val="none" w:sz="0" w:space="0" w:color="auto"/>
            <w:right w:val="none" w:sz="0" w:space="0" w:color="auto"/>
          </w:divBdr>
          <w:divsChild>
            <w:div w:id="1052315267">
              <w:marLeft w:val="0"/>
              <w:marRight w:val="0"/>
              <w:marTop w:val="0"/>
              <w:marBottom w:val="0"/>
              <w:divBdr>
                <w:top w:val="none" w:sz="0" w:space="0" w:color="auto"/>
                <w:left w:val="none" w:sz="0" w:space="0" w:color="auto"/>
                <w:bottom w:val="none" w:sz="0" w:space="0" w:color="auto"/>
                <w:right w:val="none" w:sz="0" w:space="0" w:color="auto"/>
              </w:divBdr>
            </w:div>
          </w:divsChild>
        </w:div>
        <w:div w:id="1073355363">
          <w:marLeft w:val="0"/>
          <w:marRight w:val="0"/>
          <w:marTop w:val="0"/>
          <w:marBottom w:val="0"/>
          <w:divBdr>
            <w:top w:val="none" w:sz="0" w:space="0" w:color="auto"/>
            <w:left w:val="none" w:sz="0" w:space="0" w:color="auto"/>
            <w:bottom w:val="none" w:sz="0" w:space="0" w:color="auto"/>
            <w:right w:val="none" w:sz="0" w:space="0" w:color="auto"/>
          </w:divBdr>
          <w:divsChild>
            <w:div w:id="2077121367">
              <w:marLeft w:val="0"/>
              <w:marRight w:val="0"/>
              <w:marTop w:val="0"/>
              <w:marBottom w:val="0"/>
              <w:divBdr>
                <w:top w:val="none" w:sz="0" w:space="0" w:color="auto"/>
                <w:left w:val="none" w:sz="0" w:space="0" w:color="auto"/>
                <w:bottom w:val="none" w:sz="0" w:space="0" w:color="auto"/>
                <w:right w:val="none" w:sz="0" w:space="0" w:color="auto"/>
              </w:divBdr>
            </w:div>
          </w:divsChild>
        </w:div>
        <w:div w:id="683556823">
          <w:marLeft w:val="0"/>
          <w:marRight w:val="0"/>
          <w:marTop w:val="0"/>
          <w:marBottom w:val="0"/>
          <w:divBdr>
            <w:top w:val="none" w:sz="0" w:space="0" w:color="auto"/>
            <w:left w:val="none" w:sz="0" w:space="0" w:color="auto"/>
            <w:bottom w:val="none" w:sz="0" w:space="0" w:color="auto"/>
            <w:right w:val="none" w:sz="0" w:space="0" w:color="auto"/>
          </w:divBdr>
          <w:divsChild>
            <w:div w:id="1748501158">
              <w:marLeft w:val="0"/>
              <w:marRight w:val="0"/>
              <w:marTop w:val="0"/>
              <w:marBottom w:val="0"/>
              <w:divBdr>
                <w:top w:val="none" w:sz="0" w:space="0" w:color="auto"/>
                <w:left w:val="none" w:sz="0" w:space="0" w:color="auto"/>
                <w:bottom w:val="none" w:sz="0" w:space="0" w:color="auto"/>
                <w:right w:val="none" w:sz="0" w:space="0" w:color="auto"/>
              </w:divBdr>
            </w:div>
          </w:divsChild>
        </w:div>
        <w:div w:id="2110619598">
          <w:marLeft w:val="0"/>
          <w:marRight w:val="0"/>
          <w:marTop w:val="0"/>
          <w:marBottom w:val="0"/>
          <w:divBdr>
            <w:top w:val="none" w:sz="0" w:space="0" w:color="auto"/>
            <w:left w:val="none" w:sz="0" w:space="0" w:color="auto"/>
            <w:bottom w:val="none" w:sz="0" w:space="0" w:color="auto"/>
            <w:right w:val="none" w:sz="0" w:space="0" w:color="auto"/>
          </w:divBdr>
          <w:divsChild>
            <w:div w:id="742918611">
              <w:marLeft w:val="0"/>
              <w:marRight w:val="0"/>
              <w:marTop w:val="0"/>
              <w:marBottom w:val="0"/>
              <w:divBdr>
                <w:top w:val="none" w:sz="0" w:space="0" w:color="auto"/>
                <w:left w:val="none" w:sz="0" w:space="0" w:color="auto"/>
                <w:bottom w:val="none" w:sz="0" w:space="0" w:color="auto"/>
                <w:right w:val="none" w:sz="0" w:space="0" w:color="auto"/>
              </w:divBdr>
            </w:div>
          </w:divsChild>
        </w:div>
        <w:div w:id="1477529923">
          <w:marLeft w:val="0"/>
          <w:marRight w:val="0"/>
          <w:marTop w:val="0"/>
          <w:marBottom w:val="0"/>
          <w:divBdr>
            <w:top w:val="none" w:sz="0" w:space="0" w:color="auto"/>
            <w:left w:val="none" w:sz="0" w:space="0" w:color="auto"/>
            <w:bottom w:val="none" w:sz="0" w:space="0" w:color="auto"/>
            <w:right w:val="none" w:sz="0" w:space="0" w:color="auto"/>
          </w:divBdr>
          <w:divsChild>
            <w:div w:id="1073895252">
              <w:marLeft w:val="0"/>
              <w:marRight w:val="0"/>
              <w:marTop w:val="0"/>
              <w:marBottom w:val="0"/>
              <w:divBdr>
                <w:top w:val="none" w:sz="0" w:space="0" w:color="auto"/>
                <w:left w:val="none" w:sz="0" w:space="0" w:color="auto"/>
                <w:bottom w:val="none" w:sz="0" w:space="0" w:color="auto"/>
                <w:right w:val="none" w:sz="0" w:space="0" w:color="auto"/>
              </w:divBdr>
            </w:div>
          </w:divsChild>
        </w:div>
        <w:div w:id="635912992">
          <w:marLeft w:val="0"/>
          <w:marRight w:val="0"/>
          <w:marTop w:val="0"/>
          <w:marBottom w:val="0"/>
          <w:divBdr>
            <w:top w:val="none" w:sz="0" w:space="0" w:color="auto"/>
            <w:left w:val="none" w:sz="0" w:space="0" w:color="auto"/>
            <w:bottom w:val="none" w:sz="0" w:space="0" w:color="auto"/>
            <w:right w:val="none" w:sz="0" w:space="0" w:color="auto"/>
          </w:divBdr>
          <w:divsChild>
            <w:div w:id="570122461">
              <w:marLeft w:val="0"/>
              <w:marRight w:val="0"/>
              <w:marTop w:val="0"/>
              <w:marBottom w:val="0"/>
              <w:divBdr>
                <w:top w:val="none" w:sz="0" w:space="0" w:color="auto"/>
                <w:left w:val="none" w:sz="0" w:space="0" w:color="auto"/>
                <w:bottom w:val="none" w:sz="0" w:space="0" w:color="auto"/>
                <w:right w:val="none" w:sz="0" w:space="0" w:color="auto"/>
              </w:divBdr>
            </w:div>
          </w:divsChild>
        </w:div>
        <w:div w:id="1143543795">
          <w:marLeft w:val="0"/>
          <w:marRight w:val="0"/>
          <w:marTop w:val="0"/>
          <w:marBottom w:val="0"/>
          <w:divBdr>
            <w:top w:val="none" w:sz="0" w:space="0" w:color="auto"/>
            <w:left w:val="none" w:sz="0" w:space="0" w:color="auto"/>
            <w:bottom w:val="none" w:sz="0" w:space="0" w:color="auto"/>
            <w:right w:val="none" w:sz="0" w:space="0" w:color="auto"/>
          </w:divBdr>
          <w:divsChild>
            <w:div w:id="924798569">
              <w:marLeft w:val="0"/>
              <w:marRight w:val="0"/>
              <w:marTop w:val="0"/>
              <w:marBottom w:val="0"/>
              <w:divBdr>
                <w:top w:val="none" w:sz="0" w:space="0" w:color="auto"/>
                <w:left w:val="none" w:sz="0" w:space="0" w:color="auto"/>
                <w:bottom w:val="none" w:sz="0" w:space="0" w:color="auto"/>
                <w:right w:val="none" w:sz="0" w:space="0" w:color="auto"/>
              </w:divBdr>
            </w:div>
          </w:divsChild>
        </w:div>
        <w:div w:id="654990016">
          <w:marLeft w:val="0"/>
          <w:marRight w:val="0"/>
          <w:marTop w:val="0"/>
          <w:marBottom w:val="0"/>
          <w:divBdr>
            <w:top w:val="none" w:sz="0" w:space="0" w:color="auto"/>
            <w:left w:val="none" w:sz="0" w:space="0" w:color="auto"/>
            <w:bottom w:val="none" w:sz="0" w:space="0" w:color="auto"/>
            <w:right w:val="none" w:sz="0" w:space="0" w:color="auto"/>
          </w:divBdr>
          <w:divsChild>
            <w:div w:id="1128010561">
              <w:marLeft w:val="0"/>
              <w:marRight w:val="0"/>
              <w:marTop w:val="0"/>
              <w:marBottom w:val="0"/>
              <w:divBdr>
                <w:top w:val="none" w:sz="0" w:space="0" w:color="auto"/>
                <w:left w:val="none" w:sz="0" w:space="0" w:color="auto"/>
                <w:bottom w:val="none" w:sz="0" w:space="0" w:color="auto"/>
                <w:right w:val="none" w:sz="0" w:space="0" w:color="auto"/>
              </w:divBdr>
            </w:div>
          </w:divsChild>
        </w:div>
        <w:div w:id="905608984">
          <w:marLeft w:val="0"/>
          <w:marRight w:val="0"/>
          <w:marTop w:val="0"/>
          <w:marBottom w:val="0"/>
          <w:divBdr>
            <w:top w:val="none" w:sz="0" w:space="0" w:color="auto"/>
            <w:left w:val="none" w:sz="0" w:space="0" w:color="auto"/>
            <w:bottom w:val="none" w:sz="0" w:space="0" w:color="auto"/>
            <w:right w:val="none" w:sz="0" w:space="0" w:color="auto"/>
          </w:divBdr>
          <w:divsChild>
            <w:div w:id="453450505">
              <w:marLeft w:val="0"/>
              <w:marRight w:val="0"/>
              <w:marTop w:val="0"/>
              <w:marBottom w:val="0"/>
              <w:divBdr>
                <w:top w:val="none" w:sz="0" w:space="0" w:color="auto"/>
                <w:left w:val="none" w:sz="0" w:space="0" w:color="auto"/>
                <w:bottom w:val="none" w:sz="0" w:space="0" w:color="auto"/>
                <w:right w:val="none" w:sz="0" w:space="0" w:color="auto"/>
              </w:divBdr>
            </w:div>
          </w:divsChild>
        </w:div>
        <w:div w:id="797408953">
          <w:marLeft w:val="0"/>
          <w:marRight w:val="0"/>
          <w:marTop w:val="0"/>
          <w:marBottom w:val="0"/>
          <w:divBdr>
            <w:top w:val="none" w:sz="0" w:space="0" w:color="auto"/>
            <w:left w:val="none" w:sz="0" w:space="0" w:color="auto"/>
            <w:bottom w:val="none" w:sz="0" w:space="0" w:color="auto"/>
            <w:right w:val="none" w:sz="0" w:space="0" w:color="auto"/>
          </w:divBdr>
          <w:divsChild>
            <w:div w:id="1454593832">
              <w:marLeft w:val="0"/>
              <w:marRight w:val="0"/>
              <w:marTop w:val="0"/>
              <w:marBottom w:val="0"/>
              <w:divBdr>
                <w:top w:val="none" w:sz="0" w:space="0" w:color="auto"/>
                <w:left w:val="none" w:sz="0" w:space="0" w:color="auto"/>
                <w:bottom w:val="none" w:sz="0" w:space="0" w:color="auto"/>
                <w:right w:val="none" w:sz="0" w:space="0" w:color="auto"/>
              </w:divBdr>
            </w:div>
          </w:divsChild>
        </w:div>
        <w:div w:id="1407340892">
          <w:marLeft w:val="0"/>
          <w:marRight w:val="0"/>
          <w:marTop w:val="0"/>
          <w:marBottom w:val="0"/>
          <w:divBdr>
            <w:top w:val="none" w:sz="0" w:space="0" w:color="auto"/>
            <w:left w:val="none" w:sz="0" w:space="0" w:color="auto"/>
            <w:bottom w:val="none" w:sz="0" w:space="0" w:color="auto"/>
            <w:right w:val="none" w:sz="0" w:space="0" w:color="auto"/>
          </w:divBdr>
          <w:divsChild>
            <w:div w:id="892698552">
              <w:marLeft w:val="0"/>
              <w:marRight w:val="0"/>
              <w:marTop w:val="0"/>
              <w:marBottom w:val="0"/>
              <w:divBdr>
                <w:top w:val="none" w:sz="0" w:space="0" w:color="auto"/>
                <w:left w:val="none" w:sz="0" w:space="0" w:color="auto"/>
                <w:bottom w:val="none" w:sz="0" w:space="0" w:color="auto"/>
                <w:right w:val="none" w:sz="0" w:space="0" w:color="auto"/>
              </w:divBdr>
            </w:div>
          </w:divsChild>
        </w:div>
        <w:div w:id="1988968395">
          <w:marLeft w:val="0"/>
          <w:marRight w:val="0"/>
          <w:marTop w:val="0"/>
          <w:marBottom w:val="0"/>
          <w:divBdr>
            <w:top w:val="none" w:sz="0" w:space="0" w:color="auto"/>
            <w:left w:val="none" w:sz="0" w:space="0" w:color="auto"/>
            <w:bottom w:val="none" w:sz="0" w:space="0" w:color="auto"/>
            <w:right w:val="none" w:sz="0" w:space="0" w:color="auto"/>
          </w:divBdr>
          <w:divsChild>
            <w:div w:id="1455752556">
              <w:marLeft w:val="0"/>
              <w:marRight w:val="0"/>
              <w:marTop w:val="0"/>
              <w:marBottom w:val="0"/>
              <w:divBdr>
                <w:top w:val="none" w:sz="0" w:space="0" w:color="auto"/>
                <w:left w:val="none" w:sz="0" w:space="0" w:color="auto"/>
                <w:bottom w:val="none" w:sz="0" w:space="0" w:color="auto"/>
                <w:right w:val="none" w:sz="0" w:space="0" w:color="auto"/>
              </w:divBdr>
            </w:div>
          </w:divsChild>
        </w:div>
        <w:div w:id="1962492317">
          <w:marLeft w:val="0"/>
          <w:marRight w:val="0"/>
          <w:marTop w:val="0"/>
          <w:marBottom w:val="0"/>
          <w:divBdr>
            <w:top w:val="none" w:sz="0" w:space="0" w:color="auto"/>
            <w:left w:val="none" w:sz="0" w:space="0" w:color="auto"/>
            <w:bottom w:val="none" w:sz="0" w:space="0" w:color="auto"/>
            <w:right w:val="none" w:sz="0" w:space="0" w:color="auto"/>
          </w:divBdr>
          <w:divsChild>
            <w:div w:id="1491605525">
              <w:marLeft w:val="0"/>
              <w:marRight w:val="0"/>
              <w:marTop w:val="0"/>
              <w:marBottom w:val="0"/>
              <w:divBdr>
                <w:top w:val="none" w:sz="0" w:space="0" w:color="auto"/>
                <w:left w:val="none" w:sz="0" w:space="0" w:color="auto"/>
                <w:bottom w:val="none" w:sz="0" w:space="0" w:color="auto"/>
                <w:right w:val="none" w:sz="0" w:space="0" w:color="auto"/>
              </w:divBdr>
            </w:div>
          </w:divsChild>
        </w:div>
        <w:div w:id="1889413618">
          <w:marLeft w:val="0"/>
          <w:marRight w:val="0"/>
          <w:marTop w:val="0"/>
          <w:marBottom w:val="0"/>
          <w:divBdr>
            <w:top w:val="none" w:sz="0" w:space="0" w:color="auto"/>
            <w:left w:val="none" w:sz="0" w:space="0" w:color="auto"/>
            <w:bottom w:val="none" w:sz="0" w:space="0" w:color="auto"/>
            <w:right w:val="none" w:sz="0" w:space="0" w:color="auto"/>
          </w:divBdr>
          <w:divsChild>
            <w:div w:id="1108627017">
              <w:marLeft w:val="0"/>
              <w:marRight w:val="0"/>
              <w:marTop w:val="0"/>
              <w:marBottom w:val="0"/>
              <w:divBdr>
                <w:top w:val="none" w:sz="0" w:space="0" w:color="auto"/>
                <w:left w:val="none" w:sz="0" w:space="0" w:color="auto"/>
                <w:bottom w:val="none" w:sz="0" w:space="0" w:color="auto"/>
                <w:right w:val="none" w:sz="0" w:space="0" w:color="auto"/>
              </w:divBdr>
            </w:div>
          </w:divsChild>
        </w:div>
        <w:div w:id="907567851">
          <w:marLeft w:val="0"/>
          <w:marRight w:val="0"/>
          <w:marTop w:val="0"/>
          <w:marBottom w:val="0"/>
          <w:divBdr>
            <w:top w:val="none" w:sz="0" w:space="0" w:color="auto"/>
            <w:left w:val="none" w:sz="0" w:space="0" w:color="auto"/>
            <w:bottom w:val="none" w:sz="0" w:space="0" w:color="auto"/>
            <w:right w:val="none" w:sz="0" w:space="0" w:color="auto"/>
          </w:divBdr>
          <w:divsChild>
            <w:div w:id="1205872237">
              <w:marLeft w:val="0"/>
              <w:marRight w:val="0"/>
              <w:marTop w:val="0"/>
              <w:marBottom w:val="0"/>
              <w:divBdr>
                <w:top w:val="none" w:sz="0" w:space="0" w:color="auto"/>
                <w:left w:val="none" w:sz="0" w:space="0" w:color="auto"/>
                <w:bottom w:val="none" w:sz="0" w:space="0" w:color="auto"/>
                <w:right w:val="none" w:sz="0" w:space="0" w:color="auto"/>
              </w:divBdr>
            </w:div>
          </w:divsChild>
        </w:div>
        <w:div w:id="1437021201">
          <w:marLeft w:val="0"/>
          <w:marRight w:val="0"/>
          <w:marTop w:val="0"/>
          <w:marBottom w:val="0"/>
          <w:divBdr>
            <w:top w:val="none" w:sz="0" w:space="0" w:color="auto"/>
            <w:left w:val="none" w:sz="0" w:space="0" w:color="auto"/>
            <w:bottom w:val="none" w:sz="0" w:space="0" w:color="auto"/>
            <w:right w:val="none" w:sz="0" w:space="0" w:color="auto"/>
          </w:divBdr>
          <w:divsChild>
            <w:div w:id="6837763">
              <w:marLeft w:val="0"/>
              <w:marRight w:val="0"/>
              <w:marTop w:val="0"/>
              <w:marBottom w:val="0"/>
              <w:divBdr>
                <w:top w:val="none" w:sz="0" w:space="0" w:color="auto"/>
                <w:left w:val="none" w:sz="0" w:space="0" w:color="auto"/>
                <w:bottom w:val="none" w:sz="0" w:space="0" w:color="auto"/>
                <w:right w:val="none" w:sz="0" w:space="0" w:color="auto"/>
              </w:divBdr>
            </w:div>
          </w:divsChild>
        </w:div>
        <w:div w:id="1301619796">
          <w:marLeft w:val="0"/>
          <w:marRight w:val="0"/>
          <w:marTop w:val="0"/>
          <w:marBottom w:val="0"/>
          <w:divBdr>
            <w:top w:val="none" w:sz="0" w:space="0" w:color="auto"/>
            <w:left w:val="none" w:sz="0" w:space="0" w:color="auto"/>
            <w:bottom w:val="none" w:sz="0" w:space="0" w:color="auto"/>
            <w:right w:val="none" w:sz="0" w:space="0" w:color="auto"/>
          </w:divBdr>
          <w:divsChild>
            <w:div w:id="124197798">
              <w:marLeft w:val="0"/>
              <w:marRight w:val="0"/>
              <w:marTop w:val="0"/>
              <w:marBottom w:val="0"/>
              <w:divBdr>
                <w:top w:val="none" w:sz="0" w:space="0" w:color="auto"/>
                <w:left w:val="none" w:sz="0" w:space="0" w:color="auto"/>
                <w:bottom w:val="none" w:sz="0" w:space="0" w:color="auto"/>
                <w:right w:val="none" w:sz="0" w:space="0" w:color="auto"/>
              </w:divBdr>
            </w:div>
          </w:divsChild>
        </w:div>
        <w:div w:id="2017730093">
          <w:marLeft w:val="0"/>
          <w:marRight w:val="0"/>
          <w:marTop w:val="0"/>
          <w:marBottom w:val="0"/>
          <w:divBdr>
            <w:top w:val="none" w:sz="0" w:space="0" w:color="auto"/>
            <w:left w:val="none" w:sz="0" w:space="0" w:color="auto"/>
            <w:bottom w:val="none" w:sz="0" w:space="0" w:color="auto"/>
            <w:right w:val="none" w:sz="0" w:space="0" w:color="auto"/>
          </w:divBdr>
          <w:divsChild>
            <w:div w:id="1157188399">
              <w:marLeft w:val="0"/>
              <w:marRight w:val="0"/>
              <w:marTop w:val="0"/>
              <w:marBottom w:val="0"/>
              <w:divBdr>
                <w:top w:val="none" w:sz="0" w:space="0" w:color="auto"/>
                <w:left w:val="none" w:sz="0" w:space="0" w:color="auto"/>
                <w:bottom w:val="none" w:sz="0" w:space="0" w:color="auto"/>
                <w:right w:val="none" w:sz="0" w:space="0" w:color="auto"/>
              </w:divBdr>
            </w:div>
          </w:divsChild>
        </w:div>
        <w:div w:id="980504202">
          <w:marLeft w:val="0"/>
          <w:marRight w:val="0"/>
          <w:marTop w:val="0"/>
          <w:marBottom w:val="0"/>
          <w:divBdr>
            <w:top w:val="none" w:sz="0" w:space="0" w:color="auto"/>
            <w:left w:val="none" w:sz="0" w:space="0" w:color="auto"/>
            <w:bottom w:val="none" w:sz="0" w:space="0" w:color="auto"/>
            <w:right w:val="none" w:sz="0" w:space="0" w:color="auto"/>
          </w:divBdr>
          <w:divsChild>
            <w:div w:id="971862232">
              <w:marLeft w:val="0"/>
              <w:marRight w:val="0"/>
              <w:marTop w:val="0"/>
              <w:marBottom w:val="0"/>
              <w:divBdr>
                <w:top w:val="none" w:sz="0" w:space="0" w:color="auto"/>
                <w:left w:val="none" w:sz="0" w:space="0" w:color="auto"/>
                <w:bottom w:val="none" w:sz="0" w:space="0" w:color="auto"/>
                <w:right w:val="none" w:sz="0" w:space="0" w:color="auto"/>
              </w:divBdr>
            </w:div>
          </w:divsChild>
        </w:div>
        <w:div w:id="166671892">
          <w:marLeft w:val="0"/>
          <w:marRight w:val="0"/>
          <w:marTop w:val="0"/>
          <w:marBottom w:val="0"/>
          <w:divBdr>
            <w:top w:val="none" w:sz="0" w:space="0" w:color="auto"/>
            <w:left w:val="none" w:sz="0" w:space="0" w:color="auto"/>
            <w:bottom w:val="none" w:sz="0" w:space="0" w:color="auto"/>
            <w:right w:val="none" w:sz="0" w:space="0" w:color="auto"/>
          </w:divBdr>
          <w:divsChild>
            <w:div w:id="576090617">
              <w:marLeft w:val="0"/>
              <w:marRight w:val="0"/>
              <w:marTop w:val="0"/>
              <w:marBottom w:val="0"/>
              <w:divBdr>
                <w:top w:val="none" w:sz="0" w:space="0" w:color="auto"/>
                <w:left w:val="none" w:sz="0" w:space="0" w:color="auto"/>
                <w:bottom w:val="none" w:sz="0" w:space="0" w:color="auto"/>
                <w:right w:val="none" w:sz="0" w:space="0" w:color="auto"/>
              </w:divBdr>
            </w:div>
          </w:divsChild>
        </w:div>
        <w:div w:id="395321757">
          <w:marLeft w:val="0"/>
          <w:marRight w:val="0"/>
          <w:marTop w:val="0"/>
          <w:marBottom w:val="0"/>
          <w:divBdr>
            <w:top w:val="none" w:sz="0" w:space="0" w:color="auto"/>
            <w:left w:val="none" w:sz="0" w:space="0" w:color="auto"/>
            <w:bottom w:val="none" w:sz="0" w:space="0" w:color="auto"/>
            <w:right w:val="none" w:sz="0" w:space="0" w:color="auto"/>
          </w:divBdr>
          <w:divsChild>
            <w:div w:id="1163089359">
              <w:marLeft w:val="0"/>
              <w:marRight w:val="0"/>
              <w:marTop w:val="0"/>
              <w:marBottom w:val="0"/>
              <w:divBdr>
                <w:top w:val="none" w:sz="0" w:space="0" w:color="auto"/>
                <w:left w:val="none" w:sz="0" w:space="0" w:color="auto"/>
                <w:bottom w:val="none" w:sz="0" w:space="0" w:color="auto"/>
                <w:right w:val="none" w:sz="0" w:space="0" w:color="auto"/>
              </w:divBdr>
            </w:div>
          </w:divsChild>
        </w:div>
        <w:div w:id="1680768548">
          <w:marLeft w:val="0"/>
          <w:marRight w:val="0"/>
          <w:marTop w:val="0"/>
          <w:marBottom w:val="0"/>
          <w:divBdr>
            <w:top w:val="none" w:sz="0" w:space="0" w:color="auto"/>
            <w:left w:val="none" w:sz="0" w:space="0" w:color="auto"/>
            <w:bottom w:val="none" w:sz="0" w:space="0" w:color="auto"/>
            <w:right w:val="none" w:sz="0" w:space="0" w:color="auto"/>
          </w:divBdr>
          <w:divsChild>
            <w:div w:id="236206607">
              <w:marLeft w:val="0"/>
              <w:marRight w:val="0"/>
              <w:marTop w:val="0"/>
              <w:marBottom w:val="0"/>
              <w:divBdr>
                <w:top w:val="none" w:sz="0" w:space="0" w:color="auto"/>
                <w:left w:val="none" w:sz="0" w:space="0" w:color="auto"/>
                <w:bottom w:val="none" w:sz="0" w:space="0" w:color="auto"/>
                <w:right w:val="none" w:sz="0" w:space="0" w:color="auto"/>
              </w:divBdr>
            </w:div>
          </w:divsChild>
        </w:div>
        <w:div w:id="1553273958">
          <w:marLeft w:val="0"/>
          <w:marRight w:val="0"/>
          <w:marTop w:val="0"/>
          <w:marBottom w:val="0"/>
          <w:divBdr>
            <w:top w:val="none" w:sz="0" w:space="0" w:color="auto"/>
            <w:left w:val="none" w:sz="0" w:space="0" w:color="auto"/>
            <w:bottom w:val="none" w:sz="0" w:space="0" w:color="auto"/>
            <w:right w:val="none" w:sz="0" w:space="0" w:color="auto"/>
          </w:divBdr>
          <w:divsChild>
            <w:div w:id="1466924840">
              <w:marLeft w:val="0"/>
              <w:marRight w:val="0"/>
              <w:marTop w:val="0"/>
              <w:marBottom w:val="0"/>
              <w:divBdr>
                <w:top w:val="none" w:sz="0" w:space="0" w:color="auto"/>
                <w:left w:val="none" w:sz="0" w:space="0" w:color="auto"/>
                <w:bottom w:val="none" w:sz="0" w:space="0" w:color="auto"/>
                <w:right w:val="none" w:sz="0" w:space="0" w:color="auto"/>
              </w:divBdr>
            </w:div>
          </w:divsChild>
        </w:div>
        <w:div w:id="2121995285">
          <w:marLeft w:val="0"/>
          <w:marRight w:val="0"/>
          <w:marTop w:val="0"/>
          <w:marBottom w:val="0"/>
          <w:divBdr>
            <w:top w:val="none" w:sz="0" w:space="0" w:color="auto"/>
            <w:left w:val="none" w:sz="0" w:space="0" w:color="auto"/>
            <w:bottom w:val="none" w:sz="0" w:space="0" w:color="auto"/>
            <w:right w:val="none" w:sz="0" w:space="0" w:color="auto"/>
          </w:divBdr>
          <w:divsChild>
            <w:div w:id="229123201">
              <w:marLeft w:val="0"/>
              <w:marRight w:val="0"/>
              <w:marTop w:val="0"/>
              <w:marBottom w:val="0"/>
              <w:divBdr>
                <w:top w:val="none" w:sz="0" w:space="0" w:color="auto"/>
                <w:left w:val="none" w:sz="0" w:space="0" w:color="auto"/>
                <w:bottom w:val="none" w:sz="0" w:space="0" w:color="auto"/>
                <w:right w:val="none" w:sz="0" w:space="0" w:color="auto"/>
              </w:divBdr>
            </w:div>
          </w:divsChild>
        </w:div>
        <w:div w:id="652181397">
          <w:marLeft w:val="0"/>
          <w:marRight w:val="0"/>
          <w:marTop w:val="0"/>
          <w:marBottom w:val="0"/>
          <w:divBdr>
            <w:top w:val="none" w:sz="0" w:space="0" w:color="auto"/>
            <w:left w:val="none" w:sz="0" w:space="0" w:color="auto"/>
            <w:bottom w:val="none" w:sz="0" w:space="0" w:color="auto"/>
            <w:right w:val="none" w:sz="0" w:space="0" w:color="auto"/>
          </w:divBdr>
          <w:divsChild>
            <w:div w:id="1757703567">
              <w:marLeft w:val="0"/>
              <w:marRight w:val="0"/>
              <w:marTop w:val="0"/>
              <w:marBottom w:val="0"/>
              <w:divBdr>
                <w:top w:val="none" w:sz="0" w:space="0" w:color="auto"/>
                <w:left w:val="none" w:sz="0" w:space="0" w:color="auto"/>
                <w:bottom w:val="none" w:sz="0" w:space="0" w:color="auto"/>
                <w:right w:val="none" w:sz="0" w:space="0" w:color="auto"/>
              </w:divBdr>
            </w:div>
          </w:divsChild>
        </w:div>
        <w:div w:id="2044163467">
          <w:marLeft w:val="0"/>
          <w:marRight w:val="0"/>
          <w:marTop w:val="0"/>
          <w:marBottom w:val="0"/>
          <w:divBdr>
            <w:top w:val="none" w:sz="0" w:space="0" w:color="auto"/>
            <w:left w:val="none" w:sz="0" w:space="0" w:color="auto"/>
            <w:bottom w:val="none" w:sz="0" w:space="0" w:color="auto"/>
            <w:right w:val="none" w:sz="0" w:space="0" w:color="auto"/>
          </w:divBdr>
          <w:divsChild>
            <w:div w:id="684019771">
              <w:marLeft w:val="0"/>
              <w:marRight w:val="0"/>
              <w:marTop w:val="0"/>
              <w:marBottom w:val="0"/>
              <w:divBdr>
                <w:top w:val="none" w:sz="0" w:space="0" w:color="auto"/>
                <w:left w:val="none" w:sz="0" w:space="0" w:color="auto"/>
                <w:bottom w:val="none" w:sz="0" w:space="0" w:color="auto"/>
                <w:right w:val="none" w:sz="0" w:space="0" w:color="auto"/>
              </w:divBdr>
            </w:div>
          </w:divsChild>
        </w:div>
        <w:div w:id="1036849450">
          <w:marLeft w:val="0"/>
          <w:marRight w:val="0"/>
          <w:marTop w:val="0"/>
          <w:marBottom w:val="0"/>
          <w:divBdr>
            <w:top w:val="none" w:sz="0" w:space="0" w:color="auto"/>
            <w:left w:val="none" w:sz="0" w:space="0" w:color="auto"/>
            <w:bottom w:val="none" w:sz="0" w:space="0" w:color="auto"/>
            <w:right w:val="none" w:sz="0" w:space="0" w:color="auto"/>
          </w:divBdr>
          <w:divsChild>
            <w:div w:id="2096323769">
              <w:marLeft w:val="0"/>
              <w:marRight w:val="0"/>
              <w:marTop w:val="0"/>
              <w:marBottom w:val="0"/>
              <w:divBdr>
                <w:top w:val="none" w:sz="0" w:space="0" w:color="auto"/>
                <w:left w:val="none" w:sz="0" w:space="0" w:color="auto"/>
                <w:bottom w:val="none" w:sz="0" w:space="0" w:color="auto"/>
                <w:right w:val="none" w:sz="0" w:space="0" w:color="auto"/>
              </w:divBdr>
            </w:div>
          </w:divsChild>
        </w:div>
        <w:div w:id="1019085429">
          <w:marLeft w:val="0"/>
          <w:marRight w:val="0"/>
          <w:marTop w:val="0"/>
          <w:marBottom w:val="0"/>
          <w:divBdr>
            <w:top w:val="none" w:sz="0" w:space="0" w:color="auto"/>
            <w:left w:val="none" w:sz="0" w:space="0" w:color="auto"/>
            <w:bottom w:val="none" w:sz="0" w:space="0" w:color="auto"/>
            <w:right w:val="none" w:sz="0" w:space="0" w:color="auto"/>
          </w:divBdr>
          <w:divsChild>
            <w:div w:id="378822901">
              <w:marLeft w:val="0"/>
              <w:marRight w:val="0"/>
              <w:marTop w:val="0"/>
              <w:marBottom w:val="0"/>
              <w:divBdr>
                <w:top w:val="none" w:sz="0" w:space="0" w:color="auto"/>
                <w:left w:val="none" w:sz="0" w:space="0" w:color="auto"/>
                <w:bottom w:val="none" w:sz="0" w:space="0" w:color="auto"/>
                <w:right w:val="none" w:sz="0" w:space="0" w:color="auto"/>
              </w:divBdr>
            </w:div>
          </w:divsChild>
        </w:div>
        <w:div w:id="681131553">
          <w:marLeft w:val="0"/>
          <w:marRight w:val="0"/>
          <w:marTop w:val="0"/>
          <w:marBottom w:val="0"/>
          <w:divBdr>
            <w:top w:val="none" w:sz="0" w:space="0" w:color="auto"/>
            <w:left w:val="none" w:sz="0" w:space="0" w:color="auto"/>
            <w:bottom w:val="none" w:sz="0" w:space="0" w:color="auto"/>
            <w:right w:val="none" w:sz="0" w:space="0" w:color="auto"/>
          </w:divBdr>
          <w:divsChild>
            <w:div w:id="1564873460">
              <w:marLeft w:val="0"/>
              <w:marRight w:val="0"/>
              <w:marTop w:val="0"/>
              <w:marBottom w:val="0"/>
              <w:divBdr>
                <w:top w:val="none" w:sz="0" w:space="0" w:color="auto"/>
                <w:left w:val="none" w:sz="0" w:space="0" w:color="auto"/>
                <w:bottom w:val="none" w:sz="0" w:space="0" w:color="auto"/>
                <w:right w:val="none" w:sz="0" w:space="0" w:color="auto"/>
              </w:divBdr>
            </w:div>
          </w:divsChild>
        </w:div>
        <w:div w:id="1174759433">
          <w:marLeft w:val="0"/>
          <w:marRight w:val="0"/>
          <w:marTop w:val="0"/>
          <w:marBottom w:val="0"/>
          <w:divBdr>
            <w:top w:val="none" w:sz="0" w:space="0" w:color="auto"/>
            <w:left w:val="none" w:sz="0" w:space="0" w:color="auto"/>
            <w:bottom w:val="none" w:sz="0" w:space="0" w:color="auto"/>
            <w:right w:val="none" w:sz="0" w:space="0" w:color="auto"/>
          </w:divBdr>
          <w:divsChild>
            <w:div w:id="626545631">
              <w:marLeft w:val="0"/>
              <w:marRight w:val="0"/>
              <w:marTop w:val="0"/>
              <w:marBottom w:val="0"/>
              <w:divBdr>
                <w:top w:val="none" w:sz="0" w:space="0" w:color="auto"/>
                <w:left w:val="none" w:sz="0" w:space="0" w:color="auto"/>
                <w:bottom w:val="none" w:sz="0" w:space="0" w:color="auto"/>
                <w:right w:val="none" w:sz="0" w:space="0" w:color="auto"/>
              </w:divBdr>
            </w:div>
          </w:divsChild>
        </w:div>
        <w:div w:id="915743285">
          <w:marLeft w:val="0"/>
          <w:marRight w:val="0"/>
          <w:marTop w:val="0"/>
          <w:marBottom w:val="0"/>
          <w:divBdr>
            <w:top w:val="none" w:sz="0" w:space="0" w:color="auto"/>
            <w:left w:val="none" w:sz="0" w:space="0" w:color="auto"/>
            <w:bottom w:val="none" w:sz="0" w:space="0" w:color="auto"/>
            <w:right w:val="none" w:sz="0" w:space="0" w:color="auto"/>
          </w:divBdr>
          <w:divsChild>
            <w:div w:id="1463419245">
              <w:marLeft w:val="0"/>
              <w:marRight w:val="0"/>
              <w:marTop w:val="0"/>
              <w:marBottom w:val="0"/>
              <w:divBdr>
                <w:top w:val="none" w:sz="0" w:space="0" w:color="auto"/>
                <w:left w:val="none" w:sz="0" w:space="0" w:color="auto"/>
                <w:bottom w:val="none" w:sz="0" w:space="0" w:color="auto"/>
                <w:right w:val="none" w:sz="0" w:space="0" w:color="auto"/>
              </w:divBdr>
            </w:div>
          </w:divsChild>
        </w:div>
        <w:div w:id="288702386">
          <w:marLeft w:val="0"/>
          <w:marRight w:val="0"/>
          <w:marTop w:val="0"/>
          <w:marBottom w:val="0"/>
          <w:divBdr>
            <w:top w:val="none" w:sz="0" w:space="0" w:color="auto"/>
            <w:left w:val="none" w:sz="0" w:space="0" w:color="auto"/>
            <w:bottom w:val="none" w:sz="0" w:space="0" w:color="auto"/>
            <w:right w:val="none" w:sz="0" w:space="0" w:color="auto"/>
          </w:divBdr>
          <w:divsChild>
            <w:div w:id="1744790762">
              <w:marLeft w:val="0"/>
              <w:marRight w:val="0"/>
              <w:marTop w:val="0"/>
              <w:marBottom w:val="0"/>
              <w:divBdr>
                <w:top w:val="none" w:sz="0" w:space="0" w:color="auto"/>
                <w:left w:val="none" w:sz="0" w:space="0" w:color="auto"/>
                <w:bottom w:val="none" w:sz="0" w:space="0" w:color="auto"/>
                <w:right w:val="none" w:sz="0" w:space="0" w:color="auto"/>
              </w:divBdr>
            </w:div>
          </w:divsChild>
        </w:div>
        <w:div w:id="1772043267">
          <w:marLeft w:val="0"/>
          <w:marRight w:val="0"/>
          <w:marTop w:val="0"/>
          <w:marBottom w:val="0"/>
          <w:divBdr>
            <w:top w:val="none" w:sz="0" w:space="0" w:color="auto"/>
            <w:left w:val="none" w:sz="0" w:space="0" w:color="auto"/>
            <w:bottom w:val="none" w:sz="0" w:space="0" w:color="auto"/>
            <w:right w:val="none" w:sz="0" w:space="0" w:color="auto"/>
          </w:divBdr>
          <w:divsChild>
            <w:div w:id="688288538">
              <w:marLeft w:val="0"/>
              <w:marRight w:val="0"/>
              <w:marTop w:val="0"/>
              <w:marBottom w:val="0"/>
              <w:divBdr>
                <w:top w:val="none" w:sz="0" w:space="0" w:color="auto"/>
                <w:left w:val="none" w:sz="0" w:space="0" w:color="auto"/>
                <w:bottom w:val="none" w:sz="0" w:space="0" w:color="auto"/>
                <w:right w:val="none" w:sz="0" w:space="0" w:color="auto"/>
              </w:divBdr>
            </w:div>
          </w:divsChild>
        </w:div>
        <w:div w:id="2081712202">
          <w:marLeft w:val="0"/>
          <w:marRight w:val="0"/>
          <w:marTop w:val="0"/>
          <w:marBottom w:val="0"/>
          <w:divBdr>
            <w:top w:val="none" w:sz="0" w:space="0" w:color="auto"/>
            <w:left w:val="none" w:sz="0" w:space="0" w:color="auto"/>
            <w:bottom w:val="none" w:sz="0" w:space="0" w:color="auto"/>
            <w:right w:val="none" w:sz="0" w:space="0" w:color="auto"/>
          </w:divBdr>
          <w:divsChild>
            <w:div w:id="1357468044">
              <w:marLeft w:val="0"/>
              <w:marRight w:val="0"/>
              <w:marTop w:val="0"/>
              <w:marBottom w:val="0"/>
              <w:divBdr>
                <w:top w:val="none" w:sz="0" w:space="0" w:color="auto"/>
                <w:left w:val="none" w:sz="0" w:space="0" w:color="auto"/>
                <w:bottom w:val="none" w:sz="0" w:space="0" w:color="auto"/>
                <w:right w:val="none" w:sz="0" w:space="0" w:color="auto"/>
              </w:divBdr>
            </w:div>
          </w:divsChild>
        </w:div>
        <w:div w:id="696852125">
          <w:marLeft w:val="0"/>
          <w:marRight w:val="0"/>
          <w:marTop w:val="0"/>
          <w:marBottom w:val="0"/>
          <w:divBdr>
            <w:top w:val="none" w:sz="0" w:space="0" w:color="auto"/>
            <w:left w:val="none" w:sz="0" w:space="0" w:color="auto"/>
            <w:bottom w:val="none" w:sz="0" w:space="0" w:color="auto"/>
            <w:right w:val="none" w:sz="0" w:space="0" w:color="auto"/>
          </w:divBdr>
          <w:divsChild>
            <w:div w:id="242838063">
              <w:marLeft w:val="0"/>
              <w:marRight w:val="0"/>
              <w:marTop w:val="0"/>
              <w:marBottom w:val="0"/>
              <w:divBdr>
                <w:top w:val="none" w:sz="0" w:space="0" w:color="auto"/>
                <w:left w:val="none" w:sz="0" w:space="0" w:color="auto"/>
                <w:bottom w:val="none" w:sz="0" w:space="0" w:color="auto"/>
                <w:right w:val="none" w:sz="0" w:space="0" w:color="auto"/>
              </w:divBdr>
            </w:div>
          </w:divsChild>
        </w:div>
        <w:div w:id="1886745955">
          <w:marLeft w:val="0"/>
          <w:marRight w:val="0"/>
          <w:marTop w:val="0"/>
          <w:marBottom w:val="0"/>
          <w:divBdr>
            <w:top w:val="none" w:sz="0" w:space="0" w:color="auto"/>
            <w:left w:val="none" w:sz="0" w:space="0" w:color="auto"/>
            <w:bottom w:val="none" w:sz="0" w:space="0" w:color="auto"/>
            <w:right w:val="none" w:sz="0" w:space="0" w:color="auto"/>
          </w:divBdr>
          <w:divsChild>
            <w:div w:id="137650953">
              <w:marLeft w:val="0"/>
              <w:marRight w:val="0"/>
              <w:marTop w:val="0"/>
              <w:marBottom w:val="0"/>
              <w:divBdr>
                <w:top w:val="none" w:sz="0" w:space="0" w:color="auto"/>
                <w:left w:val="none" w:sz="0" w:space="0" w:color="auto"/>
                <w:bottom w:val="none" w:sz="0" w:space="0" w:color="auto"/>
                <w:right w:val="none" w:sz="0" w:space="0" w:color="auto"/>
              </w:divBdr>
            </w:div>
          </w:divsChild>
        </w:div>
        <w:div w:id="1006008766">
          <w:marLeft w:val="0"/>
          <w:marRight w:val="0"/>
          <w:marTop w:val="0"/>
          <w:marBottom w:val="0"/>
          <w:divBdr>
            <w:top w:val="none" w:sz="0" w:space="0" w:color="auto"/>
            <w:left w:val="none" w:sz="0" w:space="0" w:color="auto"/>
            <w:bottom w:val="none" w:sz="0" w:space="0" w:color="auto"/>
            <w:right w:val="none" w:sz="0" w:space="0" w:color="auto"/>
          </w:divBdr>
          <w:divsChild>
            <w:div w:id="27223632">
              <w:marLeft w:val="0"/>
              <w:marRight w:val="0"/>
              <w:marTop w:val="0"/>
              <w:marBottom w:val="0"/>
              <w:divBdr>
                <w:top w:val="none" w:sz="0" w:space="0" w:color="auto"/>
                <w:left w:val="none" w:sz="0" w:space="0" w:color="auto"/>
                <w:bottom w:val="none" w:sz="0" w:space="0" w:color="auto"/>
                <w:right w:val="none" w:sz="0" w:space="0" w:color="auto"/>
              </w:divBdr>
            </w:div>
          </w:divsChild>
        </w:div>
        <w:div w:id="317392379">
          <w:marLeft w:val="0"/>
          <w:marRight w:val="0"/>
          <w:marTop w:val="0"/>
          <w:marBottom w:val="0"/>
          <w:divBdr>
            <w:top w:val="none" w:sz="0" w:space="0" w:color="auto"/>
            <w:left w:val="none" w:sz="0" w:space="0" w:color="auto"/>
            <w:bottom w:val="none" w:sz="0" w:space="0" w:color="auto"/>
            <w:right w:val="none" w:sz="0" w:space="0" w:color="auto"/>
          </w:divBdr>
          <w:divsChild>
            <w:div w:id="130637331">
              <w:marLeft w:val="0"/>
              <w:marRight w:val="0"/>
              <w:marTop w:val="0"/>
              <w:marBottom w:val="0"/>
              <w:divBdr>
                <w:top w:val="none" w:sz="0" w:space="0" w:color="auto"/>
                <w:left w:val="none" w:sz="0" w:space="0" w:color="auto"/>
                <w:bottom w:val="none" w:sz="0" w:space="0" w:color="auto"/>
                <w:right w:val="none" w:sz="0" w:space="0" w:color="auto"/>
              </w:divBdr>
            </w:div>
          </w:divsChild>
        </w:div>
        <w:div w:id="645822130">
          <w:marLeft w:val="0"/>
          <w:marRight w:val="0"/>
          <w:marTop w:val="0"/>
          <w:marBottom w:val="0"/>
          <w:divBdr>
            <w:top w:val="none" w:sz="0" w:space="0" w:color="auto"/>
            <w:left w:val="none" w:sz="0" w:space="0" w:color="auto"/>
            <w:bottom w:val="none" w:sz="0" w:space="0" w:color="auto"/>
            <w:right w:val="none" w:sz="0" w:space="0" w:color="auto"/>
          </w:divBdr>
          <w:divsChild>
            <w:div w:id="1746145766">
              <w:marLeft w:val="0"/>
              <w:marRight w:val="0"/>
              <w:marTop w:val="0"/>
              <w:marBottom w:val="0"/>
              <w:divBdr>
                <w:top w:val="none" w:sz="0" w:space="0" w:color="auto"/>
                <w:left w:val="none" w:sz="0" w:space="0" w:color="auto"/>
                <w:bottom w:val="none" w:sz="0" w:space="0" w:color="auto"/>
                <w:right w:val="none" w:sz="0" w:space="0" w:color="auto"/>
              </w:divBdr>
            </w:div>
          </w:divsChild>
        </w:div>
        <w:div w:id="2138140251">
          <w:marLeft w:val="0"/>
          <w:marRight w:val="0"/>
          <w:marTop w:val="0"/>
          <w:marBottom w:val="0"/>
          <w:divBdr>
            <w:top w:val="none" w:sz="0" w:space="0" w:color="auto"/>
            <w:left w:val="none" w:sz="0" w:space="0" w:color="auto"/>
            <w:bottom w:val="none" w:sz="0" w:space="0" w:color="auto"/>
            <w:right w:val="none" w:sz="0" w:space="0" w:color="auto"/>
          </w:divBdr>
          <w:divsChild>
            <w:div w:id="914584994">
              <w:marLeft w:val="0"/>
              <w:marRight w:val="0"/>
              <w:marTop w:val="0"/>
              <w:marBottom w:val="0"/>
              <w:divBdr>
                <w:top w:val="none" w:sz="0" w:space="0" w:color="auto"/>
                <w:left w:val="none" w:sz="0" w:space="0" w:color="auto"/>
                <w:bottom w:val="none" w:sz="0" w:space="0" w:color="auto"/>
                <w:right w:val="none" w:sz="0" w:space="0" w:color="auto"/>
              </w:divBdr>
            </w:div>
          </w:divsChild>
        </w:div>
        <w:div w:id="590160340">
          <w:marLeft w:val="0"/>
          <w:marRight w:val="0"/>
          <w:marTop w:val="0"/>
          <w:marBottom w:val="0"/>
          <w:divBdr>
            <w:top w:val="none" w:sz="0" w:space="0" w:color="auto"/>
            <w:left w:val="none" w:sz="0" w:space="0" w:color="auto"/>
            <w:bottom w:val="none" w:sz="0" w:space="0" w:color="auto"/>
            <w:right w:val="none" w:sz="0" w:space="0" w:color="auto"/>
          </w:divBdr>
          <w:divsChild>
            <w:div w:id="990599245">
              <w:marLeft w:val="0"/>
              <w:marRight w:val="0"/>
              <w:marTop w:val="0"/>
              <w:marBottom w:val="0"/>
              <w:divBdr>
                <w:top w:val="none" w:sz="0" w:space="0" w:color="auto"/>
                <w:left w:val="none" w:sz="0" w:space="0" w:color="auto"/>
                <w:bottom w:val="none" w:sz="0" w:space="0" w:color="auto"/>
                <w:right w:val="none" w:sz="0" w:space="0" w:color="auto"/>
              </w:divBdr>
            </w:div>
          </w:divsChild>
        </w:div>
        <w:div w:id="405538356">
          <w:marLeft w:val="0"/>
          <w:marRight w:val="0"/>
          <w:marTop w:val="0"/>
          <w:marBottom w:val="0"/>
          <w:divBdr>
            <w:top w:val="none" w:sz="0" w:space="0" w:color="auto"/>
            <w:left w:val="none" w:sz="0" w:space="0" w:color="auto"/>
            <w:bottom w:val="none" w:sz="0" w:space="0" w:color="auto"/>
            <w:right w:val="none" w:sz="0" w:space="0" w:color="auto"/>
          </w:divBdr>
          <w:divsChild>
            <w:div w:id="1246692920">
              <w:marLeft w:val="0"/>
              <w:marRight w:val="0"/>
              <w:marTop w:val="0"/>
              <w:marBottom w:val="0"/>
              <w:divBdr>
                <w:top w:val="none" w:sz="0" w:space="0" w:color="auto"/>
                <w:left w:val="none" w:sz="0" w:space="0" w:color="auto"/>
                <w:bottom w:val="none" w:sz="0" w:space="0" w:color="auto"/>
                <w:right w:val="none" w:sz="0" w:space="0" w:color="auto"/>
              </w:divBdr>
            </w:div>
          </w:divsChild>
        </w:div>
        <w:div w:id="1160269322">
          <w:marLeft w:val="0"/>
          <w:marRight w:val="0"/>
          <w:marTop w:val="0"/>
          <w:marBottom w:val="0"/>
          <w:divBdr>
            <w:top w:val="none" w:sz="0" w:space="0" w:color="auto"/>
            <w:left w:val="none" w:sz="0" w:space="0" w:color="auto"/>
            <w:bottom w:val="none" w:sz="0" w:space="0" w:color="auto"/>
            <w:right w:val="none" w:sz="0" w:space="0" w:color="auto"/>
          </w:divBdr>
          <w:divsChild>
            <w:div w:id="2062510986">
              <w:marLeft w:val="0"/>
              <w:marRight w:val="0"/>
              <w:marTop w:val="0"/>
              <w:marBottom w:val="0"/>
              <w:divBdr>
                <w:top w:val="none" w:sz="0" w:space="0" w:color="auto"/>
                <w:left w:val="none" w:sz="0" w:space="0" w:color="auto"/>
                <w:bottom w:val="none" w:sz="0" w:space="0" w:color="auto"/>
                <w:right w:val="none" w:sz="0" w:space="0" w:color="auto"/>
              </w:divBdr>
            </w:div>
          </w:divsChild>
        </w:div>
        <w:div w:id="1158837487">
          <w:marLeft w:val="0"/>
          <w:marRight w:val="0"/>
          <w:marTop w:val="0"/>
          <w:marBottom w:val="0"/>
          <w:divBdr>
            <w:top w:val="none" w:sz="0" w:space="0" w:color="auto"/>
            <w:left w:val="none" w:sz="0" w:space="0" w:color="auto"/>
            <w:bottom w:val="none" w:sz="0" w:space="0" w:color="auto"/>
            <w:right w:val="none" w:sz="0" w:space="0" w:color="auto"/>
          </w:divBdr>
          <w:divsChild>
            <w:div w:id="2090348582">
              <w:marLeft w:val="0"/>
              <w:marRight w:val="0"/>
              <w:marTop w:val="0"/>
              <w:marBottom w:val="0"/>
              <w:divBdr>
                <w:top w:val="none" w:sz="0" w:space="0" w:color="auto"/>
                <w:left w:val="none" w:sz="0" w:space="0" w:color="auto"/>
                <w:bottom w:val="none" w:sz="0" w:space="0" w:color="auto"/>
                <w:right w:val="none" w:sz="0" w:space="0" w:color="auto"/>
              </w:divBdr>
            </w:div>
          </w:divsChild>
        </w:div>
        <w:div w:id="1807040671">
          <w:marLeft w:val="0"/>
          <w:marRight w:val="0"/>
          <w:marTop w:val="0"/>
          <w:marBottom w:val="0"/>
          <w:divBdr>
            <w:top w:val="none" w:sz="0" w:space="0" w:color="auto"/>
            <w:left w:val="none" w:sz="0" w:space="0" w:color="auto"/>
            <w:bottom w:val="none" w:sz="0" w:space="0" w:color="auto"/>
            <w:right w:val="none" w:sz="0" w:space="0" w:color="auto"/>
          </w:divBdr>
          <w:divsChild>
            <w:div w:id="645597374">
              <w:marLeft w:val="0"/>
              <w:marRight w:val="0"/>
              <w:marTop w:val="0"/>
              <w:marBottom w:val="0"/>
              <w:divBdr>
                <w:top w:val="none" w:sz="0" w:space="0" w:color="auto"/>
                <w:left w:val="none" w:sz="0" w:space="0" w:color="auto"/>
                <w:bottom w:val="none" w:sz="0" w:space="0" w:color="auto"/>
                <w:right w:val="none" w:sz="0" w:space="0" w:color="auto"/>
              </w:divBdr>
            </w:div>
          </w:divsChild>
        </w:div>
        <w:div w:id="1092894877">
          <w:marLeft w:val="0"/>
          <w:marRight w:val="0"/>
          <w:marTop w:val="0"/>
          <w:marBottom w:val="0"/>
          <w:divBdr>
            <w:top w:val="none" w:sz="0" w:space="0" w:color="auto"/>
            <w:left w:val="none" w:sz="0" w:space="0" w:color="auto"/>
            <w:bottom w:val="none" w:sz="0" w:space="0" w:color="auto"/>
            <w:right w:val="none" w:sz="0" w:space="0" w:color="auto"/>
          </w:divBdr>
          <w:divsChild>
            <w:div w:id="1050350205">
              <w:marLeft w:val="0"/>
              <w:marRight w:val="0"/>
              <w:marTop w:val="0"/>
              <w:marBottom w:val="0"/>
              <w:divBdr>
                <w:top w:val="none" w:sz="0" w:space="0" w:color="auto"/>
                <w:left w:val="none" w:sz="0" w:space="0" w:color="auto"/>
                <w:bottom w:val="none" w:sz="0" w:space="0" w:color="auto"/>
                <w:right w:val="none" w:sz="0" w:space="0" w:color="auto"/>
              </w:divBdr>
            </w:div>
          </w:divsChild>
        </w:div>
        <w:div w:id="1670132539">
          <w:marLeft w:val="0"/>
          <w:marRight w:val="0"/>
          <w:marTop w:val="0"/>
          <w:marBottom w:val="0"/>
          <w:divBdr>
            <w:top w:val="none" w:sz="0" w:space="0" w:color="auto"/>
            <w:left w:val="none" w:sz="0" w:space="0" w:color="auto"/>
            <w:bottom w:val="none" w:sz="0" w:space="0" w:color="auto"/>
            <w:right w:val="none" w:sz="0" w:space="0" w:color="auto"/>
          </w:divBdr>
          <w:divsChild>
            <w:div w:id="1675720812">
              <w:marLeft w:val="0"/>
              <w:marRight w:val="0"/>
              <w:marTop w:val="0"/>
              <w:marBottom w:val="0"/>
              <w:divBdr>
                <w:top w:val="none" w:sz="0" w:space="0" w:color="auto"/>
                <w:left w:val="none" w:sz="0" w:space="0" w:color="auto"/>
                <w:bottom w:val="none" w:sz="0" w:space="0" w:color="auto"/>
                <w:right w:val="none" w:sz="0" w:space="0" w:color="auto"/>
              </w:divBdr>
            </w:div>
          </w:divsChild>
        </w:div>
        <w:div w:id="807207514">
          <w:marLeft w:val="0"/>
          <w:marRight w:val="0"/>
          <w:marTop w:val="0"/>
          <w:marBottom w:val="0"/>
          <w:divBdr>
            <w:top w:val="none" w:sz="0" w:space="0" w:color="auto"/>
            <w:left w:val="none" w:sz="0" w:space="0" w:color="auto"/>
            <w:bottom w:val="none" w:sz="0" w:space="0" w:color="auto"/>
            <w:right w:val="none" w:sz="0" w:space="0" w:color="auto"/>
          </w:divBdr>
          <w:divsChild>
            <w:div w:id="1968974315">
              <w:marLeft w:val="0"/>
              <w:marRight w:val="0"/>
              <w:marTop w:val="0"/>
              <w:marBottom w:val="0"/>
              <w:divBdr>
                <w:top w:val="none" w:sz="0" w:space="0" w:color="auto"/>
                <w:left w:val="none" w:sz="0" w:space="0" w:color="auto"/>
                <w:bottom w:val="none" w:sz="0" w:space="0" w:color="auto"/>
                <w:right w:val="none" w:sz="0" w:space="0" w:color="auto"/>
              </w:divBdr>
            </w:div>
          </w:divsChild>
        </w:div>
        <w:div w:id="1232739094">
          <w:marLeft w:val="0"/>
          <w:marRight w:val="0"/>
          <w:marTop w:val="0"/>
          <w:marBottom w:val="0"/>
          <w:divBdr>
            <w:top w:val="none" w:sz="0" w:space="0" w:color="auto"/>
            <w:left w:val="none" w:sz="0" w:space="0" w:color="auto"/>
            <w:bottom w:val="none" w:sz="0" w:space="0" w:color="auto"/>
            <w:right w:val="none" w:sz="0" w:space="0" w:color="auto"/>
          </w:divBdr>
          <w:divsChild>
            <w:div w:id="1253005277">
              <w:marLeft w:val="0"/>
              <w:marRight w:val="0"/>
              <w:marTop w:val="0"/>
              <w:marBottom w:val="0"/>
              <w:divBdr>
                <w:top w:val="none" w:sz="0" w:space="0" w:color="auto"/>
                <w:left w:val="none" w:sz="0" w:space="0" w:color="auto"/>
                <w:bottom w:val="none" w:sz="0" w:space="0" w:color="auto"/>
                <w:right w:val="none" w:sz="0" w:space="0" w:color="auto"/>
              </w:divBdr>
            </w:div>
          </w:divsChild>
        </w:div>
        <w:div w:id="1385717789">
          <w:marLeft w:val="0"/>
          <w:marRight w:val="0"/>
          <w:marTop w:val="0"/>
          <w:marBottom w:val="0"/>
          <w:divBdr>
            <w:top w:val="none" w:sz="0" w:space="0" w:color="auto"/>
            <w:left w:val="none" w:sz="0" w:space="0" w:color="auto"/>
            <w:bottom w:val="none" w:sz="0" w:space="0" w:color="auto"/>
            <w:right w:val="none" w:sz="0" w:space="0" w:color="auto"/>
          </w:divBdr>
          <w:divsChild>
            <w:div w:id="889414835">
              <w:marLeft w:val="0"/>
              <w:marRight w:val="0"/>
              <w:marTop w:val="0"/>
              <w:marBottom w:val="0"/>
              <w:divBdr>
                <w:top w:val="none" w:sz="0" w:space="0" w:color="auto"/>
                <w:left w:val="none" w:sz="0" w:space="0" w:color="auto"/>
                <w:bottom w:val="none" w:sz="0" w:space="0" w:color="auto"/>
                <w:right w:val="none" w:sz="0" w:space="0" w:color="auto"/>
              </w:divBdr>
            </w:div>
          </w:divsChild>
        </w:div>
        <w:div w:id="1450665938">
          <w:marLeft w:val="0"/>
          <w:marRight w:val="0"/>
          <w:marTop w:val="0"/>
          <w:marBottom w:val="0"/>
          <w:divBdr>
            <w:top w:val="none" w:sz="0" w:space="0" w:color="auto"/>
            <w:left w:val="none" w:sz="0" w:space="0" w:color="auto"/>
            <w:bottom w:val="none" w:sz="0" w:space="0" w:color="auto"/>
            <w:right w:val="none" w:sz="0" w:space="0" w:color="auto"/>
          </w:divBdr>
          <w:divsChild>
            <w:div w:id="1818760833">
              <w:marLeft w:val="0"/>
              <w:marRight w:val="0"/>
              <w:marTop w:val="0"/>
              <w:marBottom w:val="0"/>
              <w:divBdr>
                <w:top w:val="none" w:sz="0" w:space="0" w:color="auto"/>
                <w:left w:val="none" w:sz="0" w:space="0" w:color="auto"/>
                <w:bottom w:val="none" w:sz="0" w:space="0" w:color="auto"/>
                <w:right w:val="none" w:sz="0" w:space="0" w:color="auto"/>
              </w:divBdr>
            </w:div>
          </w:divsChild>
        </w:div>
        <w:div w:id="1318992798">
          <w:marLeft w:val="0"/>
          <w:marRight w:val="0"/>
          <w:marTop w:val="0"/>
          <w:marBottom w:val="0"/>
          <w:divBdr>
            <w:top w:val="none" w:sz="0" w:space="0" w:color="auto"/>
            <w:left w:val="none" w:sz="0" w:space="0" w:color="auto"/>
            <w:bottom w:val="none" w:sz="0" w:space="0" w:color="auto"/>
            <w:right w:val="none" w:sz="0" w:space="0" w:color="auto"/>
          </w:divBdr>
          <w:divsChild>
            <w:div w:id="244999531">
              <w:marLeft w:val="0"/>
              <w:marRight w:val="0"/>
              <w:marTop w:val="0"/>
              <w:marBottom w:val="0"/>
              <w:divBdr>
                <w:top w:val="none" w:sz="0" w:space="0" w:color="auto"/>
                <w:left w:val="none" w:sz="0" w:space="0" w:color="auto"/>
                <w:bottom w:val="none" w:sz="0" w:space="0" w:color="auto"/>
                <w:right w:val="none" w:sz="0" w:space="0" w:color="auto"/>
              </w:divBdr>
            </w:div>
          </w:divsChild>
        </w:div>
        <w:div w:id="1519545667">
          <w:marLeft w:val="0"/>
          <w:marRight w:val="0"/>
          <w:marTop w:val="0"/>
          <w:marBottom w:val="0"/>
          <w:divBdr>
            <w:top w:val="none" w:sz="0" w:space="0" w:color="auto"/>
            <w:left w:val="none" w:sz="0" w:space="0" w:color="auto"/>
            <w:bottom w:val="none" w:sz="0" w:space="0" w:color="auto"/>
            <w:right w:val="none" w:sz="0" w:space="0" w:color="auto"/>
          </w:divBdr>
          <w:divsChild>
            <w:div w:id="806052723">
              <w:marLeft w:val="0"/>
              <w:marRight w:val="0"/>
              <w:marTop w:val="0"/>
              <w:marBottom w:val="0"/>
              <w:divBdr>
                <w:top w:val="none" w:sz="0" w:space="0" w:color="auto"/>
                <w:left w:val="none" w:sz="0" w:space="0" w:color="auto"/>
                <w:bottom w:val="none" w:sz="0" w:space="0" w:color="auto"/>
                <w:right w:val="none" w:sz="0" w:space="0" w:color="auto"/>
              </w:divBdr>
            </w:div>
          </w:divsChild>
        </w:div>
        <w:div w:id="1133215479">
          <w:marLeft w:val="0"/>
          <w:marRight w:val="0"/>
          <w:marTop w:val="0"/>
          <w:marBottom w:val="0"/>
          <w:divBdr>
            <w:top w:val="none" w:sz="0" w:space="0" w:color="auto"/>
            <w:left w:val="none" w:sz="0" w:space="0" w:color="auto"/>
            <w:bottom w:val="none" w:sz="0" w:space="0" w:color="auto"/>
            <w:right w:val="none" w:sz="0" w:space="0" w:color="auto"/>
          </w:divBdr>
          <w:divsChild>
            <w:div w:id="1576936712">
              <w:marLeft w:val="0"/>
              <w:marRight w:val="0"/>
              <w:marTop w:val="0"/>
              <w:marBottom w:val="0"/>
              <w:divBdr>
                <w:top w:val="none" w:sz="0" w:space="0" w:color="auto"/>
                <w:left w:val="none" w:sz="0" w:space="0" w:color="auto"/>
                <w:bottom w:val="none" w:sz="0" w:space="0" w:color="auto"/>
                <w:right w:val="none" w:sz="0" w:space="0" w:color="auto"/>
              </w:divBdr>
            </w:div>
          </w:divsChild>
        </w:div>
        <w:div w:id="928272125">
          <w:marLeft w:val="0"/>
          <w:marRight w:val="0"/>
          <w:marTop w:val="0"/>
          <w:marBottom w:val="0"/>
          <w:divBdr>
            <w:top w:val="none" w:sz="0" w:space="0" w:color="auto"/>
            <w:left w:val="none" w:sz="0" w:space="0" w:color="auto"/>
            <w:bottom w:val="none" w:sz="0" w:space="0" w:color="auto"/>
            <w:right w:val="none" w:sz="0" w:space="0" w:color="auto"/>
          </w:divBdr>
          <w:divsChild>
            <w:div w:id="110325462">
              <w:marLeft w:val="0"/>
              <w:marRight w:val="0"/>
              <w:marTop w:val="0"/>
              <w:marBottom w:val="0"/>
              <w:divBdr>
                <w:top w:val="none" w:sz="0" w:space="0" w:color="auto"/>
                <w:left w:val="none" w:sz="0" w:space="0" w:color="auto"/>
                <w:bottom w:val="none" w:sz="0" w:space="0" w:color="auto"/>
                <w:right w:val="none" w:sz="0" w:space="0" w:color="auto"/>
              </w:divBdr>
            </w:div>
          </w:divsChild>
        </w:div>
        <w:div w:id="1729648453">
          <w:marLeft w:val="0"/>
          <w:marRight w:val="0"/>
          <w:marTop w:val="0"/>
          <w:marBottom w:val="0"/>
          <w:divBdr>
            <w:top w:val="none" w:sz="0" w:space="0" w:color="auto"/>
            <w:left w:val="none" w:sz="0" w:space="0" w:color="auto"/>
            <w:bottom w:val="none" w:sz="0" w:space="0" w:color="auto"/>
            <w:right w:val="none" w:sz="0" w:space="0" w:color="auto"/>
          </w:divBdr>
          <w:divsChild>
            <w:div w:id="1611205262">
              <w:marLeft w:val="0"/>
              <w:marRight w:val="0"/>
              <w:marTop w:val="0"/>
              <w:marBottom w:val="0"/>
              <w:divBdr>
                <w:top w:val="none" w:sz="0" w:space="0" w:color="auto"/>
                <w:left w:val="none" w:sz="0" w:space="0" w:color="auto"/>
                <w:bottom w:val="none" w:sz="0" w:space="0" w:color="auto"/>
                <w:right w:val="none" w:sz="0" w:space="0" w:color="auto"/>
              </w:divBdr>
            </w:div>
          </w:divsChild>
        </w:div>
        <w:div w:id="364864498">
          <w:marLeft w:val="0"/>
          <w:marRight w:val="0"/>
          <w:marTop w:val="0"/>
          <w:marBottom w:val="0"/>
          <w:divBdr>
            <w:top w:val="none" w:sz="0" w:space="0" w:color="auto"/>
            <w:left w:val="none" w:sz="0" w:space="0" w:color="auto"/>
            <w:bottom w:val="none" w:sz="0" w:space="0" w:color="auto"/>
            <w:right w:val="none" w:sz="0" w:space="0" w:color="auto"/>
          </w:divBdr>
          <w:divsChild>
            <w:div w:id="637341881">
              <w:marLeft w:val="0"/>
              <w:marRight w:val="0"/>
              <w:marTop w:val="0"/>
              <w:marBottom w:val="0"/>
              <w:divBdr>
                <w:top w:val="none" w:sz="0" w:space="0" w:color="auto"/>
                <w:left w:val="none" w:sz="0" w:space="0" w:color="auto"/>
                <w:bottom w:val="none" w:sz="0" w:space="0" w:color="auto"/>
                <w:right w:val="none" w:sz="0" w:space="0" w:color="auto"/>
              </w:divBdr>
            </w:div>
          </w:divsChild>
        </w:div>
        <w:div w:id="2061132227">
          <w:marLeft w:val="0"/>
          <w:marRight w:val="0"/>
          <w:marTop w:val="0"/>
          <w:marBottom w:val="0"/>
          <w:divBdr>
            <w:top w:val="none" w:sz="0" w:space="0" w:color="auto"/>
            <w:left w:val="none" w:sz="0" w:space="0" w:color="auto"/>
            <w:bottom w:val="none" w:sz="0" w:space="0" w:color="auto"/>
            <w:right w:val="none" w:sz="0" w:space="0" w:color="auto"/>
          </w:divBdr>
          <w:divsChild>
            <w:div w:id="1878278372">
              <w:marLeft w:val="0"/>
              <w:marRight w:val="0"/>
              <w:marTop w:val="0"/>
              <w:marBottom w:val="0"/>
              <w:divBdr>
                <w:top w:val="none" w:sz="0" w:space="0" w:color="auto"/>
                <w:left w:val="none" w:sz="0" w:space="0" w:color="auto"/>
                <w:bottom w:val="none" w:sz="0" w:space="0" w:color="auto"/>
                <w:right w:val="none" w:sz="0" w:space="0" w:color="auto"/>
              </w:divBdr>
            </w:div>
          </w:divsChild>
        </w:div>
        <w:div w:id="1813210897">
          <w:marLeft w:val="0"/>
          <w:marRight w:val="0"/>
          <w:marTop w:val="0"/>
          <w:marBottom w:val="0"/>
          <w:divBdr>
            <w:top w:val="none" w:sz="0" w:space="0" w:color="auto"/>
            <w:left w:val="none" w:sz="0" w:space="0" w:color="auto"/>
            <w:bottom w:val="none" w:sz="0" w:space="0" w:color="auto"/>
            <w:right w:val="none" w:sz="0" w:space="0" w:color="auto"/>
          </w:divBdr>
          <w:divsChild>
            <w:div w:id="630941175">
              <w:marLeft w:val="0"/>
              <w:marRight w:val="0"/>
              <w:marTop w:val="0"/>
              <w:marBottom w:val="0"/>
              <w:divBdr>
                <w:top w:val="none" w:sz="0" w:space="0" w:color="auto"/>
                <w:left w:val="none" w:sz="0" w:space="0" w:color="auto"/>
                <w:bottom w:val="none" w:sz="0" w:space="0" w:color="auto"/>
                <w:right w:val="none" w:sz="0" w:space="0" w:color="auto"/>
              </w:divBdr>
            </w:div>
          </w:divsChild>
        </w:div>
        <w:div w:id="529104066">
          <w:marLeft w:val="0"/>
          <w:marRight w:val="0"/>
          <w:marTop w:val="0"/>
          <w:marBottom w:val="0"/>
          <w:divBdr>
            <w:top w:val="none" w:sz="0" w:space="0" w:color="auto"/>
            <w:left w:val="none" w:sz="0" w:space="0" w:color="auto"/>
            <w:bottom w:val="none" w:sz="0" w:space="0" w:color="auto"/>
            <w:right w:val="none" w:sz="0" w:space="0" w:color="auto"/>
          </w:divBdr>
          <w:divsChild>
            <w:div w:id="305279841">
              <w:marLeft w:val="0"/>
              <w:marRight w:val="0"/>
              <w:marTop w:val="0"/>
              <w:marBottom w:val="0"/>
              <w:divBdr>
                <w:top w:val="none" w:sz="0" w:space="0" w:color="auto"/>
                <w:left w:val="none" w:sz="0" w:space="0" w:color="auto"/>
                <w:bottom w:val="none" w:sz="0" w:space="0" w:color="auto"/>
                <w:right w:val="none" w:sz="0" w:space="0" w:color="auto"/>
              </w:divBdr>
            </w:div>
          </w:divsChild>
        </w:div>
        <w:div w:id="866136413">
          <w:marLeft w:val="0"/>
          <w:marRight w:val="0"/>
          <w:marTop w:val="0"/>
          <w:marBottom w:val="0"/>
          <w:divBdr>
            <w:top w:val="none" w:sz="0" w:space="0" w:color="auto"/>
            <w:left w:val="none" w:sz="0" w:space="0" w:color="auto"/>
            <w:bottom w:val="none" w:sz="0" w:space="0" w:color="auto"/>
            <w:right w:val="none" w:sz="0" w:space="0" w:color="auto"/>
          </w:divBdr>
          <w:divsChild>
            <w:div w:id="1512571949">
              <w:marLeft w:val="0"/>
              <w:marRight w:val="0"/>
              <w:marTop w:val="0"/>
              <w:marBottom w:val="0"/>
              <w:divBdr>
                <w:top w:val="none" w:sz="0" w:space="0" w:color="auto"/>
                <w:left w:val="none" w:sz="0" w:space="0" w:color="auto"/>
                <w:bottom w:val="none" w:sz="0" w:space="0" w:color="auto"/>
                <w:right w:val="none" w:sz="0" w:space="0" w:color="auto"/>
              </w:divBdr>
            </w:div>
          </w:divsChild>
        </w:div>
        <w:div w:id="364984871">
          <w:marLeft w:val="0"/>
          <w:marRight w:val="0"/>
          <w:marTop w:val="0"/>
          <w:marBottom w:val="0"/>
          <w:divBdr>
            <w:top w:val="none" w:sz="0" w:space="0" w:color="auto"/>
            <w:left w:val="none" w:sz="0" w:space="0" w:color="auto"/>
            <w:bottom w:val="none" w:sz="0" w:space="0" w:color="auto"/>
            <w:right w:val="none" w:sz="0" w:space="0" w:color="auto"/>
          </w:divBdr>
          <w:divsChild>
            <w:div w:id="1088648808">
              <w:marLeft w:val="0"/>
              <w:marRight w:val="0"/>
              <w:marTop w:val="0"/>
              <w:marBottom w:val="0"/>
              <w:divBdr>
                <w:top w:val="none" w:sz="0" w:space="0" w:color="auto"/>
                <w:left w:val="none" w:sz="0" w:space="0" w:color="auto"/>
                <w:bottom w:val="none" w:sz="0" w:space="0" w:color="auto"/>
                <w:right w:val="none" w:sz="0" w:space="0" w:color="auto"/>
              </w:divBdr>
            </w:div>
          </w:divsChild>
        </w:div>
        <w:div w:id="298993549">
          <w:marLeft w:val="0"/>
          <w:marRight w:val="0"/>
          <w:marTop w:val="0"/>
          <w:marBottom w:val="0"/>
          <w:divBdr>
            <w:top w:val="none" w:sz="0" w:space="0" w:color="auto"/>
            <w:left w:val="none" w:sz="0" w:space="0" w:color="auto"/>
            <w:bottom w:val="none" w:sz="0" w:space="0" w:color="auto"/>
            <w:right w:val="none" w:sz="0" w:space="0" w:color="auto"/>
          </w:divBdr>
          <w:divsChild>
            <w:div w:id="1890993170">
              <w:marLeft w:val="0"/>
              <w:marRight w:val="0"/>
              <w:marTop w:val="0"/>
              <w:marBottom w:val="0"/>
              <w:divBdr>
                <w:top w:val="none" w:sz="0" w:space="0" w:color="auto"/>
                <w:left w:val="none" w:sz="0" w:space="0" w:color="auto"/>
                <w:bottom w:val="none" w:sz="0" w:space="0" w:color="auto"/>
                <w:right w:val="none" w:sz="0" w:space="0" w:color="auto"/>
              </w:divBdr>
            </w:div>
          </w:divsChild>
        </w:div>
        <w:div w:id="1138257541">
          <w:marLeft w:val="0"/>
          <w:marRight w:val="0"/>
          <w:marTop w:val="0"/>
          <w:marBottom w:val="0"/>
          <w:divBdr>
            <w:top w:val="none" w:sz="0" w:space="0" w:color="auto"/>
            <w:left w:val="none" w:sz="0" w:space="0" w:color="auto"/>
            <w:bottom w:val="none" w:sz="0" w:space="0" w:color="auto"/>
            <w:right w:val="none" w:sz="0" w:space="0" w:color="auto"/>
          </w:divBdr>
          <w:divsChild>
            <w:div w:id="140000435">
              <w:marLeft w:val="0"/>
              <w:marRight w:val="0"/>
              <w:marTop w:val="0"/>
              <w:marBottom w:val="0"/>
              <w:divBdr>
                <w:top w:val="none" w:sz="0" w:space="0" w:color="auto"/>
                <w:left w:val="none" w:sz="0" w:space="0" w:color="auto"/>
                <w:bottom w:val="none" w:sz="0" w:space="0" w:color="auto"/>
                <w:right w:val="none" w:sz="0" w:space="0" w:color="auto"/>
              </w:divBdr>
            </w:div>
          </w:divsChild>
        </w:div>
        <w:div w:id="200480824">
          <w:marLeft w:val="0"/>
          <w:marRight w:val="0"/>
          <w:marTop w:val="0"/>
          <w:marBottom w:val="0"/>
          <w:divBdr>
            <w:top w:val="none" w:sz="0" w:space="0" w:color="auto"/>
            <w:left w:val="none" w:sz="0" w:space="0" w:color="auto"/>
            <w:bottom w:val="none" w:sz="0" w:space="0" w:color="auto"/>
            <w:right w:val="none" w:sz="0" w:space="0" w:color="auto"/>
          </w:divBdr>
          <w:divsChild>
            <w:div w:id="5402722">
              <w:marLeft w:val="0"/>
              <w:marRight w:val="0"/>
              <w:marTop w:val="0"/>
              <w:marBottom w:val="0"/>
              <w:divBdr>
                <w:top w:val="none" w:sz="0" w:space="0" w:color="auto"/>
                <w:left w:val="none" w:sz="0" w:space="0" w:color="auto"/>
                <w:bottom w:val="none" w:sz="0" w:space="0" w:color="auto"/>
                <w:right w:val="none" w:sz="0" w:space="0" w:color="auto"/>
              </w:divBdr>
            </w:div>
          </w:divsChild>
        </w:div>
        <w:div w:id="1294946712">
          <w:marLeft w:val="0"/>
          <w:marRight w:val="0"/>
          <w:marTop w:val="0"/>
          <w:marBottom w:val="0"/>
          <w:divBdr>
            <w:top w:val="none" w:sz="0" w:space="0" w:color="auto"/>
            <w:left w:val="none" w:sz="0" w:space="0" w:color="auto"/>
            <w:bottom w:val="none" w:sz="0" w:space="0" w:color="auto"/>
            <w:right w:val="none" w:sz="0" w:space="0" w:color="auto"/>
          </w:divBdr>
          <w:divsChild>
            <w:div w:id="731081898">
              <w:marLeft w:val="0"/>
              <w:marRight w:val="0"/>
              <w:marTop w:val="0"/>
              <w:marBottom w:val="0"/>
              <w:divBdr>
                <w:top w:val="none" w:sz="0" w:space="0" w:color="auto"/>
                <w:left w:val="none" w:sz="0" w:space="0" w:color="auto"/>
                <w:bottom w:val="none" w:sz="0" w:space="0" w:color="auto"/>
                <w:right w:val="none" w:sz="0" w:space="0" w:color="auto"/>
              </w:divBdr>
            </w:div>
          </w:divsChild>
        </w:div>
        <w:div w:id="975991623">
          <w:marLeft w:val="0"/>
          <w:marRight w:val="0"/>
          <w:marTop w:val="0"/>
          <w:marBottom w:val="0"/>
          <w:divBdr>
            <w:top w:val="none" w:sz="0" w:space="0" w:color="auto"/>
            <w:left w:val="none" w:sz="0" w:space="0" w:color="auto"/>
            <w:bottom w:val="none" w:sz="0" w:space="0" w:color="auto"/>
            <w:right w:val="none" w:sz="0" w:space="0" w:color="auto"/>
          </w:divBdr>
          <w:divsChild>
            <w:div w:id="1453092943">
              <w:marLeft w:val="0"/>
              <w:marRight w:val="0"/>
              <w:marTop w:val="0"/>
              <w:marBottom w:val="0"/>
              <w:divBdr>
                <w:top w:val="none" w:sz="0" w:space="0" w:color="auto"/>
                <w:left w:val="none" w:sz="0" w:space="0" w:color="auto"/>
                <w:bottom w:val="none" w:sz="0" w:space="0" w:color="auto"/>
                <w:right w:val="none" w:sz="0" w:space="0" w:color="auto"/>
              </w:divBdr>
            </w:div>
          </w:divsChild>
        </w:div>
        <w:div w:id="1224482220">
          <w:marLeft w:val="0"/>
          <w:marRight w:val="0"/>
          <w:marTop w:val="0"/>
          <w:marBottom w:val="0"/>
          <w:divBdr>
            <w:top w:val="none" w:sz="0" w:space="0" w:color="auto"/>
            <w:left w:val="none" w:sz="0" w:space="0" w:color="auto"/>
            <w:bottom w:val="none" w:sz="0" w:space="0" w:color="auto"/>
            <w:right w:val="none" w:sz="0" w:space="0" w:color="auto"/>
          </w:divBdr>
          <w:divsChild>
            <w:div w:id="88164509">
              <w:marLeft w:val="0"/>
              <w:marRight w:val="0"/>
              <w:marTop w:val="0"/>
              <w:marBottom w:val="0"/>
              <w:divBdr>
                <w:top w:val="none" w:sz="0" w:space="0" w:color="auto"/>
                <w:left w:val="none" w:sz="0" w:space="0" w:color="auto"/>
                <w:bottom w:val="none" w:sz="0" w:space="0" w:color="auto"/>
                <w:right w:val="none" w:sz="0" w:space="0" w:color="auto"/>
              </w:divBdr>
            </w:div>
          </w:divsChild>
        </w:div>
        <w:div w:id="1681545298">
          <w:marLeft w:val="0"/>
          <w:marRight w:val="0"/>
          <w:marTop w:val="0"/>
          <w:marBottom w:val="0"/>
          <w:divBdr>
            <w:top w:val="none" w:sz="0" w:space="0" w:color="auto"/>
            <w:left w:val="none" w:sz="0" w:space="0" w:color="auto"/>
            <w:bottom w:val="none" w:sz="0" w:space="0" w:color="auto"/>
            <w:right w:val="none" w:sz="0" w:space="0" w:color="auto"/>
          </w:divBdr>
          <w:divsChild>
            <w:div w:id="1742556108">
              <w:marLeft w:val="0"/>
              <w:marRight w:val="0"/>
              <w:marTop w:val="0"/>
              <w:marBottom w:val="0"/>
              <w:divBdr>
                <w:top w:val="none" w:sz="0" w:space="0" w:color="auto"/>
                <w:left w:val="none" w:sz="0" w:space="0" w:color="auto"/>
                <w:bottom w:val="none" w:sz="0" w:space="0" w:color="auto"/>
                <w:right w:val="none" w:sz="0" w:space="0" w:color="auto"/>
              </w:divBdr>
            </w:div>
          </w:divsChild>
        </w:div>
        <w:div w:id="660818188">
          <w:marLeft w:val="0"/>
          <w:marRight w:val="0"/>
          <w:marTop w:val="0"/>
          <w:marBottom w:val="0"/>
          <w:divBdr>
            <w:top w:val="none" w:sz="0" w:space="0" w:color="auto"/>
            <w:left w:val="none" w:sz="0" w:space="0" w:color="auto"/>
            <w:bottom w:val="none" w:sz="0" w:space="0" w:color="auto"/>
            <w:right w:val="none" w:sz="0" w:space="0" w:color="auto"/>
          </w:divBdr>
          <w:divsChild>
            <w:div w:id="1368262721">
              <w:marLeft w:val="0"/>
              <w:marRight w:val="0"/>
              <w:marTop w:val="0"/>
              <w:marBottom w:val="0"/>
              <w:divBdr>
                <w:top w:val="none" w:sz="0" w:space="0" w:color="auto"/>
                <w:left w:val="none" w:sz="0" w:space="0" w:color="auto"/>
                <w:bottom w:val="none" w:sz="0" w:space="0" w:color="auto"/>
                <w:right w:val="none" w:sz="0" w:space="0" w:color="auto"/>
              </w:divBdr>
            </w:div>
          </w:divsChild>
        </w:div>
        <w:div w:id="758137028">
          <w:marLeft w:val="0"/>
          <w:marRight w:val="0"/>
          <w:marTop w:val="0"/>
          <w:marBottom w:val="0"/>
          <w:divBdr>
            <w:top w:val="none" w:sz="0" w:space="0" w:color="auto"/>
            <w:left w:val="none" w:sz="0" w:space="0" w:color="auto"/>
            <w:bottom w:val="none" w:sz="0" w:space="0" w:color="auto"/>
            <w:right w:val="none" w:sz="0" w:space="0" w:color="auto"/>
          </w:divBdr>
          <w:divsChild>
            <w:div w:id="1900827481">
              <w:marLeft w:val="0"/>
              <w:marRight w:val="0"/>
              <w:marTop w:val="0"/>
              <w:marBottom w:val="0"/>
              <w:divBdr>
                <w:top w:val="none" w:sz="0" w:space="0" w:color="auto"/>
                <w:left w:val="none" w:sz="0" w:space="0" w:color="auto"/>
                <w:bottom w:val="none" w:sz="0" w:space="0" w:color="auto"/>
                <w:right w:val="none" w:sz="0" w:space="0" w:color="auto"/>
              </w:divBdr>
            </w:div>
          </w:divsChild>
        </w:div>
        <w:div w:id="59330323">
          <w:marLeft w:val="0"/>
          <w:marRight w:val="0"/>
          <w:marTop w:val="0"/>
          <w:marBottom w:val="0"/>
          <w:divBdr>
            <w:top w:val="none" w:sz="0" w:space="0" w:color="auto"/>
            <w:left w:val="none" w:sz="0" w:space="0" w:color="auto"/>
            <w:bottom w:val="none" w:sz="0" w:space="0" w:color="auto"/>
            <w:right w:val="none" w:sz="0" w:space="0" w:color="auto"/>
          </w:divBdr>
          <w:divsChild>
            <w:div w:id="806512297">
              <w:marLeft w:val="0"/>
              <w:marRight w:val="0"/>
              <w:marTop w:val="0"/>
              <w:marBottom w:val="0"/>
              <w:divBdr>
                <w:top w:val="none" w:sz="0" w:space="0" w:color="auto"/>
                <w:left w:val="none" w:sz="0" w:space="0" w:color="auto"/>
                <w:bottom w:val="none" w:sz="0" w:space="0" w:color="auto"/>
                <w:right w:val="none" w:sz="0" w:space="0" w:color="auto"/>
              </w:divBdr>
            </w:div>
          </w:divsChild>
        </w:div>
        <w:div w:id="407313128">
          <w:marLeft w:val="0"/>
          <w:marRight w:val="0"/>
          <w:marTop w:val="0"/>
          <w:marBottom w:val="0"/>
          <w:divBdr>
            <w:top w:val="none" w:sz="0" w:space="0" w:color="auto"/>
            <w:left w:val="none" w:sz="0" w:space="0" w:color="auto"/>
            <w:bottom w:val="none" w:sz="0" w:space="0" w:color="auto"/>
            <w:right w:val="none" w:sz="0" w:space="0" w:color="auto"/>
          </w:divBdr>
          <w:divsChild>
            <w:div w:id="959261753">
              <w:marLeft w:val="0"/>
              <w:marRight w:val="0"/>
              <w:marTop w:val="0"/>
              <w:marBottom w:val="0"/>
              <w:divBdr>
                <w:top w:val="none" w:sz="0" w:space="0" w:color="auto"/>
                <w:left w:val="none" w:sz="0" w:space="0" w:color="auto"/>
                <w:bottom w:val="none" w:sz="0" w:space="0" w:color="auto"/>
                <w:right w:val="none" w:sz="0" w:space="0" w:color="auto"/>
              </w:divBdr>
            </w:div>
          </w:divsChild>
        </w:div>
        <w:div w:id="818615967">
          <w:marLeft w:val="0"/>
          <w:marRight w:val="0"/>
          <w:marTop w:val="0"/>
          <w:marBottom w:val="0"/>
          <w:divBdr>
            <w:top w:val="none" w:sz="0" w:space="0" w:color="auto"/>
            <w:left w:val="none" w:sz="0" w:space="0" w:color="auto"/>
            <w:bottom w:val="none" w:sz="0" w:space="0" w:color="auto"/>
            <w:right w:val="none" w:sz="0" w:space="0" w:color="auto"/>
          </w:divBdr>
          <w:divsChild>
            <w:div w:id="1352294611">
              <w:marLeft w:val="0"/>
              <w:marRight w:val="0"/>
              <w:marTop w:val="0"/>
              <w:marBottom w:val="0"/>
              <w:divBdr>
                <w:top w:val="none" w:sz="0" w:space="0" w:color="auto"/>
                <w:left w:val="none" w:sz="0" w:space="0" w:color="auto"/>
                <w:bottom w:val="none" w:sz="0" w:space="0" w:color="auto"/>
                <w:right w:val="none" w:sz="0" w:space="0" w:color="auto"/>
              </w:divBdr>
            </w:div>
          </w:divsChild>
        </w:div>
        <w:div w:id="782042033">
          <w:marLeft w:val="0"/>
          <w:marRight w:val="0"/>
          <w:marTop w:val="0"/>
          <w:marBottom w:val="0"/>
          <w:divBdr>
            <w:top w:val="none" w:sz="0" w:space="0" w:color="auto"/>
            <w:left w:val="none" w:sz="0" w:space="0" w:color="auto"/>
            <w:bottom w:val="none" w:sz="0" w:space="0" w:color="auto"/>
            <w:right w:val="none" w:sz="0" w:space="0" w:color="auto"/>
          </w:divBdr>
          <w:divsChild>
            <w:div w:id="1389723478">
              <w:marLeft w:val="0"/>
              <w:marRight w:val="0"/>
              <w:marTop w:val="0"/>
              <w:marBottom w:val="0"/>
              <w:divBdr>
                <w:top w:val="none" w:sz="0" w:space="0" w:color="auto"/>
                <w:left w:val="none" w:sz="0" w:space="0" w:color="auto"/>
                <w:bottom w:val="none" w:sz="0" w:space="0" w:color="auto"/>
                <w:right w:val="none" w:sz="0" w:space="0" w:color="auto"/>
              </w:divBdr>
            </w:div>
          </w:divsChild>
        </w:div>
        <w:div w:id="37510445">
          <w:marLeft w:val="0"/>
          <w:marRight w:val="0"/>
          <w:marTop w:val="0"/>
          <w:marBottom w:val="0"/>
          <w:divBdr>
            <w:top w:val="none" w:sz="0" w:space="0" w:color="auto"/>
            <w:left w:val="none" w:sz="0" w:space="0" w:color="auto"/>
            <w:bottom w:val="none" w:sz="0" w:space="0" w:color="auto"/>
            <w:right w:val="none" w:sz="0" w:space="0" w:color="auto"/>
          </w:divBdr>
          <w:divsChild>
            <w:div w:id="950088394">
              <w:marLeft w:val="0"/>
              <w:marRight w:val="0"/>
              <w:marTop w:val="0"/>
              <w:marBottom w:val="0"/>
              <w:divBdr>
                <w:top w:val="none" w:sz="0" w:space="0" w:color="auto"/>
                <w:left w:val="none" w:sz="0" w:space="0" w:color="auto"/>
                <w:bottom w:val="none" w:sz="0" w:space="0" w:color="auto"/>
                <w:right w:val="none" w:sz="0" w:space="0" w:color="auto"/>
              </w:divBdr>
            </w:div>
          </w:divsChild>
        </w:div>
        <w:div w:id="1615863996">
          <w:marLeft w:val="0"/>
          <w:marRight w:val="0"/>
          <w:marTop w:val="0"/>
          <w:marBottom w:val="0"/>
          <w:divBdr>
            <w:top w:val="none" w:sz="0" w:space="0" w:color="auto"/>
            <w:left w:val="none" w:sz="0" w:space="0" w:color="auto"/>
            <w:bottom w:val="none" w:sz="0" w:space="0" w:color="auto"/>
            <w:right w:val="none" w:sz="0" w:space="0" w:color="auto"/>
          </w:divBdr>
          <w:divsChild>
            <w:div w:id="504629988">
              <w:marLeft w:val="0"/>
              <w:marRight w:val="0"/>
              <w:marTop w:val="0"/>
              <w:marBottom w:val="0"/>
              <w:divBdr>
                <w:top w:val="none" w:sz="0" w:space="0" w:color="auto"/>
                <w:left w:val="none" w:sz="0" w:space="0" w:color="auto"/>
                <w:bottom w:val="none" w:sz="0" w:space="0" w:color="auto"/>
                <w:right w:val="none" w:sz="0" w:space="0" w:color="auto"/>
              </w:divBdr>
            </w:div>
          </w:divsChild>
        </w:div>
        <w:div w:id="731386472">
          <w:marLeft w:val="0"/>
          <w:marRight w:val="0"/>
          <w:marTop w:val="0"/>
          <w:marBottom w:val="0"/>
          <w:divBdr>
            <w:top w:val="none" w:sz="0" w:space="0" w:color="auto"/>
            <w:left w:val="none" w:sz="0" w:space="0" w:color="auto"/>
            <w:bottom w:val="none" w:sz="0" w:space="0" w:color="auto"/>
            <w:right w:val="none" w:sz="0" w:space="0" w:color="auto"/>
          </w:divBdr>
          <w:divsChild>
            <w:div w:id="1436706250">
              <w:marLeft w:val="0"/>
              <w:marRight w:val="0"/>
              <w:marTop w:val="0"/>
              <w:marBottom w:val="0"/>
              <w:divBdr>
                <w:top w:val="none" w:sz="0" w:space="0" w:color="auto"/>
                <w:left w:val="none" w:sz="0" w:space="0" w:color="auto"/>
                <w:bottom w:val="none" w:sz="0" w:space="0" w:color="auto"/>
                <w:right w:val="none" w:sz="0" w:space="0" w:color="auto"/>
              </w:divBdr>
            </w:div>
          </w:divsChild>
        </w:div>
        <w:div w:id="999774749">
          <w:marLeft w:val="0"/>
          <w:marRight w:val="0"/>
          <w:marTop w:val="0"/>
          <w:marBottom w:val="0"/>
          <w:divBdr>
            <w:top w:val="none" w:sz="0" w:space="0" w:color="auto"/>
            <w:left w:val="none" w:sz="0" w:space="0" w:color="auto"/>
            <w:bottom w:val="none" w:sz="0" w:space="0" w:color="auto"/>
            <w:right w:val="none" w:sz="0" w:space="0" w:color="auto"/>
          </w:divBdr>
          <w:divsChild>
            <w:div w:id="891305189">
              <w:marLeft w:val="0"/>
              <w:marRight w:val="0"/>
              <w:marTop w:val="0"/>
              <w:marBottom w:val="0"/>
              <w:divBdr>
                <w:top w:val="none" w:sz="0" w:space="0" w:color="auto"/>
                <w:left w:val="none" w:sz="0" w:space="0" w:color="auto"/>
                <w:bottom w:val="none" w:sz="0" w:space="0" w:color="auto"/>
                <w:right w:val="none" w:sz="0" w:space="0" w:color="auto"/>
              </w:divBdr>
            </w:div>
          </w:divsChild>
        </w:div>
        <w:div w:id="2082362724">
          <w:marLeft w:val="0"/>
          <w:marRight w:val="0"/>
          <w:marTop w:val="0"/>
          <w:marBottom w:val="0"/>
          <w:divBdr>
            <w:top w:val="none" w:sz="0" w:space="0" w:color="auto"/>
            <w:left w:val="none" w:sz="0" w:space="0" w:color="auto"/>
            <w:bottom w:val="none" w:sz="0" w:space="0" w:color="auto"/>
            <w:right w:val="none" w:sz="0" w:space="0" w:color="auto"/>
          </w:divBdr>
          <w:divsChild>
            <w:div w:id="508982283">
              <w:marLeft w:val="0"/>
              <w:marRight w:val="0"/>
              <w:marTop w:val="0"/>
              <w:marBottom w:val="0"/>
              <w:divBdr>
                <w:top w:val="none" w:sz="0" w:space="0" w:color="auto"/>
                <w:left w:val="none" w:sz="0" w:space="0" w:color="auto"/>
                <w:bottom w:val="none" w:sz="0" w:space="0" w:color="auto"/>
                <w:right w:val="none" w:sz="0" w:space="0" w:color="auto"/>
              </w:divBdr>
            </w:div>
          </w:divsChild>
        </w:div>
        <w:div w:id="1073091023">
          <w:marLeft w:val="0"/>
          <w:marRight w:val="0"/>
          <w:marTop w:val="0"/>
          <w:marBottom w:val="0"/>
          <w:divBdr>
            <w:top w:val="none" w:sz="0" w:space="0" w:color="auto"/>
            <w:left w:val="none" w:sz="0" w:space="0" w:color="auto"/>
            <w:bottom w:val="none" w:sz="0" w:space="0" w:color="auto"/>
            <w:right w:val="none" w:sz="0" w:space="0" w:color="auto"/>
          </w:divBdr>
          <w:divsChild>
            <w:div w:id="1858960531">
              <w:marLeft w:val="0"/>
              <w:marRight w:val="0"/>
              <w:marTop w:val="0"/>
              <w:marBottom w:val="0"/>
              <w:divBdr>
                <w:top w:val="none" w:sz="0" w:space="0" w:color="auto"/>
                <w:left w:val="none" w:sz="0" w:space="0" w:color="auto"/>
                <w:bottom w:val="none" w:sz="0" w:space="0" w:color="auto"/>
                <w:right w:val="none" w:sz="0" w:space="0" w:color="auto"/>
              </w:divBdr>
            </w:div>
          </w:divsChild>
        </w:div>
        <w:div w:id="430200420">
          <w:marLeft w:val="0"/>
          <w:marRight w:val="0"/>
          <w:marTop w:val="0"/>
          <w:marBottom w:val="0"/>
          <w:divBdr>
            <w:top w:val="none" w:sz="0" w:space="0" w:color="auto"/>
            <w:left w:val="none" w:sz="0" w:space="0" w:color="auto"/>
            <w:bottom w:val="none" w:sz="0" w:space="0" w:color="auto"/>
            <w:right w:val="none" w:sz="0" w:space="0" w:color="auto"/>
          </w:divBdr>
          <w:divsChild>
            <w:div w:id="1138380346">
              <w:marLeft w:val="0"/>
              <w:marRight w:val="0"/>
              <w:marTop w:val="0"/>
              <w:marBottom w:val="0"/>
              <w:divBdr>
                <w:top w:val="none" w:sz="0" w:space="0" w:color="auto"/>
                <w:left w:val="none" w:sz="0" w:space="0" w:color="auto"/>
                <w:bottom w:val="none" w:sz="0" w:space="0" w:color="auto"/>
                <w:right w:val="none" w:sz="0" w:space="0" w:color="auto"/>
              </w:divBdr>
            </w:div>
          </w:divsChild>
        </w:div>
        <w:div w:id="941491060">
          <w:marLeft w:val="0"/>
          <w:marRight w:val="0"/>
          <w:marTop w:val="0"/>
          <w:marBottom w:val="0"/>
          <w:divBdr>
            <w:top w:val="none" w:sz="0" w:space="0" w:color="auto"/>
            <w:left w:val="none" w:sz="0" w:space="0" w:color="auto"/>
            <w:bottom w:val="none" w:sz="0" w:space="0" w:color="auto"/>
            <w:right w:val="none" w:sz="0" w:space="0" w:color="auto"/>
          </w:divBdr>
          <w:divsChild>
            <w:div w:id="1612282466">
              <w:marLeft w:val="0"/>
              <w:marRight w:val="0"/>
              <w:marTop w:val="0"/>
              <w:marBottom w:val="0"/>
              <w:divBdr>
                <w:top w:val="none" w:sz="0" w:space="0" w:color="auto"/>
                <w:left w:val="none" w:sz="0" w:space="0" w:color="auto"/>
                <w:bottom w:val="none" w:sz="0" w:space="0" w:color="auto"/>
                <w:right w:val="none" w:sz="0" w:space="0" w:color="auto"/>
              </w:divBdr>
            </w:div>
          </w:divsChild>
        </w:div>
        <w:div w:id="2082869688">
          <w:marLeft w:val="0"/>
          <w:marRight w:val="0"/>
          <w:marTop w:val="0"/>
          <w:marBottom w:val="0"/>
          <w:divBdr>
            <w:top w:val="none" w:sz="0" w:space="0" w:color="auto"/>
            <w:left w:val="none" w:sz="0" w:space="0" w:color="auto"/>
            <w:bottom w:val="none" w:sz="0" w:space="0" w:color="auto"/>
            <w:right w:val="none" w:sz="0" w:space="0" w:color="auto"/>
          </w:divBdr>
          <w:divsChild>
            <w:div w:id="1988900731">
              <w:marLeft w:val="0"/>
              <w:marRight w:val="0"/>
              <w:marTop w:val="0"/>
              <w:marBottom w:val="0"/>
              <w:divBdr>
                <w:top w:val="none" w:sz="0" w:space="0" w:color="auto"/>
                <w:left w:val="none" w:sz="0" w:space="0" w:color="auto"/>
                <w:bottom w:val="none" w:sz="0" w:space="0" w:color="auto"/>
                <w:right w:val="none" w:sz="0" w:space="0" w:color="auto"/>
              </w:divBdr>
            </w:div>
          </w:divsChild>
        </w:div>
        <w:div w:id="1223326955">
          <w:marLeft w:val="0"/>
          <w:marRight w:val="0"/>
          <w:marTop w:val="0"/>
          <w:marBottom w:val="0"/>
          <w:divBdr>
            <w:top w:val="none" w:sz="0" w:space="0" w:color="auto"/>
            <w:left w:val="none" w:sz="0" w:space="0" w:color="auto"/>
            <w:bottom w:val="none" w:sz="0" w:space="0" w:color="auto"/>
            <w:right w:val="none" w:sz="0" w:space="0" w:color="auto"/>
          </w:divBdr>
          <w:divsChild>
            <w:div w:id="1552110306">
              <w:marLeft w:val="0"/>
              <w:marRight w:val="0"/>
              <w:marTop w:val="0"/>
              <w:marBottom w:val="0"/>
              <w:divBdr>
                <w:top w:val="none" w:sz="0" w:space="0" w:color="auto"/>
                <w:left w:val="none" w:sz="0" w:space="0" w:color="auto"/>
                <w:bottom w:val="none" w:sz="0" w:space="0" w:color="auto"/>
                <w:right w:val="none" w:sz="0" w:space="0" w:color="auto"/>
              </w:divBdr>
            </w:div>
          </w:divsChild>
        </w:div>
        <w:div w:id="1561475007">
          <w:marLeft w:val="0"/>
          <w:marRight w:val="0"/>
          <w:marTop w:val="0"/>
          <w:marBottom w:val="0"/>
          <w:divBdr>
            <w:top w:val="none" w:sz="0" w:space="0" w:color="auto"/>
            <w:left w:val="none" w:sz="0" w:space="0" w:color="auto"/>
            <w:bottom w:val="none" w:sz="0" w:space="0" w:color="auto"/>
            <w:right w:val="none" w:sz="0" w:space="0" w:color="auto"/>
          </w:divBdr>
          <w:divsChild>
            <w:div w:id="2022589327">
              <w:marLeft w:val="0"/>
              <w:marRight w:val="0"/>
              <w:marTop w:val="0"/>
              <w:marBottom w:val="0"/>
              <w:divBdr>
                <w:top w:val="none" w:sz="0" w:space="0" w:color="auto"/>
                <w:left w:val="none" w:sz="0" w:space="0" w:color="auto"/>
                <w:bottom w:val="none" w:sz="0" w:space="0" w:color="auto"/>
                <w:right w:val="none" w:sz="0" w:space="0" w:color="auto"/>
              </w:divBdr>
            </w:div>
          </w:divsChild>
        </w:div>
        <w:div w:id="372467468">
          <w:marLeft w:val="0"/>
          <w:marRight w:val="0"/>
          <w:marTop w:val="0"/>
          <w:marBottom w:val="0"/>
          <w:divBdr>
            <w:top w:val="none" w:sz="0" w:space="0" w:color="auto"/>
            <w:left w:val="none" w:sz="0" w:space="0" w:color="auto"/>
            <w:bottom w:val="none" w:sz="0" w:space="0" w:color="auto"/>
            <w:right w:val="none" w:sz="0" w:space="0" w:color="auto"/>
          </w:divBdr>
          <w:divsChild>
            <w:div w:id="972178771">
              <w:marLeft w:val="0"/>
              <w:marRight w:val="0"/>
              <w:marTop w:val="0"/>
              <w:marBottom w:val="0"/>
              <w:divBdr>
                <w:top w:val="none" w:sz="0" w:space="0" w:color="auto"/>
                <w:left w:val="none" w:sz="0" w:space="0" w:color="auto"/>
                <w:bottom w:val="none" w:sz="0" w:space="0" w:color="auto"/>
                <w:right w:val="none" w:sz="0" w:space="0" w:color="auto"/>
              </w:divBdr>
            </w:div>
          </w:divsChild>
        </w:div>
        <w:div w:id="1900048754">
          <w:marLeft w:val="0"/>
          <w:marRight w:val="0"/>
          <w:marTop w:val="0"/>
          <w:marBottom w:val="0"/>
          <w:divBdr>
            <w:top w:val="none" w:sz="0" w:space="0" w:color="auto"/>
            <w:left w:val="none" w:sz="0" w:space="0" w:color="auto"/>
            <w:bottom w:val="none" w:sz="0" w:space="0" w:color="auto"/>
            <w:right w:val="none" w:sz="0" w:space="0" w:color="auto"/>
          </w:divBdr>
          <w:divsChild>
            <w:div w:id="1769959375">
              <w:marLeft w:val="0"/>
              <w:marRight w:val="0"/>
              <w:marTop w:val="0"/>
              <w:marBottom w:val="0"/>
              <w:divBdr>
                <w:top w:val="none" w:sz="0" w:space="0" w:color="auto"/>
                <w:left w:val="none" w:sz="0" w:space="0" w:color="auto"/>
                <w:bottom w:val="none" w:sz="0" w:space="0" w:color="auto"/>
                <w:right w:val="none" w:sz="0" w:space="0" w:color="auto"/>
              </w:divBdr>
            </w:div>
          </w:divsChild>
        </w:div>
        <w:div w:id="289284580">
          <w:marLeft w:val="0"/>
          <w:marRight w:val="0"/>
          <w:marTop w:val="0"/>
          <w:marBottom w:val="0"/>
          <w:divBdr>
            <w:top w:val="none" w:sz="0" w:space="0" w:color="auto"/>
            <w:left w:val="none" w:sz="0" w:space="0" w:color="auto"/>
            <w:bottom w:val="none" w:sz="0" w:space="0" w:color="auto"/>
            <w:right w:val="none" w:sz="0" w:space="0" w:color="auto"/>
          </w:divBdr>
          <w:divsChild>
            <w:div w:id="1395854904">
              <w:marLeft w:val="0"/>
              <w:marRight w:val="0"/>
              <w:marTop w:val="0"/>
              <w:marBottom w:val="0"/>
              <w:divBdr>
                <w:top w:val="none" w:sz="0" w:space="0" w:color="auto"/>
                <w:left w:val="none" w:sz="0" w:space="0" w:color="auto"/>
                <w:bottom w:val="none" w:sz="0" w:space="0" w:color="auto"/>
                <w:right w:val="none" w:sz="0" w:space="0" w:color="auto"/>
              </w:divBdr>
            </w:div>
          </w:divsChild>
        </w:div>
        <w:div w:id="628970390">
          <w:marLeft w:val="0"/>
          <w:marRight w:val="0"/>
          <w:marTop w:val="0"/>
          <w:marBottom w:val="0"/>
          <w:divBdr>
            <w:top w:val="none" w:sz="0" w:space="0" w:color="auto"/>
            <w:left w:val="none" w:sz="0" w:space="0" w:color="auto"/>
            <w:bottom w:val="none" w:sz="0" w:space="0" w:color="auto"/>
            <w:right w:val="none" w:sz="0" w:space="0" w:color="auto"/>
          </w:divBdr>
          <w:divsChild>
            <w:div w:id="659816949">
              <w:marLeft w:val="0"/>
              <w:marRight w:val="0"/>
              <w:marTop w:val="0"/>
              <w:marBottom w:val="0"/>
              <w:divBdr>
                <w:top w:val="none" w:sz="0" w:space="0" w:color="auto"/>
                <w:left w:val="none" w:sz="0" w:space="0" w:color="auto"/>
                <w:bottom w:val="none" w:sz="0" w:space="0" w:color="auto"/>
                <w:right w:val="none" w:sz="0" w:space="0" w:color="auto"/>
              </w:divBdr>
            </w:div>
          </w:divsChild>
        </w:div>
        <w:div w:id="61031823">
          <w:marLeft w:val="0"/>
          <w:marRight w:val="0"/>
          <w:marTop w:val="0"/>
          <w:marBottom w:val="0"/>
          <w:divBdr>
            <w:top w:val="none" w:sz="0" w:space="0" w:color="auto"/>
            <w:left w:val="none" w:sz="0" w:space="0" w:color="auto"/>
            <w:bottom w:val="none" w:sz="0" w:space="0" w:color="auto"/>
            <w:right w:val="none" w:sz="0" w:space="0" w:color="auto"/>
          </w:divBdr>
          <w:divsChild>
            <w:div w:id="1115369886">
              <w:marLeft w:val="0"/>
              <w:marRight w:val="0"/>
              <w:marTop w:val="0"/>
              <w:marBottom w:val="0"/>
              <w:divBdr>
                <w:top w:val="none" w:sz="0" w:space="0" w:color="auto"/>
                <w:left w:val="none" w:sz="0" w:space="0" w:color="auto"/>
                <w:bottom w:val="none" w:sz="0" w:space="0" w:color="auto"/>
                <w:right w:val="none" w:sz="0" w:space="0" w:color="auto"/>
              </w:divBdr>
            </w:div>
          </w:divsChild>
        </w:div>
        <w:div w:id="463893570">
          <w:marLeft w:val="0"/>
          <w:marRight w:val="0"/>
          <w:marTop w:val="0"/>
          <w:marBottom w:val="0"/>
          <w:divBdr>
            <w:top w:val="none" w:sz="0" w:space="0" w:color="auto"/>
            <w:left w:val="none" w:sz="0" w:space="0" w:color="auto"/>
            <w:bottom w:val="none" w:sz="0" w:space="0" w:color="auto"/>
            <w:right w:val="none" w:sz="0" w:space="0" w:color="auto"/>
          </w:divBdr>
          <w:divsChild>
            <w:div w:id="229459233">
              <w:marLeft w:val="0"/>
              <w:marRight w:val="0"/>
              <w:marTop w:val="0"/>
              <w:marBottom w:val="0"/>
              <w:divBdr>
                <w:top w:val="none" w:sz="0" w:space="0" w:color="auto"/>
                <w:left w:val="none" w:sz="0" w:space="0" w:color="auto"/>
                <w:bottom w:val="none" w:sz="0" w:space="0" w:color="auto"/>
                <w:right w:val="none" w:sz="0" w:space="0" w:color="auto"/>
              </w:divBdr>
            </w:div>
          </w:divsChild>
        </w:div>
        <w:div w:id="656570574">
          <w:marLeft w:val="0"/>
          <w:marRight w:val="0"/>
          <w:marTop w:val="0"/>
          <w:marBottom w:val="0"/>
          <w:divBdr>
            <w:top w:val="none" w:sz="0" w:space="0" w:color="auto"/>
            <w:left w:val="none" w:sz="0" w:space="0" w:color="auto"/>
            <w:bottom w:val="none" w:sz="0" w:space="0" w:color="auto"/>
            <w:right w:val="none" w:sz="0" w:space="0" w:color="auto"/>
          </w:divBdr>
          <w:divsChild>
            <w:div w:id="1093936291">
              <w:marLeft w:val="0"/>
              <w:marRight w:val="0"/>
              <w:marTop w:val="0"/>
              <w:marBottom w:val="0"/>
              <w:divBdr>
                <w:top w:val="none" w:sz="0" w:space="0" w:color="auto"/>
                <w:left w:val="none" w:sz="0" w:space="0" w:color="auto"/>
                <w:bottom w:val="none" w:sz="0" w:space="0" w:color="auto"/>
                <w:right w:val="none" w:sz="0" w:space="0" w:color="auto"/>
              </w:divBdr>
            </w:div>
          </w:divsChild>
        </w:div>
        <w:div w:id="1878277925">
          <w:marLeft w:val="0"/>
          <w:marRight w:val="0"/>
          <w:marTop w:val="0"/>
          <w:marBottom w:val="0"/>
          <w:divBdr>
            <w:top w:val="none" w:sz="0" w:space="0" w:color="auto"/>
            <w:left w:val="none" w:sz="0" w:space="0" w:color="auto"/>
            <w:bottom w:val="none" w:sz="0" w:space="0" w:color="auto"/>
            <w:right w:val="none" w:sz="0" w:space="0" w:color="auto"/>
          </w:divBdr>
          <w:divsChild>
            <w:div w:id="513110901">
              <w:marLeft w:val="0"/>
              <w:marRight w:val="0"/>
              <w:marTop w:val="0"/>
              <w:marBottom w:val="0"/>
              <w:divBdr>
                <w:top w:val="none" w:sz="0" w:space="0" w:color="auto"/>
                <w:left w:val="none" w:sz="0" w:space="0" w:color="auto"/>
                <w:bottom w:val="none" w:sz="0" w:space="0" w:color="auto"/>
                <w:right w:val="none" w:sz="0" w:space="0" w:color="auto"/>
              </w:divBdr>
            </w:div>
          </w:divsChild>
        </w:div>
        <w:div w:id="1641765412">
          <w:marLeft w:val="0"/>
          <w:marRight w:val="0"/>
          <w:marTop w:val="0"/>
          <w:marBottom w:val="0"/>
          <w:divBdr>
            <w:top w:val="none" w:sz="0" w:space="0" w:color="auto"/>
            <w:left w:val="none" w:sz="0" w:space="0" w:color="auto"/>
            <w:bottom w:val="none" w:sz="0" w:space="0" w:color="auto"/>
            <w:right w:val="none" w:sz="0" w:space="0" w:color="auto"/>
          </w:divBdr>
          <w:divsChild>
            <w:div w:id="1993367381">
              <w:marLeft w:val="0"/>
              <w:marRight w:val="0"/>
              <w:marTop w:val="0"/>
              <w:marBottom w:val="0"/>
              <w:divBdr>
                <w:top w:val="none" w:sz="0" w:space="0" w:color="auto"/>
                <w:left w:val="none" w:sz="0" w:space="0" w:color="auto"/>
                <w:bottom w:val="none" w:sz="0" w:space="0" w:color="auto"/>
                <w:right w:val="none" w:sz="0" w:space="0" w:color="auto"/>
              </w:divBdr>
            </w:div>
          </w:divsChild>
        </w:div>
        <w:div w:id="544023784">
          <w:marLeft w:val="0"/>
          <w:marRight w:val="0"/>
          <w:marTop w:val="0"/>
          <w:marBottom w:val="0"/>
          <w:divBdr>
            <w:top w:val="none" w:sz="0" w:space="0" w:color="auto"/>
            <w:left w:val="none" w:sz="0" w:space="0" w:color="auto"/>
            <w:bottom w:val="none" w:sz="0" w:space="0" w:color="auto"/>
            <w:right w:val="none" w:sz="0" w:space="0" w:color="auto"/>
          </w:divBdr>
          <w:divsChild>
            <w:div w:id="995261553">
              <w:marLeft w:val="0"/>
              <w:marRight w:val="0"/>
              <w:marTop w:val="0"/>
              <w:marBottom w:val="0"/>
              <w:divBdr>
                <w:top w:val="none" w:sz="0" w:space="0" w:color="auto"/>
                <w:left w:val="none" w:sz="0" w:space="0" w:color="auto"/>
                <w:bottom w:val="none" w:sz="0" w:space="0" w:color="auto"/>
                <w:right w:val="none" w:sz="0" w:space="0" w:color="auto"/>
              </w:divBdr>
            </w:div>
          </w:divsChild>
        </w:div>
        <w:div w:id="689839204">
          <w:marLeft w:val="0"/>
          <w:marRight w:val="0"/>
          <w:marTop w:val="0"/>
          <w:marBottom w:val="0"/>
          <w:divBdr>
            <w:top w:val="none" w:sz="0" w:space="0" w:color="auto"/>
            <w:left w:val="none" w:sz="0" w:space="0" w:color="auto"/>
            <w:bottom w:val="none" w:sz="0" w:space="0" w:color="auto"/>
            <w:right w:val="none" w:sz="0" w:space="0" w:color="auto"/>
          </w:divBdr>
          <w:divsChild>
            <w:div w:id="1546260826">
              <w:marLeft w:val="0"/>
              <w:marRight w:val="0"/>
              <w:marTop w:val="0"/>
              <w:marBottom w:val="0"/>
              <w:divBdr>
                <w:top w:val="none" w:sz="0" w:space="0" w:color="auto"/>
                <w:left w:val="none" w:sz="0" w:space="0" w:color="auto"/>
                <w:bottom w:val="none" w:sz="0" w:space="0" w:color="auto"/>
                <w:right w:val="none" w:sz="0" w:space="0" w:color="auto"/>
              </w:divBdr>
            </w:div>
          </w:divsChild>
        </w:div>
        <w:div w:id="165099029">
          <w:marLeft w:val="0"/>
          <w:marRight w:val="0"/>
          <w:marTop w:val="0"/>
          <w:marBottom w:val="0"/>
          <w:divBdr>
            <w:top w:val="none" w:sz="0" w:space="0" w:color="auto"/>
            <w:left w:val="none" w:sz="0" w:space="0" w:color="auto"/>
            <w:bottom w:val="none" w:sz="0" w:space="0" w:color="auto"/>
            <w:right w:val="none" w:sz="0" w:space="0" w:color="auto"/>
          </w:divBdr>
          <w:divsChild>
            <w:div w:id="891115566">
              <w:marLeft w:val="0"/>
              <w:marRight w:val="0"/>
              <w:marTop w:val="0"/>
              <w:marBottom w:val="0"/>
              <w:divBdr>
                <w:top w:val="none" w:sz="0" w:space="0" w:color="auto"/>
                <w:left w:val="none" w:sz="0" w:space="0" w:color="auto"/>
                <w:bottom w:val="none" w:sz="0" w:space="0" w:color="auto"/>
                <w:right w:val="none" w:sz="0" w:space="0" w:color="auto"/>
              </w:divBdr>
            </w:div>
          </w:divsChild>
        </w:div>
        <w:div w:id="974261997">
          <w:marLeft w:val="0"/>
          <w:marRight w:val="0"/>
          <w:marTop w:val="0"/>
          <w:marBottom w:val="0"/>
          <w:divBdr>
            <w:top w:val="none" w:sz="0" w:space="0" w:color="auto"/>
            <w:left w:val="none" w:sz="0" w:space="0" w:color="auto"/>
            <w:bottom w:val="none" w:sz="0" w:space="0" w:color="auto"/>
            <w:right w:val="none" w:sz="0" w:space="0" w:color="auto"/>
          </w:divBdr>
          <w:divsChild>
            <w:div w:id="1739744965">
              <w:marLeft w:val="0"/>
              <w:marRight w:val="0"/>
              <w:marTop w:val="0"/>
              <w:marBottom w:val="0"/>
              <w:divBdr>
                <w:top w:val="none" w:sz="0" w:space="0" w:color="auto"/>
                <w:left w:val="none" w:sz="0" w:space="0" w:color="auto"/>
                <w:bottom w:val="none" w:sz="0" w:space="0" w:color="auto"/>
                <w:right w:val="none" w:sz="0" w:space="0" w:color="auto"/>
              </w:divBdr>
            </w:div>
          </w:divsChild>
        </w:div>
        <w:div w:id="654146430">
          <w:marLeft w:val="0"/>
          <w:marRight w:val="0"/>
          <w:marTop w:val="0"/>
          <w:marBottom w:val="0"/>
          <w:divBdr>
            <w:top w:val="none" w:sz="0" w:space="0" w:color="auto"/>
            <w:left w:val="none" w:sz="0" w:space="0" w:color="auto"/>
            <w:bottom w:val="none" w:sz="0" w:space="0" w:color="auto"/>
            <w:right w:val="none" w:sz="0" w:space="0" w:color="auto"/>
          </w:divBdr>
          <w:divsChild>
            <w:div w:id="402531718">
              <w:marLeft w:val="0"/>
              <w:marRight w:val="0"/>
              <w:marTop w:val="0"/>
              <w:marBottom w:val="0"/>
              <w:divBdr>
                <w:top w:val="none" w:sz="0" w:space="0" w:color="auto"/>
                <w:left w:val="none" w:sz="0" w:space="0" w:color="auto"/>
                <w:bottom w:val="none" w:sz="0" w:space="0" w:color="auto"/>
                <w:right w:val="none" w:sz="0" w:space="0" w:color="auto"/>
              </w:divBdr>
            </w:div>
          </w:divsChild>
        </w:div>
        <w:div w:id="824276132">
          <w:marLeft w:val="0"/>
          <w:marRight w:val="0"/>
          <w:marTop w:val="0"/>
          <w:marBottom w:val="0"/>
          <w:divBdr>
            <w:top w:val="none" w:sz="0" w:space="0" w:color="auto"/>
            <w:left w:val="none" w:sz="0" w:space="0" w:color="auto"/>
            <w:bottom w:val="none" w:sz="0" w:space="0" w:color="auto"/>
            <w:right w:val="none" w:sz="0" w:space="0" w:color="auto"/>
          </w:divBdr>
          <w:divsChild>
            <w:div w:id="1134131009">
              <w:marLeft w:val="0"/>
              <w:marRight w:val="0"/>
              <w:marTop w:val="0"/>
              <w:marBottom w:val="0"/>
              <w:divBdr>
                <w:top w:val="none" w:sz="0" w:space="0" w:color="auto"/>
                <w:left w:val="none" w:sz="0" w:space="0" w:color="auto"/>
                <w:bottom w:val="none" w:sz="0" w:space="0" w:color="auto"/>
                <w:right w:val="none" w:sz="0" w:space="0" w:color="auto"/>
              </w:divBdr>
            </w:div>
          </w:divsChild>
        </w:div>
        <w:div w:id="1196238196">
          <w:marLeft w:val="0"/>
          <w:marRight w:val="0"/>
          <w:marTop w:val="0"/>
          <w:marBottom w:val="0"/>
          <w:divBdr>
            <w:top w:val="none" w:sz="0" w:space="0" w:color="auto"/>
            <w:left w:val="none" w:sz="0" w:space="0" w:color="auto"/>
            <w:bottom w:val="none" w:sz="0" w:space="0" w:color="auto"/>
            <w:right w:val="none" w:sz="0" w:space="0" w:color="auto"/>
          </w:divBdr>
          <w:divsChild>
            <w:div w:id="1617248966">
              <w:marLeft w:val="0"/>
              <w:marRight w:val="0"/>
              <w:marTop w:val="0"/>
              <w:marBottom w:val="0"/>
              <w:divBdr>
                <w:top w:val="none" w:sz="0" w:space="0" w:color="auto"/>
                <w:left w:val="none" w:sz="0" w:space="0" w:color="auto"/>
                <w:bottom w:val="none" w:sz="0" w:space="0" w:color="auto"/>
                <w:right w:val="none" w:sz="0" w:space="0" w:color="auto"/>
              </w:divBdr>
            </w:div>
          </w:divsChild>
        </w:div>
        <w:div w:id="1686518455">
          <w:marLeft w:val="0"/>
          <w:marRight w:val="0"/>
          <w:marTop w:val="0"/>
          <w:marBottom w:val="0"/>
          <w:divBdr>
            <w:top w:val="none" w:sz="0" w:space="0" w:color="auto"/>
            <w:left w:val="none" w:sz="0" w:space="0" w:color="auto"/>
            <w:bottom w:val="none" w:sz="0" w:space="0" w:color="auto"/>
            <w:right w:val="none" w:sz="0" w:space="0" w:color="auto"/>
          </w:divBdr>
          <w:divsChild>
            <w:div w:id="1638607000">
              <w:marLeft w:val="0"/>
              <w:marRight w:val="0"/>
              <w:marTop w:val="0"/>
              <w:marBottom w:val="0"/>
              <w:divBdr>
                <w:top w:val="none" w:sz="0" w:space="0" w:color="auto"/>
                <w:left w:val="none" w:sz="0" w:space="0" w:color="auto"/>
                <w:bottom w:val="none" w:sz="0" w:space="0" w:color="auto"/>
                <w:right w:val="none" w:sz="0" w:space="0" w:color="auto"/>
              </w:divBdr>
            </w:div>
          </w:divsChild>
        </w:div>
        <w:div w:id="637536259">
          <w:marLeft w:val="0"/>
          <w:marRight w:val="0"/>
          <w:marTop w:val="0"/>
          <w:marBottom w:val="0"/>
          <w:divBdr>
            <w:top w:val="none" w:sz="0" w:space="0" w:color="auto"/>
            <w:left w:val="none" w:sz="0" w:space="0" w:color="auto"/>
            <w:bottom w:val="none" w:sz="0" w:space="0" w:color="auto"/>
            <w:right w:val="none" w:sz="0" w:space="0" w:color="auto"/>
          </w:divBdr>
          <w:divsChild>
            <w:div w:id="237328855">
              <w:marLeft w:val="0"/>
              <w:marRight w:val="0"/>
              <w:marTop w:val="0"/>
              <w:marBottom w:val="0"/>
              <w:divBdr>
                <w:top w:val="none" w:sz="0" w:space="0" w:color="auto"/>
                <w:left w:val="none" w:sz="0" w:space="0" w:color="auto"/>
                <w:bottom w:val="none" w:sz="0" w:space="0" w:color="auto"/>
                <w:right w:val="none" w:sz="0" w:space="0" w:color="auto"/>
              </w:divBdr>
            </w:div>
          </w:divsChild>
        </w:div>
        <w:div w:id="1899246134">
          <w:marLeft w:val="0"/>
          <w:marRight w:val="0"/>
          <w:marTop w:val="0"/>
          <w:marBottom w:val="0"/>
          <w:divBdr>
            <w:top w:val="none" w:sz="0" w:space="0" w:color="auto"/>
            <w:left w:val="none" w:sz="0" w:space="0" w:color="auto"/>
            <w:bottom w:val="none" w:sz="0" w:space="0" w:color="auto"/>
            <w:right w:val="none" w:sz="0" w:space="0" w:color="auto"/>
          </w:divBdr>
          <w:divsChild>
            <w:div w:id="1399208099">
              <w:marLeft w:val="0"/>
              <w:marRight w:val="0"/>
              <w:marTop w:val="0"/>
              <w:marBottom w:val="0"/>
              <w:divBdr>
                <w:top w:val="none" w:sz="0" w:space="0" w:color="auto"/>
                <w:left w:val="none" w:sz="0" w:space="0" w:color="auto"/>
                <w:bottom w:val="none" w:sz="0" w:space="0" w:color="auto"/>
                <w:right w:val="none" w:sz="0" w:space="0" w:color="auto"/>
              </w:divBdr>
            </w:div>
          </w:divsChild>
        </w:div>
        <w:div w:id="1847675175">
          <w:marLeft w:val="0"/>
          <w:marRight w:val="0"/>
          <w:marTop w:val="0"/>
          <w:marBottom w:val="0"/>
          <w:divBdr>
            <w:top w:val="none" w:sz="0" w:space="0" w:color="auto"/>
            <w:left w:val="none" w:sz="0" w:space="0" w:color="auto"/>
            <w:bottom w:val="none" w:sz="0" w:space="0" w:color="auto"/>
            <w:right w:val="none" w:sz="0" w:space="0" w:color="auto"/>
          </w:divBdr>
          <w:divsChild>
            <w:div w:id="1217206013">
              <w:marLeft w:val="0"/>
              <w:marRight w:val="0"/>
              <w:marTop w:val="0"/>
              <w:marBottom w:val="0"/>
              <w:divBdr>
                <w:top w:val="none" w:sz="0" w:space="0" w:color="auto"/>
                <w:left w:val="none" w:sz="0" w:space="0" w:color="auto"/>
                <w:bottom w:val="none" w:sz="0" w:space="0" w:color="auto"/>
                <w:right w:val="none" w:sz="0" w:space="0" w:color="auto"/>
              </w:divBdr>
            </w:div>
          </w:divsChild>
        </w:div>
        <w:div w:id="160581318">
          <w:marLeft w:val="0"/>
          <w:marRight w:val="0"/>
          <w:marTop w:val="0"/>
          <w:marBottom w:val="0"/>
          <w:divBdr>
            <w:top w:val="none" w:sz="0" w:space="0" w:color="auto"/>
            <w:left w:val="none" w:sz="0" w:space="0" w:color="auto"/>
            <w:bottom w:val="none" w:sz="0" w:space="0" w:color="auto"/>
            <w:right w:val="none" w:sz="0" w:space="0" w:color="auto"/>
          </w:divBdr>
          <w:divsChild>
            <w:div w:id="2140099343">
              <w:marLeft w:val="0"/>
              <w:marRight w:val="0"/>
              <w:marTop w:val="0"/>
              <w:marBottom w:val="0"/>
              <w:divBdr>
                <w:top w:val="none" w:sz="0" w:space="0" w:color="auto"/>
                <w:left w:val="none" w:sz="0" w:space="0" w:color="auto"/>
                <w:bottom w:val="none" w:sz="0" w:space="0" w:color="auto"/>
                <w:right w:val="none" w:sz="0" w:space="0" w:color="auto"/>
              </w:divBdr>
            </w:div>
          </w:divsChild>
        </w:div>
        <w:div w:id="1178930106">
          <w:marLeft w:val="0"/>
          <w:marRight w:val="0"/>
          <w:marTop w:val="0"/>
          <w:marBottom w:val="0"/>
          <w:divBdr>
            <w:top w:val="none" w:sz="0" w:space="0" w:color="auto"/>
            <w:left w:val="none" w:sz="0" w:space="0" w:color="auto"/>
            <w:bottom w:val="none" w:sz="0" w:space="0" w:color="auto"/>
            <w:right w:val="none" w:sz="0" w:space="0" w:color="auto"/>
          </w:divBdr>
        </w:div>
      </w:divsChild>
    </w:div>
    <w:div w:id="1777019484">
      <w:bodyDiv w:val="1"/>
      <w:marLeft w:val="0"/>
      <w:marRight w:val="0"/>
      <w:marTop w:val="0"/>
      <w:marBottom w:val="0"/>
      <w:divBdr>
        <w:top w:val="none" w:sz="0" w:space="0" w:color="auto"/>
        <w:left w:val="none" w:sz="0" w:space="0" w:color="auto"/>
        <w:bottom w:val="none" w:sz="0" w:space="0" w:color="auto"/>
        <w:right w:val="none" w:sz="0" w:space="0" w:color="auto"/>
      </w:divBdr>
      <w:divsChild>
        <w:div w:id="170950024">
          <w:marLeft w:val="0"/>
          <w:marRight w:val="0"/>
          <w:marTop w:val="0"/>
          <w:marBottom w:val="0"/>
          <w:divBdr>
            <w:top w:val="none" w:sz="0" w:space="0" w:color="auto"/>
            <w:left w:val="none" w:sz="0" w:space="0" w:color="auto"/>
            <w:bottom w:val="none" w:sz="0" w:space="0" w:color="auto"/>
            <w:right w:val="none" w:sz="0" w:space="0" w:color="auto"/>
          </w:divBdr>
          <w:divsChild>
            <w:div w:id="604846985">
              <w:marLeft w:val="0"/>
              <w:marRight w:val="0"/>
              <w:marTop w:val="0"/>
              <w:marBottom w:val="0"/>
              <w:divBdr>
                <w:top w:val="none" w:sz="0" w:space="0" w:color="auto"/>
                <w:left w:val="none" w:sz="0" w:space="0" w:color="auto"/>
                <w:bottom w:val="none" w:sz="0" w:space="0" w:color="auto"/>
                <w:right w:val="none" w:sz="0" w:space="0" w:color="auto"/>
              </w:divBdr>
            </w:div>
          </w:divsChild>
        </w:div>
        <w:div w:id="218128764">
          <w:marLeft w:val="0"/>
          <w:marRight w:val="0"/>
          <w:marTop w:val="0"/>
          <w:marBottom w:val="0"/>
          <w:divBdr>
            <w:top w:val="none" w:sz="0" w:space="0" w:color="auto"/>
            <w:left w:val="none" w:sz="0" w:space="0" w:color="auto"/>
            <w:bottom w:val="none" w:sz="0" w:space="0" w:color="auto"/>
            <w:right w:val="none" w:sz="0" w:space="0" w:color="auto"/>
          </w:divBdr>
          <w:divsChild>
            <w:div w:id="1722048065">
              <w:marLeft w:val="0"/>
              <w:marRight w:val="0"/>
              <w:marTop w:val="0"/>
              <w:marBottom w:val="0"/>
              <w:divBdr>
                <w:top w:val="none" w:sz="0" w:space="0" w:color="auto"/>
                <w:left w:val="none" w:sz="0" w:space="0" w:color="auto"/>
                <w:bottom w:val="none" w:sz="0" w:space="0" w:color="auto"/>
                <w:right w:val="none" w:sz="0" w:space="0" w:color="auto"/>
              </w:divBdr>
            </w:div>
          </w:divsChild>
        </w:div>
        <w:div w:id="1817840463">
          <w:marLeft w:val="0"/>
          <w:marRight w:val="0"/>
          <w:marTop w:val="300"/>
          <w:marBottom w:val="300"/>
          <w:divBdr>
            <w:top w:val="none" w:sz="0" w:space="0" w:color="auto"/>
            <w:left w:val="none" w:sz="0" w:space="0" w:color="auto"/>
            <w:bottom w:val="none" w:sz="0" w:space="0" w:color="auto"/>
            <w:right w:val="none" w:sz="0" w:space="0" w:color="auto"/>
          </w:divBdr>
        </w:div>
        <w:div w:id="196280587">
          <w:marLeft w:val="0"/>
          <w:marRight w:val="0"/>
          <w:marTop w:val="0"/>
          <w:marBottom w:val="0"/>
          <w:divBdr>
            <w:top w:val="none" w:sz="0" w:space="0" w:color="auto"/>
            <w:left w:val="none" w:sz="0" w:space="0" w:color="auto"/>
            <w:bottom w:val="none" w:sz="0" w:space="0" w:color="auto"/>
            <w:right w:val="none" w:sz="0" w:space="0" w:color="auto"/>
          </w:divBdr>
          <w:divsChild>
            <w:div w:id="1829248886">
              <w:marLeft w:val="0"/>
              <w:marRight w:val="0"/>
              <w:marTop w:val="0"/>
              <w:marBottom w:val="0"/>
              <w:divBdr>
                <w:top w:val="none" w:sz="0" w:space="0" w:color="auto"/>
                <w:left w:val="none" w:sz="0" w:space="0" w:color="auto"/>
                <w:bottom w:val="none" w:sz="0" w:space="0" w:color="auto"/>
                <w:right w:val="none" w:sz="0" w:space="0" w:color="auto"/>
              </w:divBdr>
            </w:div>
          </w:divsChild>
        </w:div>
        <w:div w:id="327249882">
          <w:marLeft w:val="0"/>
          <w:marRight w:val="0"/>
          <w:marTop w:val="300"/>
          <w:marBottom w:val="300"/>
          <w:divBdr>
            <w:top w:val="none" w:sz="0" w:space="0" w:color="auto"/>
            <w:left w:val="none" w:sz="0" w:space="0" w:color="auto"/>
            <w:bottom w:val="none" w:sz="0" w:space="0" w:color="auto"/>
            <w:right w:val="none" w:sz="0" w:space="0" w:color="auto"/>
          </w:divBdr>
        </w:div>
        <w:div w:id="1341467710">
          <w:marLeft w:val="0"/>
          <w:marRight w:val="0"/>
          <w:marTop w:val="0"/>
          <w:marBottom w:val="0"/>
          <w:divBdr>
            <w:top w:val="none" w:sz="0" w:space="0" w:color="auto"/>
            <w:left w:val="none" w:sz="0" w:space="0" w:color="auto"/>
            <w:bottom w:val="none" w:sz="0" w:space="0" w:color="auto"/>
            <w:right w:val="none" w:sz="0" w:space="0" w:color="auto"/>
          </w:divBdr>
          <w:divsChild>
            <w:div w:id="553733861">
              <w:marLeft w:val="0"/>
              <w:marRight w:val="0"/>
              <w:marTop w:val="0"/>
              <w:marBottom w:val="0"/>
              <w:divBdr>
                <w:top w:val="none" w:sz="0" w:space="0" w:color="auto"/>
                <w:left w:val="none" w:sz="0" w:space="0" w:color="auto"/>
                <w:bottom w:val="none" w:sz="0" w:space="0" w:color="auto"/>
                <w:right w:val="none" w:sz="0" w:space="0" w:color="auto"/>
              </w:divBdr>
            </w:div>
          </w:divsChild>
        </w:div>
        <w:div w:id="468400649">
          <w:marLeft w:val="0"/>
          <w:marRight w:val="0"/>
          <w:marTop w:val="0"/>
          <w:marBottom w:val="0"/>
          <w:divBdr>
            <w:top w:val="none" w:sz="0" w:space="0" w:color="auto"/>
            <w:left w:val="none" w:sz="0" w:space="0" w:color="auto"/>
            <w:bottom w:val="none" w:sz="0" w:space="0" w:color="auto"/>
            <w:right w:val="none" w:sz="0" w:space="0" w:color="auto"/>
          </w:divBdr>
          <w:divsChild>
            <w:div w:id="1318608857">
              <w:marLeft w:val="0"/>
              <w:marRight w:val="0"/>
              <w:marTop w:val="0"/>
              <w:marBottom w:val="0"/>
              <w:divBdr>
                <w:top w:val="none" w:sz="0" w:space="0" w:color="auto"/>
                <w:left w:val="none" w:sz="0" w:space="0" w:color="auto"/>
                <w:bottom w:val="none" w:sz="0" w:space="0" w:color="auto"/>
                <w:right w:val="none" w:sz="0" w:space="0" w:color="auto"/>
              </w:divBdr>
            </w:div>
          </w:divsChild>
        </w:div>
        <w:div w:id="1907379851">
          <w:marLeft w:val="0"/>
          <w:marRight w:val="0"/>
          <w:marTop w:val="0"/>
          <w:marBottom w:val="0"/>
          <w:divBdr>
            <w:top w:val="none" w:sz="0" w:space="0" w:color="auto"/>
            <w:left w:val="none" w:sz="0" w:space="0" w:color="auto"/>
            <w:bottom w:val="none" w:sz="0" w:space="0" w:color="auto"/>
            <w:right w:val="none" w:sz="0" w:space="0" w:color="auto"/>
          </w:divBdr>
          <w:divsChild>
            <w:div w:id="157617022">
              <w:marLeft w:val="0"/>
              <w:marRight w:val="0"/>
              <w:marTop w:val="0"/>
              <w:marBottom w:val="0"/>
              <w:divBdr>
                <w:top w:val="none" w:sz="0" w:space="0" w:color="auto"/>
                <w:left w:val="none" w:sz="0" w:space="0" w:color="auto"/>
                <w:bottom w:val="none" w:sz="0" w:space="0" w:color="auto"/>
                <w:right w:val="none" w:sz="0" w:space="0" w:color="auto"/>
              </w:divBdr>
            </w:div>
          </w:divsChild>
        </w:div>
        <w:div w:id="1956787727">
          <w:marLeft w:val="0"/>
          <w:marRight w:val="0"/>
          <w:marTop w:val="0"/>
          <w:marBottom w:val="0"/>
          <w:divBdr>
            <w:top w:val="none" w:sz="0" w:space="0" w:color="auto"/>
            <w:left w:val="none" w:sz="0" w:space="0" w:color="auto"/>
            <w:bottom w:val="none" w:sz="0" w:space="0" w:color="auto"/>
            <w:right w:val="none" w:sz="0" w:space="0" w:color="auto"/>
          </w:divBdr>
          <w:divsChild>
            <w:div w:id="1180511872">
              <w:marLeft w:val="0"/>
              <w:marRight w:val="0"/>
              <w:marTop w:val="0"/>
              <w:marBottom w:val="0"/>
              <w:divBdr>
                <w:top w:val="none" w:sz="0" w:space="0" w:color="auto"/>
                <w:left w:val="none" w:sz="0" w:space="0" w:color="auto"/>
                <w:bottom w:val="none" w:sz="0" w:space="0" w:color="auto"/>
                <w:right w:val="none" w:sz="0" w:space="0" w:color="auto"/>
              </w:divBdr>
            </w:div>
          </w:divsChild>
        </w:div>
        <w:div w:id="1136726454">
          <w:marLeft w:val="0"/>
          <w:marRight w:val="0"/>
          <w:marTop w:val="0"/>
          <w:marBottom w:val="0"/>
          <w:divBdr>
            <w:top w:val="none" w:sz="0" w:space="0" w:color="auto"/>
            <w:left w:val="none" w:sz="0" w:space="0" w:color="auto"/>
            <w:bottom w:val="none" w:sz="0" w:space="0" w:color="auto"/>
            <w:right w:val="none" w:sz="0" w:space="0" w:color="auto"/>
          </w:divBdr>
          <w:divsChild>
            <w:div w:id="1766261905">
              <w:marLeft w:val="0"/>
              <w:marRight w:val="0"/>
              <w:marTop w:val="0"/>
              <w:marBottom w:val="0"/>
              <w:divBdr>
                <w:top w:val="none" w:sz="0" w:space="0" w:color="auto"/>
                <w:left w:val="none" w:sz="0" w:space="0" w:color="auto"/>
                <w:bottom w:val="none" w:sz="0" w:space="0" w:color="auto"/>
                <w:right w:val="none" w:sz="0" w:space="0" w:color="auto"/>
              </w:divBdr>
            </w:div>
          </w:divsChild>
        </w:div>
        <w:div w:id="1915435836">
          <w:marLeft w:val="0"/>
          <w:marRight w:val="0"/>
          <w:marTop w:val="0"/>
          <w:marBottom w:val="0"/>
          <w:divBdr>
            <w:top w:val="none" w:sz="0" w:space="0" w:color="auto"/>
            <w:left w:val="none" w:sz="0" w:space="0" w:color="auto"/>
            <w:bottom w:val="none" w:sz="0" w:space="0" w:color="auto"/>
            <w:right w:val="none" w:sz="0" w:space="0" w:color="auto"/>
          </w:divBdr>
          <w:divsChild>
            <w:div w:id="2121610433">
              <w:marLeft w:val="0"/>
              <w:marRight w:val="0"/>
              <w:marTop w:val="0"/>
              <w:marBottom w:val="0"/>
              <w:divBdr>
                <w:top w:val="none" w:sz="0" w:space="0" w:color="auto"/>
                <w:left w:val="none" w:sz="0" w:space="0" w:color="auto"/>
                <w:bottom w:val="none" w:sz="0" w:space="0" w:color="auto"/>
                <w:right w:val="none" w:sz="0" w:space="0" w:color="auto"/>
              </w:divBdr>
            </w:div>
          </w:divsChild>
        </w:div>
        <w:div w:id="1323387769">
          <w:marLeft w:val="0"/>
          <w:marRight w:val="0"/>
          <w:marTop w:val="0"/>
          <w:marBottom w:val="0"/>
          <w:divBdr>
            <w:top w:val="none" w:sz="0" w:space="0" w:color="auto"/>
            <w:left w:val="none" w:sz="0" w:space="0" w:color="auto"/>
            <w:bottom w:val="none" w:sz="0" w:space="0" w:color="auto"/>
            <w:right w:val="none" w:sz="0" w:space="0" w:color="auto"/>
          </w:divBdr>
          <w:divsChild>
            <w:div w:id="336690977">
              <w:marLeft w:val="0"/>
              <w:marRight w:val="0"/>
              <w:marTop w:val="0"/>
              <w:marBottom w:val="0"/>
              <w:divBdr>
                <w:top w:val="none" w:sz="0" w:space="0" w:color="auto"/>
                <w:left w:val="none" w:sz="0" w:space="0" w:color="auto"/>
                <w:bottom w:val="none" w:sz="0" w:space="0" w:color="auto"/>
                <w:right w:val="none" w:sz="0" w:space="0" w:color="auto"/>
              </w:divBdr>
            </w:div>
          </w:divsChild>
        </w:div>
        <w:div w:id="953095330">
          <w:marLeft w:val="0"/>
          <w:marRight w:val="0"/>
          <w:marTop w:val="0"/>
          <w:marBottom w:val="0"/>
          <w:divBdr>
            <w:top w:val="none" w:sz="0" w:space="0" w:color="auto"/>
            <w:left w:val="none" w:sz="0" w:space="0" w:color="auto"/>
            <w:bottom w:val="none" w:sz="0" w:space="0" w:color="auto"/>
            <w:right w:val="none" w:sz="0" w:space="0" w:color="auto"/>
          </w:divBdr>
          <w:divsChild>
            <w:div w:id="2125270128">
              <w:marLeft w:val="0"/>
              <w:marRight w:val="0"/>
              <w:marTop w:val="0"/>
              <w:marBottom w:val="0"/>
              <w:divBdr>
                <w:top w:val="none" w:sz="0" w:space="0" w:color="auto"/>
                <w:left w:val="none" w:sz="0" w:space="0" w:color="auto"/>
                <w:bottom w:val="none" w:sz="0" w:space="0" w:color="auto"/>
                <w:right w:val="none" w:sz="0" w:space="0" w:color="auto"/>
              </w:divBdr>
            </w:div>
          </w:divsChild>
        </w:div>
        <w:div w:id="1975714421">
          <w:marLeft w:val="0"/>
          <w:marRight w:val="0"/>
          <w:marTop w:val="0"/>
          <w:marBottom w:val="0"/>
          <w:divBdr>
            <w:top w:val="none" w:sz="0" w:space="0" w:color="auto"/>
            <w:left w:val="none" w:sz="0" w:space="0" w:color="auto"/>
            <w:bottom w:val="none" w:sz="0" w:space="0" w:color="auto"/>
            <w:right w:val="none" w:sz="0" w:space="0" w:color="auto"/>
          </w:divBdr>
          <w:divsChild>
            <w:div w:id="475999532">
              <w:marLeft w:val="0"/>
              <w:marRight w:val="0"/>
              <w:marTop w:val="0"/>
              <w:marBottom w:val="0"/>
              <w:divBdr>
                <w:top w:val="none" w:sz="0" w:space="0" w:color="auto"/>
                <w:left w:val="none" w:sz="0" w:space="0" w:color="auto"/>
                <w:bottom w:val="none" w:sz="0" w:space="0" w:color="auto"/>
                <w:right w:val="none" w:sz="0" w:space="0" w:color="auto"/>
              </w:divBdr>
            </w:div>
          </w:divsChild>
        </w:div>
        <w:div w:id="416220152">
          <w:marLeft w:val="0"/>
          <w:marRight w:val="0"/>
          <w:marTop w:val="0"/>
          <w:marBottom w:val="0"/>
          <w:divBdr>
            <w:top w:val="none" w:sz="0" w:space="0" w:color="auto"/>
            <w:left w:val="none" w:sz="0" w:space="0" w:color="auto"/>
            <w:bottom w:val="none" w:sz="0" w:space="0" w:color="auto"/>
            <w:right w:val="none" w:sz="0" w:space="0" w:color="auto"/>
          </w:divBdr>
          <w:divsChild>
            <w:div w:id="1047101409">
              <w:marLeft w:val="0"/>
              <w:marRight w:val="0"/>
              <w:marTop w:val="0"/>
              <w:marBottom w:val="0"/>
              <w:divBdr>
                <w:top w:val="none" w:sz="0" w:space="0" w:color="auto"/>
                <w:left w:val="none" w:sz="0" w:space="0" w:color="auto"/>
                <w:bottom w:val="none" w:sz="0" w:space="0" w:color="auto"/>
                <w:right w:val="none" w:sz="0" w:space="0" w:color="auto"/>
              </w:divBdr>
            </w:div>
          </w:divsChild>
        </w:div>
        <w:div w:id="1276788528">
          <w:marLeft w:val="0"/>
          <w:marRight w:val="0"/>
          <w:marTop w:val="0"/>
          <w:marBottom w:val="0"/>
          <w:divBdr>
            <w:top w:val="none" w:sz="0" w:space="0" w:color="auto"/>
            <w:left w:val="none" w:sz="0" w:space="0" w:color="auto"/>
            <w:bottom w:val="none" w:sz="0" w:space="0" w:color="auto"/>
            <w:right w:val="none" w:sz="0" w:space="0" w:color="auto"/>
          </w:divBdr>
          <w:divsChild>
            <w:div w:id="1528447523">
              <w:marLeft w:val="0"/>
              <w:marRight w:val="0"/>
              <w:marTop w:val="0"/>
              <w:marBottom w:val="0"/>
              <w:divBdr>
                <w:top w:val="none" w:sz="0" w:space="0" w:color="auto"/>
                <w:left w:val="none" w:sz="0" w:space="0" w:color="auto"/>
                <w:bottom w:val="none" w:sz="0" w:space="0" w:color="auto"/>
                <w:right w:val="none" w:sz="0" w:space="0" w:color="auto"/>
              </w:divBdr>
            </w:div>
          </w:divsChild>
        </w:div>
        <w:div w:id="1578898664">
          <w:marLeft w:val="0"/>
          <w:marRight w:val="0"/>
          <w:marTop w:val="0"/>
          <w:marBottom w:val="0"/>
          <w:divBdr>
            <w:top w:val="none" w:sz="0" w:space="0" w:color="auto"/>
            <w:left w:val="none" w:sz="0" w:space="0" w:color="auto"/>
            <w:bottom w:val="none" w:sz="0" w:space="0" w:color="auto"/>
            <w:right w:val="none" w:sz="0" w:space="0" w:color="auto"/>
          </w:divBdr>
          <w:divsChild>
            <w:div w:id="687218873">
              <w:marLeft w:val="0"/>
              <w:marRight w:val="0"/>
              <w:marTop w:val="0"/>
              <w:marBottom w:val="0"/>
              <w:divBdr>
                <w:top w:val="none" w:sz="0" w:space="0" w:color="auto"/>
                <w:left w:val="none" w:sz="0" w:space="0" w:color="auto"/>
                <w:bottom w:val="none" w:sz="0" w:space="0" w:color="auto"/>
                <w:right w:val="none" w:sz="0" w:space="0" w:color="auto"/>
              </w:divBdr>
            </w:div>
          </w:divsChild>
        </w:div>
        <w:div w:id="574360898">
          <w:marLeft w:val="0"/>
          <w:marRight w:val="0"/>
          <w:marTop w:val="0"/>
          <w:marBottom w:val="0"/>
          <w:divBdr>
            <w:top w:val="none" w:sz="0" w:space="0" w:color="auto"/>
            <w:left w:val="none" w:sz="0" w:space="0" w:color="auto"/>
            <w:bottom w:val="none" w:sz="0" w:space="0" w:color="auto"/>
            <w:right w:val="none" w:sz="0" w:space="0" w:color="auto"/>
          </w:divBdr>
          <w:divsChild>
            <w:div w:id="184711174">
              <w:marLeft w:val="0"/>
              <w:marRight w:val="0"/>
              <w:marTop w:val="0"/>
              <w:marBottom w:val="0"/>
              <w:divBdr>
                <w:top w:val="none" w:sz="0" w:space="0" w:color="auto"/>
                <w:left w:val="none" w:sz="0" w:space="0" w:color="auto"/>
                <w:bottom w:val="none" w:sz="0" w:space="0" w:color="auto"/>
                <w:right w:val="none" w:sz="0" w:space="0" w:color="auto"/>
              </w:divBdr>
            </w:div>
          </w:divsChild>
        </w:div>
        <w:div w:id="422192960">
          <w:marLeft w:val="0"/>
          <w:marRight w:val="0"/>
          <w:marTop w:val="0"/>
          <w:marBottom w:val="0"/>
          <w:divBdr>
            <w:top w:val="none" w:sz="0" w:space="0" w:color="auto"/>
            <w:left w:val="none" w:sz="0" w:space="0" w:color="auto"/>
            <w:bottom w:val="none" w:sz="0" w:space="0" w:color="auto"/>
            <w:right w:val="none" w:sz="0" w:space="0" w:color="auto"/>
          </w:divBdr>
          <w:divsChild>
            <w:div w:id="541286734">
              <w:marLeft w:val="0"/>
              <w:marRight w:val="0"/>
              <w:marTop w:val="0"/>
              <w:marBottom w:val="0"/>
              <w:divBdr>
                <w:top w:val="none" w:sz="0" w:space="0" w:color="auto"/>
                <w:left w:val="none" w:sz="0" w:space="0" w:color="auto"/>
                <w:bottom w:val="none" w:sz="0" w:space="0" w:color="auto"/>
                <w:right w:val="none" w:sz="0" w:space="0" w:color="auto"/>
              </w:divBdr>
            </w:div>
          </w:divsChild>
        </w:div>
        <w:div w:id="971709070">
          <w:marLeft w:val="0"/>
          <w:marRight w:val="0"/>
          <w:marTop w:val="0"/>
          <w:marBottom w:val="0"/>
          <w:divBdr>
            <w:top w:val="none" w:sz="0" w:space="0" w:color="auto"/>
            <w:left w:val="none" w:sz="0" w:space="0" w:color="auto"/>
            <w:bottom w:val="none" w:sz="0" w:space="0" w:color="auto"/>
            <w:right w:val="none" w:sz="0" w:space="0" w:color="auto"/>
          </w:divBdr>
          <w:divsChild>
            <w:div w:id="1154103955">
              <w:marLeft w:val="0"/>
              <w:marRight w:val="0"/>
              <w:marTop w:val="0"/>
              <w:marBottom w:val="0"/>
              <w:divBdr>
                <w:top w:val="none" w:sz="0" w:space="0" w:color="auto"/>
                <w:left w:val="none" w:sz="0" w:space="0" w:color="auto"/>
                <w:bottom w:val="none" w:sz="0" w:space="0" w:color="auto"/>
                <w:right w:val="none" w:sz="0" w:space="0" w:color="auto"/>
              </w:divBdr>
            </w:div>
          </w:divsChild>
        </w:div>
        <w:div w:id="606036127">
          <w:marLeft w:val="0"/>
          <w:marRight w:val="0"/>
          <w:marTop w:val="0"/>
          <w:marBottom w:val="0"/>
          <w:divBdr>
            <w:top w:val="none" w:sz="0" w:space="0" w:color="auto"/>
            <w:left w:val="none" w:sz="0" w:space="0" w:color="auto"/>
            <w:bottom w:val="none" w:sz="0" w:space="0" w:color="auto"/>
            <w:right w:val="none" w:sz="0" w:space="0" w:color="auto"/>
          </w:divBdr>
          <w:divsChild>
            <w:div w:id="1072196943">
              <w:marLeft w:val="0"/>
              <w:marRight w:val="0"/>
              <w:marTop w:val="0"/>
              <w:marBottom w:val="0"/>
              <w:divBdr>
                <w:top w:val="none" w:sz="0" w:space="0" w:color="auto"/>
                <w:left w:val="none" w:sz="0" w:space="0" w:color="auto"/>
                <w:bottom w:val="none" w:sz="0" w:space="0" w:color="auto"/>
                <w:right w:val="none" w:sz="0" w:space="0" w:color="auto"/>
              </w:divBdr>
            </w:div>
          </w:divsChild>
        </w:div>
        <w:div w:id="2011634410">
          <w:marLeft w:val="0"/>
          <w:marRight w:val="0"/>
          <w:marTop w:val="0"/>
          <w:marBottom w:val="0"/>
          <w:divBdr>
            <w:top w:val="none" w:sz="0" w:space="0" w:color="auto"/>
            <w:left w:val="none" w:sz="0" w:space="0" w:color="auto"/>
            <w:bottom w:val="none" w:sz="0" w:space="0" w:color="auto"/>
            <w:right w:val="none" w:sz="0" w:space="0" w:color="auto"/>
          </w:divBdr>
          <w:divsChild>
            <w:div w:id="1704818819">
              <w:marLeft w:val="0"/>
              <w:marRight w:val="0"/>
              <w:marTop w:val="0"/>
              <w:marBottom w:val="0"/>
              <w:divBdr>
                <w:top w:val="none" w:sz="0" w:space="0" w:color="auto"/>
                <w:left w:val="none" w:sz="0" w:space="0" w:color="auto"/>
                <w:bottom w:val="none" w:sz="0" w:space="0" w:color="auto"/>
                <w:right w:val="none" w:sz="0" w:space="0" w:color="auto"/>
              </w:divBdr>
            </w:div>
          </w:divsChild>
        </w:div>
        <w:div w:id="2123721065">
          <w:marLeft w:val="0"/>
          <w:marRight w:val="0"/>
          <w:marTop w:val="0"/>
          <w:marBottom w:val="0"/>
          <w:divBdr>
            <w:top w:val="none" w:sz="0" w:space="0" w:color="auto"/>
            <w:left w:val="none" w:sz="0" w:space="0" w:color="auto"/>
            <w:bottom w:val="none" w:sz="0" w:space="0" w:color="auto"/>
            <w:right w:val="none" w:sz="0" w:space="0" w:color="auto"/>
          </w:divBdr>
          <w:divsChild>
            <w:div w:id="295795630">
              <w:marLeft w:val="0"/>
              <w:marRight w:val="0"/>
              <w:marTop w:val="0"/>
              <w:marBottom w:val="0"/>
              <w:divBdr>
                <w:top w:val="none" w:sz="0" w:space="0" w:color="auto"/>
                <w:left w:val="none" w:sz="0" w:space="0" w:color="auto"/>
                <w:bottom w:val="none" w:sz="0" w:space="0" w:color="auto"/>
                <w:right w:val="none" w:sz="0" w:space="0" w:color="auto"/>
              </w:divBdr>
            </w:div>
          </w:divsChild>
        </w:div>
        <w:div w:id="745804658">
          <w:marLeft w:val="0"/>
          <w:marRight w:val="0"/>
          <w:marTop w:val="0"/>
          <w:marBottom w:val="0"/>
          <w:divBdr>
            <w:top w:val="none" w:sz="0" w:space="0" w:color="auto"/>
            <w:left w:val="none" w:sz="0" w:space="0" w:color="auto"/>
            <w:bottom w:val="none" w:sz="0" w:space="0" w:color="auto"/>
            <w:right w:val="none" w:sz="0" w:space="0" w:color="auto"/>
          </w:divBdr>
          <w:divsChild>
            <w:div w:id="112015885">
              <w:marLeft w:val="0"/>
              <w:marRight w:val="0"/>
              <w:marTop w:val="0"/>
              <w:marBottom w:val="0"/>
              <w:divBdr>
                <w:top w:val="none" w:sz="0" w:space="0" w:color="auto"/>
                <w:left w:val="none" w:sz="0" w:space="0" w:color="auto"/>
                <w:bottom w:val="none" w:sz="0" w:space="0" w:color="auto"/>
                <w:right w:val="none" w:sz="0" w:space="0" w:color="auto"/>
              </w:divBdr>
            </w:div>
          </w:divsChild>
        </w:div>
        <w:div w:id="6760325">
          <w:marLeft w:val="0"/>
          <w:marRight w:val="0"/>
          <w:marTop w:val="0"/>
          <w:marBottom w:val="0"/>
          <w:divBdr>
            <w:top w:val="none" w:sz="0" w:space="0" w:color="auto"/>
            <w:left w:val="none" w:sz="0" w:space="0" w:color="auto"/>
            <w:bottom w:val="none" w:sz="0" w:space="0" w:color="auto"/>
            <w:right w:val="none" w:sz="0" w:space="0" w:color="auto"/>
          </w:divBdr>
          <w:divsChild>
            <w:div w:id="2123377854">
              <w:marLeft w:val="0"/>
              <w:marRight w:val="0"/>
              <w:marTop w:val="0"/>
              <w:marBottom w:val="0"/>
              <w:divBdr>
                <w:top w:val="none" w:sz="0" w:space="0" w:color="auto"/>
                <w:left w:val="none" w:sz="0" w:space="0" w:color="auto"/>
                <w:bottom w:val="none" w:sz="0" w:space="0" w:color="auto"/>
                <w:right w:val="none" w:sz="0" w:space="0" w:color="auto"/>
              </w:divBdr>
            </w:div>
          </w:divsChild>
        </w:div>
        <w:div w:id="1406760762">
          <w:marLeft w:val="0"/>
          <w:marRight w:val="0"/>
          <w:marTop w:val="0"/>
          <w:marBottom w:val="0"/>
          <w:divBdr>
            <w:top w:val="none" w:sz="0" w:space="0" w:color="auto"/>
            <w:left w:val="none" w:sz="0" w:space="0" w:color="auto"/>
            <w:bottom w:val="none" w:sz="0" w:space="0" w:color="auto"/>
            <w:right w:val="none" w:sz="0" w:space="0" w:color="auto"/>
          </w:divBdr>
          <w:divsChild>
            <w:div w:id="877935719">
              <w:marLeft w:val="0"/>
              <w:marRight w:val="0"/>
              <w:marTop w:val="0"/>
              <w:marBottom w:val="0"/>
              <w:divBdr>
                <w:top w:val="none" w:sz="0" w:space="0" w:color="auto"/>
                <w:left w:val="none" w:sz="0" w:space="0" w:color="auto"/>
                <w:bottom w:val="none" w:sz="0" w:space="0" w:color="auto"/>
                <w:right w:val="none" w:sz="0" w:space="0" w:color="auto"/>
              </w:divBdr>
            </w:div>
          </w:divsChild>
        </w:div>
        <w:div w:id="362899738">
          <w:marLeft w:val="0"/>
          <w:marRight w:val="0"/>
          <w:marTop w:val="0"/>
          <w:marBottom w:val="0"/>
          <w:divBdr>
            <w:top w:val="none" w:sz="0" w:space="0" w:color="auto"/>
            <w:left w:val="none" w:sz="0" w:space="0" w:color="auto"/>
            <w:bottom w:val="none" w:sz="0" w:space="0" w:color="auto"/>
            <w:right w:val="none" w:sz="0" w:space="0" w:color="auto"/>
          </w:divBdr>
          <w:divsChild>
            <w:div w:id="171382052">
              <w:marLeft w:val="0"/>
              <w:marRight w:val="0"/>
              <w:marTop w:val="0"/>
              <w:marBottom w:val="0"/>
              <w:divBdr>
                <w:top w:val="none" w:sz="0" w:space="0" w:color="auto"/>
                <w:left w:val="none" w:sz="0" w:space="0" w:color="auto"/>
                <w:bottom w:val="none" w:sz="0" w:space="0" w:color="auto"/>
                <w:right w:val="none" w:sz="0" w:space="0" w:color="auto"/>
              </w:divBdr>
            </w:div>
          </w:divsChild>
        </w:div>
        <w:div w:id="2143956315">
          <w:marLeft w:val="0"/>
          <w:marRight w:val="0"/>
          <w:marTop w:val="0"/>
          <w:marBottom w:val="0"/>
          <w:divBdr>
            <w:top w:val="none" w:sz="0" w:space="0" w:color="auto"/>
            <w:left w:val="none" w:sz="0" w:space="0" w:color="auto"/>
            <w:bottom w:val="none" w:sz="0" w:space="0" w:color="auto"/>
            <w:right w:val="none" w:sz="0" w:space="0" w:color="auto"/>
          </w:divBdr>
          <w:divsChild>
            <w:div w:id="1113553001">
              <w:marLeft w:val="0"/>
              <w:marRight w:val="0"/>
              <w:marTop w:val="0"/>
              <w:marBottom w:val="0"/>
              <w:divBdr>
                <w:top w:val="none" w:sz="0" w:space="0" w:color="auto"/>
                <w:left w:val="none" w:sz="0" w:space="0" w:color="auto"/>
                <w:bottom w:val="none" w:sz="0" w:space="0" w:color="auto"/>
                <w:right w:val="none" w:sz="0" w:space="0" w:color="auto"/>
              </w:divBdr>
            </w:div>
          </w:divsChild>
        </w:div>
        <w:div w:id="81999502">
          <w:marLeft w:val="0"/>
          <w:marRight w:val="0"/>
          <w:marTop w:val="0"/>
          <w:marBottom w:val="0"/>
          <w:divBdr>
            <w:top w:val="none" w:sz="0" w:space="0" w:color="auto"/>
            <w:left w:val="none" w:sz="0" w:space="0" w:color="auto"/>
            <w:bottom w:val="none" w:sz="0" w:space="0" w:color="auto"/>
            <w:right w:val="none" w:sz="0" w:space="0" w:color="auto"/>
          </w:divBdr>
          <w:divsChild>
            <w:div w:id="113334852">
              <w:marLeft w:val="0"/>
              <w:marRight w:val="0"/>
              <w:marTop w:val="0"/>
              <w:marBottom w:val="0"/>
              <w:divBdr>
                <w:top w:val="none" w:sz="0" w:space="0" w:color="auto"/>
                <w:left w:val="none" w:sz="0" w:space="0" w:color="auto"/>
                <w:bottom w:val="none" w:sz="0" w:space="0" w:color="auto"/>
                <w:right w:val="none" w:sz="0" w:space="0" w:color="auto"/>
              </w:divBdr>
            </w:div>
          </w:divsChild>
        </w:div>
        <w:div w:id="1318073356">
          <w:marLeft w:val="0"/>
          <w:marRight w:val="0"/>
          <w:marTop w:val="0"/>
          <w:marBottom w:val="0"/>
          <w:divBdr>
            <w:top w:val="none" w:sz="0" w:space="0" w:color="auto"/>
            <w:left w:val="none" w:sz="0" w:space="0" w:color="auto"/>
            <w:bottom w:val="none" w:sz="0" w:space="0" w:color="auto"/>
            <w:right w:val="none" w:sz="0" w:space="0" w:color="auto"/>
          </w:divBdr>
          <w:divsChild>
            <w:div w:id="1912957434">
              <w:marLeft w:val="0"/>
              <w:marRight w:val="0"/>
              <w:marTop w:val="0"/>
              <w:marBottom w:val="0"/>
              <w:divBdr>
                <w:top w:val="none" w:sz="0" w:space="0" w:color="auto"/>
                <w:left w:val="none" w:sz="0" w:space="0" w:color="auto"/>
                <w:bottom w:val="none" w:sz="0" w:space="0" w:color="auto"/>
                <w:right w:val="none" w:sz="0" w:space="0" w:color="auto"/>
              </w:divBdr>
            </w:div>
          </w:divsChild>
        </w:div>
        <w:div w:id="740911826">
          <w:marLeft w:val="0"/>
          <w:marRight w:val="0"/>
          <w:marTop w:val="0"/>
          <w:marBottom w:val="0"/>
          <w:divBdr>
            <w:top w:val="none" w:sz="0" w:space="0" w:color="auto"/>
            <w:left w:val="none" w:sz="0" w:space="0" w:color="auto"/>
            <w:bottom w:val="none" w:sz="0" w:space="0" w:color="auto"/>
            <w:right w:val="none" w:sz="0" w:space="0" w:color="auto"/>
          </w:divBdr>
          <w:divsChild>
            <w:div w:id="1169246805">
              <w:marLeft w:val="0"/>
              <w:marRight w:val="0"/>
              <w:marTop w:val="0"/>
              <w:marBottom w:val="0"/>
              <w:divBdr>
                <w:top w:val="none" w:sz="0" w:space="0" w:color="auto"/>
                <w:left w:val="none" w:sz="0" w:space="0" w:color="auto"/>
                <w:bottom w:val="none" w:sz="0" w:space="0" w:color="auto"/>
                <w:right w:val="none" w:sz="0" w:space="0" w:color="auto"/>
              </w:divBdr>
            </w:div>
          </w:divsChild>
        </w:div>
        <w:div w:id="330304317">
          <w:marLeft w:val="0"/>
          <w:marRight w:val="0"/>
          <w:marTop w:val="0"/>
          <w:marBottom w:val="0"/>
          <w:divBdr>
            <w:top w:val="none" w:sz="0" w:space="0" w:color="auto"/>
            <w:left w:val="none" w:sz="0" w:space="0" w:color="auto"/>
            <w:bottom w:val="none" w:sz="0" w:space="0" w:color="auto"/>
            <w:right w:val="none" w:sz="0" w:space="0" w:color="auto"/>
          </w:divBdr>
          <w:divsChild>
            <w:div w:id="768164065">
              <w:marLeft w:val="0"/>
              <w:marRight w:val="0"/>
              <w:marTop w:val="0"/>
              <w:marBottom w:val="0"/>
              <w:divBdr>
                <w:top w:val="none" w:sz="0" w:space="0" w:color="auto"/>
                <w:left w:val="none" w:sz="0" w:space="0" w:color="auto"/>
                <w:bottom w:val="none" w:sz="0" w:space="0" w:color="auto"/>
                <w:right w:val="none" w:sz="0" w:space="0" w:color="auto"/>
              </w:divBdr>
            </w:div>
          </w:divsChild>
        </w:div>
        <w:div w:id="820462556">
          <w:marLeft w:val="0"/>
          <w:marRight w:val="0"/>
          <w:marTop w:val="300"/>
          <w:marBottom w:val="300"/>
          <w:divBdr>
            <w:top w:val="none" w:sz="0" w:space="0" w:color="auto"/>
            <w:left w:val="none" w:sz="0" w:space="0" w:color="auto"/>
            <w:bottom w:val="none" w:sz="0" w:space="0" w:color="auto"/>
            <w:right w:val="none" w:sz="0" w:space="0" w:color="auto"/>
          </w:divBdr>
        </w:div>
        <w:div w:id="1902057945">
          <w:marLeft w:val="0"/>
          <w:marRight w:val="0"/>
          <w:marTop w:val="0"/>
          <w:marBottom w:val="0"/>
          <w:divBdr>
            <w:top w:val="none" w:sz="0" w:space="0" w:color="auto"/>
            <w:left w:val="none" w:sz="0" w:space="0" w:color="auto"/>
            <w:bottom w:val="none" w:sz="0" w:space="0" w:color="auto"/>
            <w:right w:val="none" w:sz="0" w:space="0" w:color="auto"/>
          </w:divBdr>
          <w:divsChild>
            <w:div w:id="2095784418">
              <w:marLeft w:val="0"/>
              <w:marRight w:val="0"/>
              <w:marTop w:val="0"/>
              <w:marBottom w:val="0"/>
              <w:divBdr>
                <w:top w:val="none" w:sz="0" w:space="0" w:color="auto"/>
                <w:left w:val="none" w:sz="0" w:space="0" w:color="auto"/>
                <w:bottom w:val="none" w:sz="0" w:space="0" w:color="auto"/>
                <w:right w:val="none" w:sz="0" w:space="0" w:color="auto"/>
              </w:divBdr>
            </w:div>
          </w:divsChild>
        </w:div>
        <w:div w:id="1173881208">
          <w:marLeft w:val="0"/>
          <w:marRight w:val="0"/>
          <w:marTop w:val="0"/>
          <w:marBottom w:val="0"/>
          <w:divBdr>
            <w:top w:val="none" w:sz="0" w:space="0" w:color="auto"/>
            <w:left w:val="none" w:sz="0" w:space="0" w:color="auto"/>
            <w:bottom w:val="none" w:sz="0" w:space="0" w:color="auto"/>
            <w:right w:val="none" w:sz="0" w:space="0" w:color="auto"/>
          </w:divBdr>
          <w:divsChild>
            <w:div w:id="780227798">
              <w:marLeft w:val="0"/>
              <w:marRight w:val="0"/>
              <w:marTop w:val="0"/>
              <w:marBottom w:val="0"/>
              <w:divBdr>
                <w:top w:val="none" w:sz="0" w:space="0" w:color="auto"/>
                <w:left w:val="none" w:sz="0" w:space="0" w:color="auto"/>
                <w:bottom w:val="none" w:sz="0" w:space="0" w:color="auto"/>
                <w:right w:val="none" w:sz="0" w:space="0" w:color="auto"/>
              </w:divBdr>
            </w:div>
          </w:divsChild>
        </w:div>
        <w:div w:id="224028631">
          <w:marLeft w:val="0"/>
          <w:marRight w:val="0"/>
          <w:marTop w:val="0"/>
          <w:marBottom w:val="0"/>
          <w:divBdr>
            <w:top w:val="none" w:sz="0" w:space="0" w:color="auto"/>
            <w:left w:val="none" w:sz="0" w:space="0" w:color="auto"/>
            <w:bottom w:val="none" w:sz="0" w:space="0" w:color="auto"/>
            <w:right w:val="none" w:sz="0" w:space="0" w:color="auto"/>
          </w:divBdr>
          <w:divsChild>
            <w:div w:id="1485269173">
              <w:marLeft w:val="0"/>
              <w:marRight w:val="0"/>
              <w:marTop w:val="0"/>
              <w:marBottom w:val="0"/>
              <w:divBdr>
                <w:top w:val="none" w:sz="0" w:space="0" w:color="auto"/>
                <w:left w:val="none" w:sz="0" w:space="0" w:color="auto"/>
                <w:bottom w:val="none" w:sz="0" w:space="0" w:color="auto"/>
                <w:right w:val="none" w:sz="0" w:space="0" w:color="auto"/>
              </w:divBdr>
            </w:div>
          </w:divsChild>
        </w:div>
        <w:div w:id="1050155151">
          <w:marLeft w:val="0"/>
          <w:marRight w:val="0"/>
          <w:marTop w:val="300"/>
          <w:marBottom w:val="300"/>
          <w:divBdr>
            <w:top w:val="none" w:sz="0" w:space="0" w:color="auto"/>
            <w:left w:val="none" w:sz="0" w:space="0" w:color="auto"/>
            <w:bottom w:val="none" w:sz="0" w:space="0" w:color="auto"/>
            <w:right w:val="none" w:sz="0" w:space="0" w:color="auto"/>
          </w:divBdr>
        </w:div>
        <w:div w:id="1968510237">
          <w:marLeft w:val="0"/>
          <w:marRight w:val="0"/>
          <w:marTop w:val="0"/>
          <w:marBottom w:val="0"/>
          <w:divBdr>
            <w:top w:val="none" w:sz="0" w:space="0" w:color="auto"/>
            <w:left w:val="none" w:sz="0" w:space="0" w:color="auto"/>
            <w:bottom w:val="none" w:sz="0" w:space="0" w:color="auto"/>
            <w:right w:val="none" w:sz="0" w:space="0" w:color="auto"/>
          </w:divBdr>
          <w:divsChild>
            <w:div w:id="771171941">
              <w:marLeft w:val="0"/>
              <w:marRight w:val="0"/>
              <w:marTop w:val="0"/>
              <w:marBottom w:val="0"/>
              <w:divBdr>
                <w:top w:val="none" w:sz="0" w:space="0" w:color="auto"/>
                <w:left w:val="none" w:sz="0" w:space="0" w:color="auto"/>
                <w:bottom w:val="none" w:sz="0" w:space="0" w:color="auto"/>
                <w:right w:val="none" w:sz="0" w:space="0" w:color="auto"/>
              </w:divBdr>
            </w:div>
          </w:divsChild>
        </w:div>
        <w:div w:id="1295719488">
          <w:marLeft w:val="0"/>
          <w:marRight w:val="0"/>
          <w:marTop w:val="0"/>
          <w:marBottom w:val="0"/>
          <w:divBdr>
            <w:top w:val="none" w:sz="0" w:space="0" w:color="auto"/>
            <w:left w:val="none" w:sz="0" w:space="0" w:color="auto"/>
            <w:bottom w:val="none" w:sz="0" w:space="0" w:color="auto"/>
            <w:right w:val="none" w:sz="0" w:space="0" w:color="auto"/>
          </w:divBdr>
          <w:divsChild>
            <w:div w:id="226498196">
              <w:marLeft w:val="0"/>
              <w:marRight w:val="0"/>
              <w:marTop w:val="0"/>
              <w:marBottom w:val="0"/>
              <w:divBdr>
                <w:top w:val="none" w:sz="0" w:space="0" w:color="auto"/>
                <w:left w:val="none" w:sz="0" w:space="0" w:color="auto"/>
                <w:bottom w:val="none" w:sz="0" w:space="0" w:color="auto"/>
                <w:right w:val="none" w:sz="0" w:space="0" w:color="auto"/>
              </w:divBdr>
            </w:div>
          </w:divsChild>
        </w:div>
        <w:div w:id="364334809">
          <w:marLeft w:val="0"/>
          <w:marRight w:val="0"/>
          <w:marTop w:val="0"/>
          <w:marBottom w:val="0"/>
          <w:divBdr>
            <w:top w:val="none" w:sz="0" w:space="0" w:color="auto"/>
            <w:left w:val="none" w:sz="0" w:space="0" w:color="auto"/>
            <w:bottom w:val="none" w:sz="0" w:space="0" w:color="auto"/>
            <w:right w:val="none" w:sz="0" w:space="0" w:color="auto"/>
          </w:divBdr>
          <w:divsChild>
            <w:div w:id="131471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19349">
      <w:bodyDiv w:val="1"/>
      <w:marLeft w:val="0"/>
      <w:marRight w:val="0"/>
      <w:marTop w:val="0"/>
      <w:marBottom w:val="0"/>
      <w:divBdr>
        <w:top w:val="none" w:sz="0" w:space="0" w:color="auto"/>
        <w:left w:val="none" w:sz="0" w:space="0" w:color="auto"/>
        <w:bottom w:val="none" w:sz="0" w:space="0" w:color="auto"/>
        <w:right w:val="none" w:sz="0" w:space="0" w:color="auto"/>
      </w:divBdr>
      <w:divsChild>
        <w:div w:id="1656488235">
          <w:marLeft w:val="0"/>
          <w:marRight w:val="0"/>
          <w:marTop w:val="300"/>
          <w:marBottom w:val="300"/>
          <w:divBdr>
            <w:top w:val="none" w:sz="0" w:space="0" w:color="auto"/>
            <w:left w:val="none" w:sz="0" w:space="0" w:color="auto"/>
            <w:bottom w:val="none" w:sz="0" w:space="0" w:color="auto"/>
            <w:right w:val="none" w:sz="0" w:space="0" w:color="auto"/>
          </w:divBdr>
        </w:div>
        <w:div w:id="1320377995">
          <w:marLeft w:val="0"/>
          <w:marRight w:val="0"/>
          <w:marTop w:val="0"/>
          <w:marBottom w:val="0"/>
          <w:divBdr>
            <w:top w:val="none" w:sz="0" w:space="0" w:color="auto"/>
            <w:left w:val="none" w:sz="0" w:space="0" w:color="auto"/>
            <w:bottom w:val="none" w:sz="0" w:space="0" w:color="auto"/>
            <w:right w:val="none" w:sz="0" w:space="0" w:color="auto"/>
          </w:divBdr>
          <w:divsChild>
            <w:div w:id="1759672424">
              <w:marLeft w:val="0"/>
              <w:marRight w:val="0"/>
              <w:marTop w:val="0"/>
              <w:marBottom w:val="0"/>
              <w:divBdr>
                <w:top w:val="none" w:sz="0" w:space="0" w:color="auto"/>
                <w:left w:val="none" w:sz="0" w:space="0" w:color="auto"/>
                <w:bottom w:val="none" w:sz="0" w:space="0" w:color="auto"/>
                <w:right w:val="none" w:sz="0" w:space="0" w:color="auto"/>
              </w:divBdr>
            </w:div>
          </w:divsChild>
        </w:div>
        <w:div w:id="347024662">
          <w:marLeft w:val="0"/>
          <w:marRight w:val="0"/>
          <w:marTop w:val="300"/>
          <w:marBottom w:val="300"/>
          <w:divBdr>
            <w:top w:val="none" w:sz="0" w:space="0" w:color="auto"/>
            <w:left w:val="none" w:sz="0" w:space="0" w:color="auto"/>
            <w:bottom w:val="none" w:sz="0" w:space="0" w:color="auto"/>
            <w:right w:val="none" w:sz="0" w:space="0" w:color="auto"/>
          </w:divBdr>
        </w:div>
        <w:div w:id="506680272">
          <w:marLeft w:val="0"/>
          <w:marRight w:val="0"/>
          <w:marTop w:val="0"/>
          <w:marBottom w:val="0"/>
          <w:divBdr>
            <w:top w:val="none" w:sz="0" w:space="0" w:color="auto"/>
            <w:left w:val="none" w:sz="0" w:space="0" w:color="auto"/>
            <w:bottom w:val="none" w:sz="0" w:space="0" w:color="auto"/>
            <w:right w:val="none" w:sz="0" w:space="0" w:color="auto"/>
          </w:divBdr>
          <w:divsChild>
            <w:div w:id="124324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B4EFF2-6D86-4712-B5D0-2E09A10EE10B}">
  <ds:schemaRefs>
    <ds:schemaRef ds:uri="http://schemas.microsoft.com/office/2006/metadata/properties"/>
    <ds:schemaRef ds:uri="http://schemas.microsoft.com/office/2006/documentManagement/types"/>
    <ds:schemaRef ds:uri="http://purl.org/dc/dcmitype/"/>
    <ds:schemaRef ds:uri="http://www.w3.org/XML/1998/namespace"/>
    <ds:schemaRef ds:uri="9d85dbaf-23eb-4e57-a637-93dcacc8b1a1"/>
    <ds:schemaRef ds:uri="http://schemas.openxmlformats.org/package/2006/metadata/core-properties"/>
    <ds:schemaRef ds:uri="http://purl.org/dc/elements/1.1/"/>
    <ds:schemaRef ds:uri="http://schemas.microsoft.com/office/infopath/2007/PartnerControls"/>
    <ds:schemaRef ds:uri="a6cb9e4b-f1d1-4245-83ec-6cad768d538a"/>
    <ds:schemaRef ds:uri="http://purl.org/dc/terms/"/>
  </ds:schemaRefs>
</ds:datastoreItem>
</file>

<file path=customXml/itemProps2.xml><?xml version="1.0" encoding="utf-8"?>
<ds:datastoreItem xmlns:ds="http://schemas.openxmlformats.org/officeDocument/2006/customXml" ds:itemID="{80284213-52E9-4C5A-AF8B-FAE85E75866F}">
  <ds:schemaRefs>
    <ds:schemaRef ds:uri="http://schemas.microsoft.com/sharepoint/v3/contenttype/forms"/>
  </ds:schemaRefs>
</ds:datastoreItem>
</file>

<file path=customXml/itemProps3.xml><?xml version="1.0" encoding="utf-8"?>
<ds:datastoreItem xmlns:ds="http://schemas.openxmlformats.org/officeDocument/2006/customXml" ds:itemID="{99D9CC9A-7C38-43C5-BFD1-06C51C2712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38</Pages>
  <Words>19202</Words>
  <Characters>105615</Characters>
  <Application>Microsoft Office Word</Application>
  <DocSecurity>0</DocSecurity>
  <Lines>880</Lines>
  <Paragraphs>249</Paragraphs>
  <ScaleCrop>false</ScaleCrop>
  <Company/>
  <LinksUpToDate>false</LinksUpToDate>
  <CharactersWithSpaces>124568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Manuela Mantilla Pacheco</cp:lastModifiedBy>
  <cp:revision>30</cp:revision>
  <dcterms:created xsi:type="dcterms:W3CDTF">2020-04-07T19:22:00Z</dcterms:created>
  <dcterms:modified xsi:type="dcterms:W3CDTF">2022-06-28T18:32:00Z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