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F574E" w14:textId="5E3AAFBE" w:rsidR="007F436D" w:rsidRPr="00E81178" w:rsidRDefault="007F436D" w:rsidP="007F436D">
      <w:pPr>
        <w:pStyle w:val="paragraph"/>
        <w:spacing w:before="0" w:beforeAutospacing="0" w:after="0" w:afterAutospacing="0"/>
        <w:ind w:left="1695" w:right="1575"/>
        <w:jc w:val="both"/>
        <w:textAlignment w:val="baseline"/>
        <w:rPr>
          <w:rFonts w:ascii="Arial" w:hAnsi="Arial" w:cs="Arial"/>
          <w:sz w:val="18"/>
          <w:szCs w:val="18"/>
        </w:rPr>
      </w:pPr>
      <w:r w:rsidRPr="00E81178">
        <w:rPr>
          <w:rStyle w:val="normaltextrun"/>
          <w:rFonts w:ascii="Arial" w:hAnsi="Arial" w:cs="Arial"/>
          <w:b/>
          <w:bCs/>
          <w:color w:val="FF0000"/>
          <w:sz w:val="20"/>
          <w:szCs w:val="20"/>
          <w:lang w:val="es-ES"/>
        </w:rPr>
        <w:t>Nota:</w:t>
      </w:r>
      <w:r w:rsidRPr="00E81178">
        <w:rPr>
          <w:rStyle w:val="normaltextrun"/>
          <w:rFonts w:ascii="Arial" w:hAnsi="Arial" w:cs="Arial"/>
          <w:color w:val="FF0000"/>
          <w:sz w:val="20"/>
          <w:szCs w:val="20"/>
          <w:lang w:val="es-ES"/>
        </w:rPr>
        <w:t> la siguiente norma se trascribe completa, pero de ella la Agencia Nacional de Contratación Pública –Colombia Compra Eficiente– solo ha emitido conceptos que interpretan las siguientes disposiciones relacionadas con la contratación estatal: 1.</w:t>
      </w:r>
      <w:r w:rsidRPr="00E81178">
        <w:rPr>
          <w:rStyle w:val="eop"/>
          <w:rFonts w:ascii="Arial" w:hAnsi="Arial" w:cs="Arial"/>
          <w:color w:val="FF0000"/>
          <w:sz w:val="20"/>
          <w:szCs w:val="20"/>
        </w:rPr>
        <w:t> </w:t>
      </w:r>
    </w:p>
    <w:p w14:paraId="78C524CC" w14:textId="77777777" w:rsidR="007F436D" w:rsidRPr="00E81178" w:rsidRDefault="007F436D" w:rsidP="007F436D">
      <w:pPr>
        <w:pStyle w:val="paragraph"/>
        <w:spacing w:before="0" w:beforeAutospacing="0" w:after="0" w:afterAutospacing="0"/>
        <w:ind w:left="1695" w:right="1575"/>
        <w:jc w:val="both"/>
        <w:textAlignment w:val="baseline"/>
        <w:rPr>
          <w:rFonts w:ascii="Arial" w:hAnsi="Arial" w:cs="Arial"/>
          <w:sz w:val="18"/>
          <w:szCs w:val="18"/>
        </w:rPr>
      </w:pPr>
      <w:r w:rsidRPr="00E81178">
        <w:rPr>
          <w:rStyle w:val="eop"/>
          <w:rFonts w:ascii="Arial" w:hAnsi="Arial" w:cs="Arial"/>
          <w:color w:val="FF0000"/>
          <w:sz w:val="20"/>
          <w:szCs w:val="20"/>
        </w:rPr>
        <w:t> </w:t>
      </w:r>
    </w:p>
    <w:p w14:paraId="3E21A1AB" w14:textId="77777777" w:rsidR="007F436D" w:rsidRPr="00E81178" w:rsidRDefault="007F436D" w:rsidP="007F436D">
      <w:pPr>
        <w:pStyle w:val="paragraph"/>
        <w:spacing w:before="0" w:beforeAutospacing="0" w:after="0" w:afterAutospacing="0"/>
        <w:ind w:left="1695" w:right="1575"/>
        <w:jc w:val="both"/>
        <w:textAlignment w:val="baseline"/>
        <w:rPr>
          <w:rFonts w:ascii="Arial" w:hAnsi="Arial" w:cs="Arial"/>
          <w:sz w:val="18"/>
          <w:szCs w:val="18"/>
        </w:rPr>
      </w:pPr>
      <w:r w:rsidRPr="00E81178">
        <w:rPr>
          <w:rStyle w:val="normaltextrun"/>
          <w:rFonts w:ascii="Arial" w:hAnsi="Arial" w:cs="Arial"/>
          <w:color w:val="FF0000"/>
          <w:sz w:val="20"/>
          <w:szCs w:val="20"/>
          <w:lang w:val="es-ES"/>
        </w:rPr>
        <w:t>Los conceptos se relacionan al pie de cada disposición, y abren dando “clic” en el hipervínculo.</w:t>
      </w:r>
      <w:r w:rsidRPr="00E81178">
        <w:rPr>
          <w:rStyle w:val="eop"/>
          <w:rFonts w:ascii="Arial" w:hAnsi="Arial" w:cs="Arial"/>
          <w:color w:val="FF0000"/>
          <w:sz w:val="20"/>
          <w:szCs w:val="20"/>
        </w:rPr>
        <w:t> </w:t>
      </w:r>
    </w:p>
    <w:p w14:paraId="2B43E4D4" w14:textId="77777777" w:rsidR="007F436D" w:rsidRPr="00E81178" w:rsidRDefault="007F436D" w:rsidP="007F436D">
      <w:pPr>
        <w:pStyle w:val="paragraph"/>
        <w:spacing w:before="0" w:beforeAutospacing="0" w:after="0" w:afterAutospacing="0"/>
        <w:jc w:val="center"/>
        <w:textAlignment w:val="baseline"/>
        <w:rPr>
          <w:rFonts w:ascii="Arial" w:hAnsi="Arial" w:cs="Arial"/>
          <w:sz w:val="18"/>
          <w:szCs w:val="18"/>
        </w:rPr>
      </w:pPr>
      <w:r w:rsidRPr="00E81178">
        <w:rPr>
          <w:rStyle w:val="eop"/>
          <w:rFonts w:ascii="Arial" w:hAnsi="Arial" w:cs="Arial"/>
          <w:color w:val="000000"/>
          <w:sz w:val="22"/>
          <w:szCs w:val="22"/>
        </w:rPr>
        <w:t> </w:t>
      </w:r>
    </w:p>
    <w:p w14:paraId="0C5F858B" w14:textId="77777777" w:rsidR="005E41FB" w:rsidRPr="00E81178" w:rsidRDefault="005E41FB" w:rsidP="37EA6DD4">
      <w:pPr>
        <w:jc w:val="center"/>
        <w:rPr>
          <w:rFonts w:ascii="Arial" w:eastAsia="Calibri" w:hAnsi="Arial" w:cs="Arial"/>
          <w:b/>
          <w:bCs/>
          <w:color w:val="4A4A4A"/>
        </w:rPr>
      </w:pPr>
    </w:p>
    <w:p w14:paraId="5CD163D0" w14:textId="5E6CBB6F" w:rsidR="0023385D" w:rsidRPr="00E81178" w:rsidRDefault="70150965" w:rsidP="000E7317">
      <w:pPr>
        <w:jc w:val="center"/>
        <w:rPr>
          <w:rFonts w:ascii="Arial" w:hAnsi="Arial" w:cs="Arial"/>
        </w:rPr>
      </w:pPr>
      <w:r w:rsidRPr="00E81178">
        <w:rPr>
          <w:rFonts w:ascii="Arial" w:eastAsia="Calibri" w:hAnsi="Arial" w:cs="Arial"/>
          <w:b/>
          <w:bCs/>
          <w:color w:val="4A4A4A"/>
        </w:rPr>
        <w:t>DECRETO 564 DE 2020</w:t>
      </w:r>
    </w:p>
    <w:p w14:paraId="471D5EF1" w14:textId="4D474471" w:rsidR="0023385D" w:rsidRPr="00E81178" w:rsidRDefault="70150965" w:rsidP="00E81178">
      <w:pPr>
        <w:jc w:val="both"/>
        <w:rPr>
          <w:rFonts w:ascii="Arial" w:hAnsi="Arial" w:cs="Arial"/>
        </w:rPr>
      </w:pPr>
      <w:r w:rsidRPr="00E81178">
        <w:rPr>
          <w:rFonts w:ascii="Arial" w:eastAsia="Calibri" w:hAnsi="Arial" w:cs="Arial"/>
          <w:b/>
          <w:bCs/>
          <w:color w:val="4A4A4A"/>
        </w:rPr>
        <w:t xml:space="preserve"> </w:t>
      </w:r>
    </w:p>
    <w:p w14:paraId="5DB5D7F2" w14:textId="35F704B6" w:rsidR="0023385D" w:rsidRPr="00E81178" w:rsidRDefault="70150965" w:rsidP="00E81178">
      <w:pPr>
        <w:jc w:val="both"/>
        <w:rPr>
          <w:rFonts w:ascii="Arial" w:hAnsi="Arial" w:cs="Arial"/>
        </w:rPr>
      </w:pPr>
      <w:r w:rsidRPr="00E81178">
        <w:rPr>
          <w:rFonts w:ascii="Arial" w:eastAsia="Calibri" w:hAnsi="Arial" w:cs="Arial"/>
          <w:b/>
          <w:bCs/>
          <w:color w:val="4A4A4A"/>
        </w:rPr>
        <w:t>Por el cual se adoptan medidas para la garantía de los derechos de los usuarios del sistema de justicia, en el marco del Estado de Emergencia Económica, Social y Ecológica</w:t>
      </w:r>
    </w:p>
    <w:p w14:paraId="53C6707B" w14:textId="342CCAEA" w:rsidR="0023385D" w:rsidRPr="00E81178" w:rsidRDefault="70150965" w:rsidP="00E81178">
      <w:pPr>
        <w:jc w:val="both"/>
        <w:rPr>
          <w:rFonts w:ascii="Arial" w:hAnsi="Arial" w:cs="Arial"/>
        </w:rPr>
      </w:pPr>
      <w:r w:rsidRPr="00E81178">
        <w:rPr>
          <w:rFonts w:ascii="Arial" w:eastAsia="Calibri" w:hAnsi="Arial" w:cs="Arial"/>
          <w:b/>
          <w:bCs/>
          <w:color w:val="4A4A4A"/>
        </w:rPr>
        <w:t xml:space="preserve"> </w:t>
      </w:r>
    </w:p>
    <w:p w14:paraId="6E9A853C" w14:textId="3A543E0C" w:rsidR="0023385D" w:rsidRPr="00E81178" w:rsidRDefault="70150965" w:rsidP="00E81178">
      <w:pPr>
        <w:jc w:val="both"/>
        <w:rPr>
          <w:rFonts w:ascii="Arial" w:hAnsi="Arial" w:cs="Arial"/>
        </w:rPr>
      </w:pPr>
      <w:r w:rsidRPr="00E81178">
        <w:rPr>
          <w:rFonts w:ascii="Arial" w:eastAsia="Calibri" w:hAnsi="Arial" w:cs="Arial"/>
          <w:b/>
          <w:bCs/>
          <w:color w:val="4A4A4A"/>
        </w:rPr>
        <w:t>EL PRESIDENTE DE LA REPÚBLICA DE COLOMBIA,</w:t>
      </w:r>
    </w:p>
    <w:p w14:paraId="3A34FD63" w14:textId="3F9DBA0F" w:rsidR="0023385D" w:rsidRPr="00E81178" w:rsidRDefault="70150965" w:rsidP="00E81178">
      <w:pPr>
        <w:jc w:val="both"/>
        <w:rPr>
          <w:rFonts w:ascii="Arial" w:hAnsi="Arial" w:cs="Arial"/>
        </w:rPr>
      </w:pPr>
      <w:r w:rsidRPr="00E81178">
        <w:rPr>
          <w:rFonts w:ascii="Arial" w:eastAsia="Calibri" w:hAnsi="Arial" w:cs="Arial"/>
          <w:b/>
          <w:bCs/>
          <w:color w:val="4A4A4A"/>
        </w:rPr>
        <w:t xml:space="preserve"> </w:t>
      </w:r>
    </w:p>
    <w:p w14:paraId="5A049203" w14:textId="3D2410A2" w:rsidR="0023385D" w:rsidRPr="00E81178" w:rsidRDefault="70150965" w:rsidP="00E81178">
      <w:pPr>
        <w:jc w:val="both"/>
        <w:rPr>
          <w:rFonts w:ascii="Arial" w:hAnsi="Arial" w:cs="Arial"/>
        </w:rPr>
      </w:pPr>
      <w:r w:rsidRPr="00E81178">
        <w:rPr>
          <w:rFonts w:ascii="Arial" w:eastAsia="Calibri" w:hAnsi="Arial" w:cs="Arial"/>
          <w:b/>
          <w:bCs/>
          <w:color w:val="4A4A4A"/>
        </w:rPr>
        <w:t>en ejercicio de las facultades constitucionales y legales, en especial las conferidas en el artículo 215 de la Constitución Política, en concordancia con la Ley 137 de 1994, y el Decreto Ley 417 del 17 de marzo de 2020 "Por el cual se declara un Estado de Emergencia Económica, Social y Ecológica en todo el territorio nacional"</w:t>
      </w:r>
    </w:p>
    <w:p w14:paraId="5C1A07E2" w14:textId="6F3B91A7" w:rsidR="0023385D" w:rsidRPr="00E81178" w:rsidRDefault="0023385D" w:rsidP="00E81178">
      <w:pPr>
        <w:jc w:val="both"/>
        <w:rPr>
          <w:rFonts w:ascii="Arial" w:hAnsi="Arial" w:cs="Arial"/>
        </w:rPr>
      </w:pPr>
    </w:p>
    <w:p w14:paraId="04CF5C2D" w14:textId="11900741" w:rsidR="0CCA1D24" w:rsidRPr="00E81178" w:rsidRDefault="0CCA1D24" w:rsidP="00E81178">
      <w:pPr>
        <w:jc w:val="both"/>
        <w:rPr>
          <w:rFonts w:ascii="Arial" w:hAnsi="Arial" w:cs="Arial"/>
        </w:rPr>
      </w:pPr>
      <w:r w:rsidRPr="00E81178">
        <w:rPr>
          <w:rFonts w:ascii="Arial" w:eastAsia="Calibri" w:hAnsi="Arial" w:cs="Arial"/>
          <w:b/>
          <w:bCs/>
          <w:color w:val="4A4A4A"/>
        </w:rPr>
        <w:t>ARTÍCULO 1. Suspensión de términos de prescripción y caducidad.</w:t>
      </w:r>
      <w:r w:rsidRPr="00E81178">
        <w:rPr>
          <w:rFonts w:ascii="Arial" w:eastAsia="Calibri" w:hAnsi="Arial" w:cs="Arial"/>
          <w:color w:val="4A4A4A"/>
        </w:rPr>
        <w:t xml:space="preserve"> Los términos de prescripción y de caducidad previstos en cualquier norma sustancial o procesal para ejercer derechos, acciones, medios de control o presentar demandas ante la Rama Judicial o ante los tribunales arbitrales, sean de días, meses o años, se encuentran suspendidos desde el 16 de marzo de 2020 hasta el día que el Consejo Superior de la Judicatura disponga la reanudación de los términos judiciales.</w:t>
      </w:r>
    </w:p>
    <w:p w14:paraId="5F48A290" w14:textId="3217E5D6" w:rsidR="0CCA1D24" w:rsidRPr="00E81178" w:rsidRDefault="0CCA1D24" w:rsidP="00E81178">
      <w:pPr>
        <w:jc w:val="both"/>
        <w:rPr>
          <w:rFonts w:ascii="Arial" w:hAnsi="Arial" w:cs="Arial"/>
        </w:rPr>
      </w:pPr>
      <w:r w:rsidRPr="00E81178">
        <w:rPr>
          <w:rFonts w:ascii="Arial" w:eastAsia="Calibri" w:hAnsi="Arial" w:cs="Arial"/>
          <w:color w:val="4A4A4A"/>
        </w:rPr>
        <w:t>El conteo de los términos de prescripción y caducidad se reanudará a partir del día hábil siguiente a la fecha en que cese la suspensión de términos judiciales ordenada por el Consejo Superior de la Judicatura. No obstante, cuando al decretarse la suspensión de términos por dicha Corporación, el plazo que restaba para interrumpir la prescripción o hacer inoperante la caducidad era inferior a treinta (30) días, el interesado tendrá un mes contado a partir del día siguiente al levantamiento de la suspensión, para realizar oportunamente la actuación correspondiente.</w:t>
      </w:r>
    </w:p>
    <w:p w14:paraId="4AB7EE58" w14:textId="625D0275" w:rsidR="0CCA1D24" w:rsidRPr="00E81178" w:rsidRDefault="0CCA1D24" w:rsidP="00E81178">
      <w:pPr>
        <w:jc w:val="both"/>
        <w:rPr>
          <w:rFonts w:ascii="Arial" w:hAnsi="Arial" w:cs="Arial"/>
        </w:rPr>
      </w:pPr>
      <w:r w:rsidRPr="00E81178">
        <w:rPr>
          <w:rFonts w:ascii="Arial" w:eastAsia="Calibri" w:hAnsi="Arial" w:cs="Arial"/>
          <w:color w:val="4A4A4A"/>
        </w:rPr>
        <w:t xml:space="preserve"> </w:t>
      </w:r>
    </w:p>
    <w:p w14:paraId="7F93342B" w14:textId="27729B13" w:rsidR="0CCA1D24" w:rsidRPr="00E81178" w:rsidRDefault="0CCA1D24" w:rsidP="00E81178">
      <w:pPr>
        <w:jc w:val="both"/>
        <w:rPr>
          <w:rFonts w:ascii="Arial" w:hAnsi="Arial" w:cs="Arial"/>
          <w:sz w:val="20"/>
          <w:szCs w:val="20"/>
        </w:rPr>
      </w:pPr>
      <w:r w:rsidRPr="00E81178">
        <w:rPr>
          <w:rFonts w:ascii="Arial" w:eastAsia="Calibri" w:hAnsi="Arial" w:cs="Arial"/>
          <w:b/>
          <w:bCs/>
          <w:color w:val="4A4A4A"/>
        </w:rPr>
        <w:t>PARÁGRAFO.</w:t>
      </w:r>
      <w:r w:rsidRPr="00E81178">
        <w:rPr>
          <w:rFonts w:ascii="Arial" w:eastAsia="Calibri" w:hAnsi="Arial" w:cs="Arial"/>
          <w:color w:val="4A4A4A"/>
        </w:rPr>
        <w:t xml:space="preserve"> La suspensión de términos de prescripción y caducidad no es aplicable en materia penal.</w:t>
      </w:r>
    </w:p>
    <w:p w14:paraId="0C643ACB" w14:textId="0D4A9A3F" w:rsidR="2E8573FE" w:rsidRPr="00E81178" w:rsidRDefault="2E8573FE" w:rsidP="00E81178">
      <w:pPr>
        <w:jc w:val="both"/>
        <w:rPr>
          <w:rFonts w:ascii="Arial" w:eastAsia="Calibri" w:hAnsi="Arial" w:cs="Arial"/>
          <w:color w:val="4A4A4A"/>
          <w:sz w:val="20"/>
          <w:szCs w:val="20"/>
        </w:rPr>
      </w:pPr>
      <w:r w:rsidRPr="00E81178">
        <w:rPr>
          <w:rFonts w:ascii="Arial" w:eastAsia="Calibri" w:hAnsi="Arial" w:cs="Arial"/>
          <w:color w:val="4A4A4A"/>
          <w:sz w:val="20"/>
          <w:szCs w:val="20"/>
        </w:rPr>
        <w:t xml:space="preserve">(Ver concepto: </w:t>
      </w:r>
      <w:hyperlink r:id="rId7" w:history="1">
        <w:r w:rsidRPr="00E81178">
          <w:rPr>
            <w:rStyle w:val="Hipervnculo"/>
            <w:rFonts w:ascii="Arial" w:eastAsia="Calibri" w:hAnsi="Arial" w:cs="Arial"/>
            <w:sz w:val="20"/>
            <w:szCs w:val="20"/>
          </w:rPr>
          <w:t>C-542 del 31/08/2020</w:t>
        </w:r>
      </w:hyperlink>
      <w:r w:rsidRPr="00E81178">
        <w:rPr>
          <w:rFonts w:ascii="Arial" w:eastAsia="Calibri" w:hAnsi="Arial" w:cs="Arial"/>
          <w:color w:val="4A4A4A"/>
          <w:sz w:val="20"/>
          <w:szCs w:val="20"/>
        </w:rPr>
        <w:t>)</w:t>
      </w:r>
    </w:p>
    <w:p w14:paraId="6DE3A343" w14:textId="7EE9A38D" w:rsidR="00C54BE0" w:rsidRPr="00E81178" w:rsidRDefault="00C54BE0" w:rsidP="00E81178">
      <w:pPr>
        <w:pStyle w:val="NormalWeb"/>
        <w:shd w:val="clear" w:color="auto" w:fill="FFFFFF"/>
        <w:spacing w:before="0" w:beforeAutospacing="0"/>
        <w:jc w:val="both"/>
        <w:rPr>
          <w:rFonts w:ascii="Arial" w:hAnsi="Arial" w:cs="Arial"/>
          <w:color w:val="333333"/>
          <w:sz w:val="22"/>
          <w:szCs w:val="22"/>
        </w:rPr>
      </w:pPr>
      <w:r w:rsidRPr="00E81178">
        <w:rPr>
          <w:rFonts w:ascii="Arial" w:hAnsi="Arial" w:cs="Arial"/>
          <w:b/>
          <w:bCs/>
          <w:color w:val="333333"/>
          <w:sz w:val="22"/>
          <w:szCs w:val="22"/>
        </w:rPr>
        <w:t>ARTÍCULO 2. Desistimiento tácito y término de duración de procesos.</w:t>
      </w:r>
      <w:r w:rsidRPr="00E81178">
        <w:rPr>
          <w:rFonts w:ascii="Arial" w:hAnsi="Arial" w:cs="Arial"/>
          <w:color w:val="333333"/>
          <w:sz w:val="22"/>
          <w:szCs w:val="22"/>
        </w:rPr>
        <w:t xml:space="preserve"> Se suspenden los términos procesales de inactividad para el desistimiento tácito previstos en el artículo 317 del Código General del Proceso y en el artículo 178 del Código de Procedimiento Administrativo y de lo Contencioso Administrativo , y los términos de duración del proceso del </w:t>
      </w:r>
      <w:r w:rsidRPr="00E81178">
        <w:rPr>
          <w:rFonts w:ascii="Arial" w:hAnsi="Arial" w:cs="Arial"/>
          <w:color w:val="333333"/>
          <w:sz w:val="22"/>
          <w:szCs w:val="22"/>
        </w:rPr>
        <w:lastRenderedPageBreak/>
        <w:t>artículo 121 del Código General del Proceso desde el 16 de marzo de 2020, y se reanudarán un mes después, contado a partir del día siguiente al del levantamiento de la suspensión que disponga el Consejo Superior de la Judicatura .</w:t>
      </w:r>
    </w:p>
    <w:p w14:paraId="50FB23DF" w14:textId="77777777" w:rsidR="00C54BE0" w:rsidRPr="00E81178" w:rsidRDefault="00C54BE0" w:rsidP="00E81178">
      <w:pPr>
        <w:pStyle w:val="NormalWeb"/>
        <w:shd w:val="clear" w:color="auto" w:fill="FFFFFF"/>
        <w:spacing w:before="0" w:beforeAutospacing="0"/>
        <w:jc w:val="both"/>
        <w:rPr>
          <w:rFonts w:ascii="Arial" w:hAnsi="Arial" w:cs="Arial"/>
          <w:color w:val="333333"/>
          <w:sz w:val="22"/>
          <w:szCs w:val="22"/>
        </w:rPr>
      </w:pPr>
      <w:r w:rsidRPr="00E81178">
        <w:rPr>
          <w:rFonts w:ascii="Arial" w:hAnsi="Arial" w:cs="Arial"/>
          <w:b/>
          <w:bCs/>
          <w:color w:val="333333"/>
          <w:sz w:val="22"/>
          <w:szCs w:val="22"/>
        </w:rPr>
        <w:t> </w:t>
      </w:r>
    </w:p>
    <w:p w14:paraId="4D9BF675" w14:textId="77777777" w:rsidR="00C54BE0" w:rsidRPr="00E81178" w:rsidRDefault="00C54BE0" w:rsidP="00E81178">
      <w:pPr>
        <w:pStyle w:val="NormalWeb"/>
        <w:shd w:val="clear" w:color="auto" w:fill="FFFFFF"/>
        <w:spacing w:before="0" w:beforeAutospacing="0"/>
        <w:jc w:val="both"/>
        <w:rPr>
          <w:rFonts w:ascii="Arial" w:hAnsi="Arial" w:cs="Arial"/>
          <w:color w:val="333333"/>
          <w:sz w:val="22"/>
          <w:szCs w:val="22"/>
        </w:rPr>
      </w:pPr>
      <w:r w:rsidRPr="00E81178">
        <w:rPr>
          <w:rFonts w:ascii="Arial" w:hAnsi="Arial" w:cs="Arial"/>
          <w:b/>
          <w:bCs/>
          <w:color w:val="333333"/>
          <w:sz w:val="22"/>
          <w:szCs w:val="22"/>
        </w:rPr>
        <w:t>ARTÍCULO 3. Vigencia.</w:t>
      </w:r>
      <w:r w:rsidRPr="00E81178">
        <w:rPr>
          <w:rFonts w:ascii="Arial" w:hAnsi="Arial" w:cs="Arial"/>
          <w:color w:val="333333"/>
          <w:sz w:val="22"/>
          <w:szCs w:val="22"/>
        </w:rPr>
        <w:t> El presente decreto rige a partir de su publicación.</w:t>
      </w:r>
    </w:p>
    <w:p w14:paraId="734AB52D"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141574EA"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PUBLÍQUESE Y CÚMPLASE</w:t>
      </w:r>
    </w:p>
    <w:p w14:paraId="1632E856"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3A07EEFA"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Dado en Bogotá D.C., a los 15 días del mes de abril de 2020</w:t>
      </w:r>
    </w:p>
    <w:p w14:paraId="5D67CE73"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7268059D"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(FDO.) IVAN DUQUE MARQUEZ</w:t>
      </w:r>
    </w:p>
    <w:p w14:paraId="1BAC5132"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3CB3BA10"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LA MINISTRA DEL INTERIOR,</w:t>
      </w:r>
    </w:p>
    <w:p w14:paraId="55F5DBEA"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5402939F"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ALICIA VICTORIA ARANGO OLMOS</w:t>
      </w:r>
    </w:p>
    <w:p w14:paraId="01E61F05"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7440B7A3"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LA MINISTRA DE RELACIONES EXTERIORES,</w:t>
      </w:r>
    </w:p>
    <w:p w14:paraId="71D1EA97"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1D2195DF"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CLAUDIA BLUM DE BARBERI</w:t>
      </w:r>
    </w:p>
    <w:p w14:paraId="2C7F5EF5"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2D6AB9C4"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EL MINISTRO DE HACIENDA Y CRÉDITO PÚBLICO,</w:t>
      </w:r>
    </w:p>
    <w:p w14:paraId="72656918"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377DB634"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ALBERTO CARRASQUILLA BARRERA</w:t>
      </w:r>
    </w:p>
    <w:p w14:paraId="6CC3C5B9"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2D854C6F"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LA MINISTRA DE JUSTICIA Y DEL DERECHO</w:t>
      </w:r>
    </w:p>
    <w:p w14:paraId="6DD20C79"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2E35691B"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MARGARITA LEONOR CABELLO BLANCO</w:t>
      </w:r>
    </w:p>
    <w:p w14:paraId="520E010E"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lastRenderedPageBreak/>
        <w:t> </w:t>
      </w:r>
    </w:p>
    <w:p w14:paraId="7E4B6487"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EL MINISTRO DE DEFENSA NACIONAL,</w:t>
      </w:r>
    </w:p>
    <w:p w14:paraId="2D5C8535"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516F06F6"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CARLOS HOLMES TRUJILLO GARCIA</w:t>
      </w:r>
    </w:p>
    <w:p w14:paraId="2B6AFADD"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4226AE8D"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EL MINISTRO DE AGRICULTURA Y DESARROLLO RURAL,</w:t>
      </w:r>
    </w:p>
    <w:p w14:paraId="61032EE3"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522AA83C"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RODOLFO ENRIQUE ZEA NAVARRO</w:t>
      </w:r>
    </w:p>
    <w:p w14:paraId="4984E39B"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0A1C9B09"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EL MINISTRO DE SALUD Y PROTECCIÓN SOCIAL,</w:t>
      </w:r>
    </w:p>
    <w:p w14:paraId="06746710"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3AA28C88"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FERNANDO RUIZ GÓMEZ</w:t>
      </w:r>
    </w:p>
    <w:p w14:paraId="08F60E55"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62908CF2"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EL MINISTRO DE TRABAJO,</w:t>
      </w:r>
    </w:p>
    <w:p w14:paraId="5E7C1759"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59989FB3"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ÁNGEL CUSTODIO CABRERA BÁEZ</w:t>
      </w:r>
    </w:p>
    <w:p w14:paraId="4F338538"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068AA477"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LA MINISTRA DE MINAS Y ENERGÍA,</w:t>
      </w:r>
    </w:p>
    <w:p w14:paraId="0FD42B05"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598324B9"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MARÍA FERNANDA SUÁREZ LONDOÑO</w:t>
      </w:r>
    </w:p>
    <w:p w14:paraId="1724B91B"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76DE09DC"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EL MINISTRO DE COMERCIO, INDUSTRIA Y TURISMO,</w:t>
      </w:r>
    </w:p>
    <w:p w14:paraId="3F2D40F2"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46215FDA"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JOSÉ MANUEL RESTREPO ABONDANO</w:t>
      </w:r>
    </w:p>
    <w:p w14:paraId="0967032B"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4FF13B59"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LA MINISTRA DE EDUCACIÓN NACIONAL,</w:t>
      </w:r>
    </w:p>
    <w:p w14:paraId="747E9E0B"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lastRenderedPageBreak/>
        <w:t> </w:t>
      </w:r>
    </w:p>
    <w:p w14:paraId="38820E99"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MARÍA VICTORIA ANGULO GONZALEZ</w:t>
      </w:r>
    </w:p>
    <w:p w14:paraId="7076CE22"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18CEE44B"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EL MINISTRO DE AMBIENTE Y DESARROLLO SOSTENIBLE,</w:t>
      </w:r>
    </w:p>
    <w:p w14:paraId="5418C120"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54B5C516"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RICARDO JOSÉ LOZANO PICÓN</w:t>
      </w:r>
    </w:p>
    <w:p w14:paraId="5C56BC60"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0685917C"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EL MINISTRO DE VIVIENDA, CIUDAD Y TERRITORIO,</w:t>
      </w:r>
    </w:p>
    <w:p w14:paraId="4D2AF705"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045364C5"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JONATHAN MALAGON GONZALEZ</w:t>
      </w:r>
    </w:p>
    <w:p w14:paraId="0E4D86E7"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4F3CFB46"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LA MINISTRA DE TECNOLOGIAS DE LA INFORMACIÓN Y LAS COMUNICACIONES,</w:t>
      </w:r>
    </w:p>
    <w:p w14:paraId="71807E79"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6980E430"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SYLVIA CRISTINA CONSTAÍN RENGIFO</w:t>
      </w:r>
    </w:p>
    <w:p w14:paraId="10BEE593"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0679ED9B"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LA MINISTRA DE TRANSPORTE,</w:t>
      </w:r>
    </w:p>
    <w:p w14:paraId="0E9D0570"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38E66105"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ANGELA MARIA OROZCO GOMEZ</w:t>
      </w:r>
    </w:p>
    <w:p w14:paraId="7924D3A8"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14D8C1E1"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LA MINISTRA DE CULTURA,</w:t>
      </w:r>
    </w:p>
    <w:p w14:paraId="5A92934D"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4429E483"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CARMEN INES VASQUEZ CAMACHO</w:t>
      </w:r>
    </w:p>
    <w:p w14:paraId="163052E1"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56E83AAF"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LA MINISTRA DE CIENCIA, TECNOLOGIA E INNOVACIÓN,</w:t>
      </w:r>
    </w:p>
    <w:p w14:paraId="26202737"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3A8D2214"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MABEL GISELA TORRES TORRES</w:t>
      </w:r>
    </w:p>
    <w:p w14:paraId="53611C7A"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lastRenderedPageBreak/>
        <w:t> </w:t>
      </w:r>
    </w:p>
    <w:p w14:paraId="4F8E4B89"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EL MINISTRO DEL DEPORTE,</w:t>
      </w:r>
    </w:p>
    <w:p w14:paraId="20F4B118"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 </w:t>
      </w:r>
    </w:p>
    <w:p w14:paraId="663AB5E4" w14:textId="77777777" w:rsidR="00C54BE0" w:rsidRPr="00E81178" w:rsidRDefault="00C54BE0" w:rsidP="00C54BE0">
      <w:pPr>
        <w:pStyle w:val="NormalWeb"/>
        <w:shd w:val="clear" w:color="auto" w:fill="FFFFFF"/>
        <w:spacing w:before="0" w:beforeAutospacing="0"/>
        <w:jc w:val="center"/>
        <w:rPr>
          <w:rFonts w:ascii="Arial" w:hAnsi="Arial" w:cs="Arial"/>
          <w:color w:val="333333"/>
          <w:sz w:val="22"/>
          <w:szCs w:val="22"/>
        </w:rPr>
      </w:pPr>
      <w:r w:rsidRPr="00E81178">
        <w:rPr>
          <w:rFonts w:ascii="Arial" w:hAnsi="Arial" w:cs="Arial"/>
          <w:b/>
          <w:bCs/>
          <w:color w:val="333333"/>
          <w:sz w:val="22"/>
          <w:szCs w:val="22"/>
        </w:rPr>
        <w:t>ERNESTO LUCENA BARRERO</w:t>
      </w:r>
    </w:p>
    <w:p w14:paraId="28F6CF4D" w14:textId="25592FFA" w:rsidR="37EA6DD4" w:rsidRDefault="37EA6DD4" w:rsidP="37EA6DD4"/>
    <w:sectPr w:rsidR="37EA6DD4">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A36B195"/>
    <w:rsid w:val="000E7317"/>
    <w:rsid w:val="0023385D"/>
    <w:rsid w:val="005E41FB"/>
    <w:rsid w:val="006D5C8E"/>
    <w:rsid w:val="006E39C4"/>
    <w:rsid w:val="006F164B"/>
    <w:rsid w:val="007F436D"/>
    <w:rsid w:val="00C54BE0"/>
    <w:rsid w:val="00E81178"/>
    <w:rsid w:val="0A36B195"/>
    <w:rsid w:val="0CCA1D24"/>
    <w:rsid w:val="152CFA99"/>
    <w:rsid w:val="2E8573FE"/>
    <w:rsid w:val="37EA6DD4"/>
    <w:rsid w:val="7015096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6B195"/>
  <w15:chartTrackingRefBased/>
  <w15:docId w15:val="{08D3A20A-2DD7-472B-8519-75031343F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D5C8E"/>
    <w:rPr>
      <w:color w:val="0563C1" w:themeColor="hyperlink"/>
      <w:u w:val="single"/>
    </w:rPr>
  </w:style>
  <w:style w:type="paragraph" w:customStyle="1" w:styleId="paragraph">
    <w:name w:val="paragraph"/>
    <w:basedOn w:val="Normal"/>
    <w:rsid w:val="007F436D"/>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customStyle="1" w:styleId="normaltextrun">
    <w:name w:val="normaltextrun"/>
    <w:basedOn w:val="Fuentedeprrafopredeter"/>
    <w:rsid w:val="007F436D"/>
  </w:style>
  <w:style w:type="character" w:customStyle="1" w:styleId="eop">
    <w:name w:val="eop"/>
    <w:basedOn w:val="Fuentedeprrafopredeter"/>
    <w:rsid w:val="007F436D"/>
  </w:style>
  <w:style w:type="paragraph" w:styleId="NormalWeb">
    <w:name w:val="Normal (Web)"/>
    <w:basedOn w:val="Normal"/>
    <w:uiPriority w:val="99"/>
    <w:semiHidden/>
    <w:unhideWhenUsed/>
    <w:rsid w:val="00C54BE0"/>
    <w:pPr>
      <w:spacing w:before="100" w:beforeAutospacing="1" w:after="100" w:afterAutospacing="1" w:line="240" w:lineRule="auto"/>
    </w:pPr>
    <w:rPr>
      <w:rFonts w:ascii="Times New Roman" w:eastAsia="Times New Roman" w:hAnsi="Times New Roman" w:cs="Times New Roman"/>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672129">
      <w:bodyDiv w:val="1"/>
      <w:marLeft w:val="0"/>
      <w:marRight w:val="0"/>
      <w:marTop w:val="0"/>
      <w:marBottom w:val="0"/>
      <w:divBdr>
        <w:top w:val="none" w:sz="0" w:space="0" w:color="auto"/>
        <w:left w:val="none" w:sz="0" w:space="0" w:color="auto"/>
        <w:bottom w:val="none" w:sz="0" w:space="0" w:color="auto"/>
        <w:right w:val="none" w:sz="0" w:space="0" w:color="auto"/>
      </w:divBdr>
    </w:div>
    <w:div w:id="383258904">
      <w:bodyDiv w:val="1"/>
      <w:marLeft w:val="0"/>
      <w:marRight w:val="0"/>
      <w:marTop w:val="0"/>
      <w:marBottom w:val="0"/>
      <w:divBdr>
        <w:top w:val="none" w:sz="0" w:space="0" w:color="auto"/>
        <w:left w:val="none" w:sz="0" w:space="0" w:color="auto"/>
        <w:bottom w:val="none" w:sz="0" w:space="0" w:color="auto"/>
        <w:right w:val="none" w:sz="0" w:space="0" w:color="auto"/>
      </w:divBdr>
      <w:divsChild>
        <w:div w:id="1118376737">
          <w:marLeft w:val="0"/>
          <w:marRight w:val="0"/>
          <w:marTop w:val="0"/>
          <w:marBottom w:val="0"/>
          <w:divBdr>
            <w:top w:val="none" w:sz="0" w:space="0" w:color="auto"/>
            <w:left w:val="none" w:sz="0" w:space="0" w:color="auto"/>
            <w:bottom w:val="none" w:sz="0" w:space="0" w:color="auto"/>
            <w:right w:val="none" w:sz="0" w:space="0" w:color="auto"/>
          </w:divBdr>
        </w:div>
        <w:div w:id="1158113304">
          <w:marLeft w:val="0"/>
          <w:marRight w:val="0"/>
          <w:marTop w:val="0"/>
          <w:marBottom w:val="0"/>
          <w:divBdr>
            <w:top w:val="none" w:sz="0" w:space="0" w:color="auto"/>
            <w:left w:val="none" w:sz="0" w:space="0" w:color="auto"/>
            <w:bottom w:val="none" w:sz="0" w:space="0" w:color="auto"/>
            <w:right w:val="none" w:sz="0" w:space="0" w:color="auto"/>
          </w:divBdr>
        </w:div>
        <w:div w:id="1605916980">
          <w:marLeft w:val="0"/>
          <w:marRight w:val="0"/>
          <w:marTop w:val="0"/>
          <w:marBottom w:val="0"/>
          <w:divBdr>
            <w:top w:val="none" w:sz="0" w:space="0" w:color="auto"/>
            <w:left w:val="none" w:sz="0" w:space="0" w:color="auto"/>
            <w:bottom w:val="none" w:sz="0" w:space="0" w:color="auto"/>
            <w:right w:val="none" w:sz="0" w:space="0" w:color="auto"/>
          </w:divBdr>
        </w:div>
        <w:div w:id="17119557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relatoria.colombiacompra.gov.co/ficha/C-542%20de%20202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C7FDB37-7956-4288-BC6F-CE7399B6DACE}">
  <ds:schemaRefs>
    <ds:schemaRef ds:uri="http://schemas.microsoft.com/sharepoint/v3/contenttype/forms"/>
  </ds:schemaRefs>
</ds:datastoreItem>
</file>

<file path=customXml/itemProps2.xml><?xml version="1.0" encoding="utf-8"?>
<ds:datastoreItem xmlns:ds="http://schemas.openxmlformats.org/officeDocument/2006/customXml" ds:itemID="{D9677F7B-9BC5-46A2-A86B-2659992B47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9B9C64-737C-480A-83F3-74F7941F15A2}">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650</Words>
  <Characters>3576</Characters>
  <Application>Microsoft Office Word</Application>
  <DocSecurity>0</DocSecurity>
  <Lines>29</Lines>
  <Paragraphs>8</Paragraphs>
  <ScaleCrop>false</ScaleCrop>
  <Company/>
  <LinksUpToDate>false</LinksUpToDate>
  <CharactersWithSpaces>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Sebastian Barreto</dc:creator>
  <cp:keywords/>
  <dc:description/>
  <cp:lastModifiedBy>Jorge Eliecer Moran Buitrón</cp:lastModifiedBy>
  <cp:revision>8</cp:revision>
  <dcterms:created xsi:type="dcterms:W3CDTF">2020-09-01T23:07:00Z</dcterms:created>
  <dcterms:modified xsi:type="dcterms:W3CDTF">2022-08-16T15:56:00Z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